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2B271C">
      <w:pPr>
        <w:numPr>
          <w:ilvl w:val="0"/>
          <w:numId w:val="0"/>
        </w:numPr>
        <w:rPr>
          <w:rFonts w:hint="eastAsia" w:ascii="国标黑体" w:hAnsi="国标黑体" w:eastAsia="国标黑体" w:cs="国标黑体"/>
          <w:lang w:val="en-US" w:eastAsia="zh-CN"/>
        </w:rPr>
      </w:pPr>
      <w:r>
        <w:rPr>
          <w:rFonts w:hint="eastAsia" w:ascii="国标黑体" w:hAnsi="国标黑体" w:eastAsia="国标黑体" w:cs="国标黑体"/>
          <w:lang w:eastAsia="zh-CN"/>
        </w:rPr>
        <w:t>附件</w:t>
      </w:r>
    </w:p>
    <w:p w14:paraId="46C510B6">
      <w:pPr>
        <w:numPr>
          <w:ilvl w:val="0"/>
          <w:numId w:val="0"/>
        </w:numPr>
        <w:ind w:left="420" w:leftChars="0"/>
        <w:jc w:val="center"/>
        <w:rPr>
          <w:rFonts w:hint="eastAsia" w:asciiTheme="majorEastAsia" w:hAnsiTheme="majorEastAsia" w:eastAsiaTheme="majorEastAsia" w:cstheme="majorEastAsia"/>
          <w:b/>
          <w:bCs/>
          <w:sz w:val="44"/>
          <w:szCs w:val="44"/>
          <w:lang w:val="en-US" w:eastAsia="zh-CN"/>
        </w:rPr>
      </w:pPr>
    </w:p>
    <w:p w14:paraId="1A057C67">
      <w:pPr>
        <w:numPr>
          <w:ilvl w:val="0"/>
          <w:numId w:val="0"/>
        </w:numPr>
        <w:ind w:left="420" w:leftChars="0"/>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en-US" w:eastAsia="zh-CN"/>
        </w:rPr>
        <w:t>教师资格认定“一件事”办事指南</w:t>
      </w:r>
    </w:p>
    <w:p w14:paraId="62ABB3AB">
      <w:pPr>
        <w:numPr>
          <w:ilvl w:val="0"/>
          <w:numId w:val="0"/>
        </w:numPr>
        <w:rPr>
          <w:rFonts w:hint="eastAsia" w:ascii="国标黑体" w:hAnsi="国标黑体" w:eastAsia="国标黑体" w:cs="国标黑体"/>
          <w:lang w:eastAsia="zh-CN"/>
        </w:rPr>
      </w:pPr>
    </w:p>
    <w:p w14:paraId="481321B6">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firstLine="632" w:firstLineChars="200"/>
        <w:textAlignment w:val="auto"/>
        <w:rPr>
          <w:rFonts w:hint="eastAsia" w:ascii="国标黑体" w:hAnsi="国标黑体" w:eastAsia="国标黑体" w:cs="国标黑体"/>
          <w:lang w:eastAsia="zh-CN"/>
        </w:rPr>
      </w:pPr>
      <w:r>
        <w:rPr>
          <w:rFonts w:hint="eastAsia" w:ascii="国标黑体" w:hAnsi="国标黑体" w:eastAsia="国标黑体" w:cs="国标黑体"/>
          <w:lang w:eastAsia="zh-CN"/>
        </w:rPr>
        <w:t>工作目标</w:t>
      </w:r>
    </w:p>
    <w:p w14:paraId="2F9C2B0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b w:val="0"/>
          <w:bCs w:val="0"/>
          <w:sz w:val="32"/>
          <w:szCs w:val="32"/>
          <w:lang w:val="en-US" w:eastAsia="zh-CN"/>
        </w:rPr>
      </w:pPr>
      <w:r>
        <w:rPr>
          <w:rFonts w:hint="eastAsia"/>
          <w:lang w:eastAsia="zh-CN"/>
        </w:rPr>
        <w:t>通过教师资格认定体格检查结果共享、无犯罪记录证明核验、个人身份信息核验、学历证明核验、教师资格考试合格证明核验、普通话水平测试等级证明核验等事项一次办理，</w:t>
      </w:r>
      <w:r>
        <w:rPr>
          <w:rFonts w:hint="eastAsia" w:ascii="方正仿宋_GBK" w:hAnsi="方正仿宋_GBK" w:eastAsia="方正仿宋_GBK" w:cs="方正仿宋_GBK"/>
          <w:b w:val="0"/>
          <w:bCs w:val="0"/>
          <w:sz w:val="32"/>
          <w:szCs w:val="32"/>
          <w:lang w:val="en-US" w:eastAsia="zh-CN"/>
        </w:rPr>
        <w:t>让群众少跑路，</w:t>
      </w:r>
      <w:r>
        <w:rPr>
          <w:rFonts w:hint="eastAsia" w:ascii="国标仿宋" w:hAnsi="国标仿宋" w:eastAsia="国标仿宋" w:cs="国标仿宋"/>
          <w:b w:val="0"/>
          <w:bCs w:val="0"/>
          <w:sz w:val="32"/>
          <w:szCs w:val="32"/>
          <w:lang w:val="en-US" w:eastAsia="zh-CN"/>
        </w:rPr>
        <w:t>方便群众申办教师资格</w:t>
      </w:r>
      <w:r>
        <w:rPr>
          <w:rFonts w:hint="eastAsia" w:ascii="方正仿宋_GBK" w:hAnsi="方正仿宋_GBK" w:eastAsia="方正仿宋_GBK" w:cs="方正仿宋_GBK"/>
          <w:b w:val="0"/>
          <w:bCs w:val="0"/>
          <w:sz w:val="32"/>
          <w:szCs w:val="32"/>
          <w:lang w:val="en-US" w:eastAsia="zh-CN"/>
        </w:rPr>
        <w:t>。</w:t>
      </w:r>
    </w:p>
    <w:p w14:paraId="08B96974">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、认定范围</w:t>
      </w:r>
    </w:p>
    <w:p w14:paraId="13C31E71">
      <w:pPr>
        <w:keepNext w:val="0"/>
        <w:keepLines w:val="0"/>
        <w:pageBreakBefore w:val="0"/>
        <w:widowControl w:val="0"/>
        <w:kinsoku/>
        <w:overflowPunct/>
        <w:topLinePunct w:val="0"/>
        <w:autoSpaceDE/>
        <w:bidi w:val="0"/>
        <w:adjustRightInd/>
        <w:snapToGrid/>
        <w:spacing w:line="530" w:lineRule="exact"/>
        <w:ind w:firstLine="632" w:firstLineChars="200"/>
        <w:textAlignment w:val="auto"/>
        <w:rPr>
          <w:rFonts w:ascii="仿宋" w:hAnsi="仿宋" w:eastAsia="仿宋" w:cs="仿宋"/>
          <w:color w:val="auto"/>
          <w:sz w:val="32"/>
          <w:szCs w:val="32"/>
        </w:rPr>
      </w:pPr>
      <w:r>
        <w:rPr>
          <w:rFonts w:hint="eastAsia" w:ascii="楷体" w:hAnsi="楷体" w:eastAsia="楷体" w:cs="楷体"/>
          <w:color w:val="auto"/>
          <w:sz w:val="32"/>
          <w:szCs w:val="32"/>
        </w:rPr>
        <w:t>（一）</w:t>
      </w:r>
      <w:r>
        <w:rPr>
          <w:rFonts w:hint="default" w:ascii="Times New Roman" w:hAnsi="Times New Roman" w:eastAsia="仿宋" w:cs="Times New Roman"/>
          <w:color w:val="auto"/>
          <w:kern w:val="0"/>
          <w:sz w:val="32"/>
          <w:szCs w:val="32"/>
          <w:lang w:val="en-US" w:eastAsia="zh-CN" w:bidi="ar"/>
        </w:rPr>
        <w:t>未达到国家法定退休年龄的</w:t>
      </w:r>
      <w:r>
        <w:rPr>
          <w:rFonts w:hint="eastAsia" w:ascii="仿宋" w:hAnsi="仿宋" w:eastAsia="仿宋" w:cs="仿宋"/>
          <w:color w:val="auto"/>
          <w:sz w:val="32"/>
          <w:szCs w:val="32"/>
        </w:rPr>
        <w:t>集安市户籍人员</w:t>
      </w:r>
      <w:r>
        <w:rPr>
          <w:rFonts w:hint="eastAsia" w:ascii="仿宋" w:hAnsi="仿宋" w:eastAsia="仿宋" w:cs="仿宋"/>
          <w:color w:val="auto"/>
          <w:sz w:val="32"/>
          <w:szCs w:val="32"/>
          <w:lang w:val="en-US" w:eastAsia="zh-CN"/>
        </w:rPr>
        <w:t>或</w:t>
      </w:r>
      <w:r>
        <w:rPr>
          <w:rFonts w:hint="eastAsia" w:ascii="仿宋" w:hAnsi="仿宋" w:eastAsia="仿宋" w:cs="仿宋"/>
          <w:color w:val="auto"/>
          <w:sz w:val="32"/>
          <w:szCs w:val="32"/>
        </w:rPr>
        <w:t>持有集安市有效期内居住证的外省市户籍人员。</w:t>
      </w:r>
    </w:p>
    <w:p w14:paraId="2DA77D95">
      <w:pPr>
        <w:spacing w:line="520" w:lineRule="exact"/>
        <w:ind w:firstLine="659"/>
        <w:rPr>
          <w:rFonts w:ascii="仿宋" w:hAnsi="仿宋" w:eastAsia="仿宋" w:cs="仿宋"/>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二</w:t>
      </w:r>
      <w:r>
        <w:rPr>
          <w:rFonts w:hint="eastAsia" w:ascii="楷体" w:hAnsi="楷体" w:eastAsia="楷体" w:cs="楷体"/>
          <w:color w:val="000000" w:themeColor="text1"/>
          <w:sz w:val="32"/>
          <w:szCs w:val="32"/>
          <w14:textFill>
            <w14:solidFill>
              <w14:schemeClr w14:val="tx1"/>
            </w14:solidFill>
          </w14:textFill>
        </w:rPr>
        <w:t>）</w:t>
      </w:r>
      <w:r>
        <w:rPr>
          <w:rFonts w:hint="eastAsia" w:ascii="仿宋" w:eastAsia="仿宋"/>
          <w:color w:val="000000" w:themeColor="text1"/>
          <w:sz w:val="32"/>
          <w:szCs w:val="32"/>
          <w:lang w:val="en-US" w:eastAsia="zh-CN"/>
          <w14:textFill>
            <w14:solidFill>
              <w14:schemeClr w14:val="tx1"/>
            </w14:solidFill>
          </w14:textFill>
        </w:rPr>
        <w:t>集安市</w:t>
      </w:r>
      <w:r>
        <w:rPr>
          <w:rFonts w:hint="eastAsia" w:ascii="仿宋" w:eastAsia="仿宋"/>
          <w:color w:val="000000" w:themeColor="text1"/>
          <w:sz w:val="32"/>
          <w:szCs w:val="32"/>
          <w14:textFill>
            <w14:solidFill>
              <w14:schemeClr w14:val="tx1"/>
            </w14:solidFill>
          </w14:textFill>
        </w:rPr>
        <w:t>内全日制</w:t>
      </w:r>
      <w:r>
        <w:rPr>
          <w:rFonts w:hint="default" w:ascii="Times New Roman" w:hAnsi="Times New Roman" w:eastAsia="仿宋" w:cs="Times New Roman"/>
          <w:color w:val="auto"/>
          <w:kern w:val="0"/>
          <w:sz w:val="32"/>
          <w:szCs w:val="32"/>
          <w:lang w:val="en-US" w:eastAsia="zh-CN" w:bidi="ar"/>
        </w:rPr>
        <w:t>普通高等学校的</w:t>
      </w:r>
      <w:r>
        <w:rPr>
          <w:rFonts w:hint="eastAsia" w:ascii="仿宋" w:eastAsia="仿宋"/>
          <w:color w:val="000000" w:themeColor="text1"/>
          <w:sz w:val="32"/>
          <w:szCs w:val="32"/>
          <w:lang w:val="en-US" w:eastAsia="zh-CN"/>
          <w14:textFill>
            <w14:solidFill>
              <w14:schemeClr w14:val="tx1"/>
            </w14:solidFill>
          </w14:textFill>
        </w:rPr>
        <w:t>应届毕业生、非毕业年级的</w:t>
      </w:r>
      <w:r>
        <w:rPr>
          <w:rFonts w:hint="eastAsia" w:ascii="仿宋" w:eastAsia="仿宋"/>
          <w:color w:val="000000" w:themeColor="text1"/>
          <w:sz w:val="32"/>
          <w:szCs w:val="32"/>
          <w14:textFill>
            <w14:solidFill>
              <w14:schemeClr w14:val="tx1"/>
            </w14:solidFill>
          </w14:textFill>
        </w:rPr>
        <w:t>专升本学生及研究生。</w:t>
      </w:r>
    </w:p>
    <w:p w14:paraId="6F04CE57">
      <w:pPr>
        <w:keepNext w:val="0"/>
        <w:keepLines w:val="0"/>
        <w:pageBreakBefore w:val="0"/>
        <w:widowControl w:val="0"/>
        <w:kinsoku/>
        <w:overflowPunct/>
        <w:topLinePunct w:val="0"/>
        <w:autoSpaceDE/>
        <w:bidi w:val="0"/>
        <w:adjustRightInd/>
        <w:snapToGrid/>
        <w:spacing w:line="530" w:lineRule="exact"/>
        <w:ind w:firstLine="632" w:firstLineChars="200"/>
        <w:textAlignment w:val="auto"/>
        <w:rPr>
          <w:rFonts w:ascii="仿宋" w:hAnsi="仿宋" w:eastAsia="仿宋" w:cs="仿宋"/>
          <w:color w:val="auto"/>
          <w:sz w:val="32"/>
          <w:szCs w:val="32"/>
        </w:rPr>
      </w:pPr>
      <w:r>
        <w:rPr>
          <w:rFonts w:hint="eastAsia" w:ascii="楷体" w:hAnsi="楷体" w:eastAsia="楷体" w:cs="楷体"/>
          <w:color w:val="auto"/>
          <w:sz w:val="32"/>
          <w:szCs w:val="32"/>
        </w:rPr>
        <w:t>（</w:t>
      </w:r>
      <w:r>
        <w:rPr>
          <w:rFonts w:hint="eastAsia" w:ascii="楷体" w:hAnsi="楷体" w:eastAsia="楷体" w:cs="楷体"/>
          <w:color w:val="auto"/>
          <w:sz w:val="32"/>
          <w:szCs w:val="32"/>
          <w:lang w:eastAsia="zh-CN"/>
        </w:rPr>
        <w:t>三</w:t>
      </w:r>
      <w:r>
        <w:rPr>
          <w:rFonts w:hint="eastAsia" w:ascii="楷体" w:hAnsi="楷体" w:eastAsia="楷体" w:cs="楷体"/>
          <w:color w:val="auto"/>
          <w:sz w:val="32"/>
          <w:szCs w:val="32"/>
        </w:rPr>
        <w:t>）</w:t>
      </w:r>
      <w:r>
        <w:rPr>
          <w:rFonts w:hint="eastAsia" w:ascii="仿宋" w:hAnsi="仿宋" w:eastAsia="仿宋" w:cs="仿宋"/>
          <w:color w:val="auto"/>
          <w:sz w:val="32"/>
          <w:szCs w:val="32"/>
        </w:rPr>
        <w:t>驻集部队现役军人和现役武警。</w:t>
      </w:r>
    </w:p>
    <w:p w14:paraId="7662CBE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Autospacing="0" w:line="576" w:lineRule="exact"/>
        <w:ind w:left="0" w:right="0" w:firstLine="645"/>
        <w:jc w:val="both"/>
        <w:textAlignment w:val="auto"/>
        <w:rPr>
          <w:rFonts w:hint="eastAsia" w:ascii="仿宋" w:hAnsi="仿宋" w:eastAsia="仿宋" w:cs="仿宋"/>
          <w:color w:val="auto"/>
          <w:sz w:val="32"/>
          <w:szCs w:val="32"/>
        </w:rPr>
      </w:pPr>
      <w:r>
        <w:rPr>
          <w:rFonts w:hint="eastAsia" w:ascii="楷体" w:hAnsi="楷体" w:eastAsia="楷体" w:cs="楷体"/>
          <w:color w:val="auto"/>
          <w:sz w:val="32"/>
          <w:szCs w:val="32"/>
        </w:rPr>
        <w:t>（</w:t>
      </w:r>
      <w:r>
        <w:rPr>
          <w:rFonts w:hint="eastAsia" w:ascii="楷体" w:hAnsi="楷体" w:eastAsia="楷体" w:cs="楷体"/>
          <w:color w:val="auto"/>
          <w:sz w:val="32"/>
          <w:szCs w:val="32"/>
          <w:lang w:eastAsia="zh-CN"/>
        </w:rPr>
        <w:t>四</w:t>
      </w:r>
      <w:bookmarkStart w:id="0" w:name="_GoBack"/>
      <w:bookmarkEnd w:id="0"/>
      <w:r>
        <w:rPr>
          <w:rFonts w:hint="eastAsia" w:ascii="楷体" w:hAnsi="楷体" w:eastAsia="楷体" w:cs="楷体"/>
          <w:color w:val="auto"/>
          <w:sz w:val="32"/>
          <w:szCs w:val="32"/>
        </w:rPr>
        <w:t>）</w:t>
      </w:r>
      <w:r>
        <w:rPr>
          <w:rFonts w:hint="eastAsia" w:ascii="仿宋" w:hAnsi="仿宋" w:eastAsia="仿宋" w:cs="仿宋"/>
          <w:color w:val="auto"/>
          <w:sz w:val="32"/>
          <w:szCs w:val="32"/>
        </w:rPr>
        <w:t>在集安市工作、居住和学习的港澳台居民，持有效期内港澳台居民居住证</w:t>
      </w:r>
      <w:r>
        <w:rPr>
          <w:rFonts w:hint="default" w:ascii="Times New Roman" w:hAnsi="Times New Roman" w:eastAsia="仿宋" w:cs="Times New Roman"/>
          <w:color w:val="auto"/>
          <w:kern w:val="0"/>
          <w:sz w:val="32"/>
          <w:szCs w:val="32"/>
          <w:lang w:val="en-US" w:eastAsia="zh-CN" w:bidi="ar"/>
        </w:rPr>
        <w:t>，无犯罪记录，可在</w:t>
      </w:r>
      <w:r>
        <w:rPr>
          <w:rFonts w:hint="eastAsia" w:ascii="Times New Roman" w:hAnsi="Times New Roman" w:eastAsia="仿宋" w:cs="Times New Roman"/>
          <w:color w:val="auto"/>
          <w:kern w:val="0"/>
          <w:sz w:val="32"/>
          <w:szCs w:val="32"/>
          <w:lang w:val="en-US" w:eastAsia="zh-CN" w:bidi="ar"/>
        </w:rPr>
        <w:t>集安市</w:t>
      </w:r>
      <w:r>
        <w:rPr>
          <w:rFonts w:hint="default" w:ascii="Times New Roman" w:hAnsi="Times New Roman" w:eastAsia="仿宋" w:cs="Times New Roman"/>
          <w:color w:val="auto"/>
          <w:kern w:val="0"/>
          <w:sz w:val="32"/>
          <w:szCs w:val="32"/>
          <w:lang w:val="en-US" w:eastAsia="zh-CN" w:bidi="ar"/>
        </w:rPr>
        <w:t>申请认定中小学教师资格。港澳居民</w:t>
      </w:r>
      <w:r>
        <w:rPr>
          <w:rFonts w:hint="eastAsia" w:ascii="仿宋" w:hAnsi="仿宋" w:eastAsia="仿宋" w:cs="仿宋"/>
          <w:color w:val="auto"/>
          <w:sz w:val="32"/>
          <w:szCs w:val="32"/>
        </w:rPr>
        <w:t>持港澳居民来往内地通行证</w:t>
      </w:r>
      <w:r>
        <w:rPr>
          <w:rFonts w:hint="eastAsia" w:ascii="仿宋" w:hAnsi="仿宋" w:eastAsia="仿宋" w:cs="仿宋"/>
          <w:color w:val="auto"/>
          <w:sz w:val="32"/>
          <w:szCs w:val="32"/>
          <w:lang w:eastAsia="zh-CN"/>
        </w:rPr>
        <w:t>、</w:t>
      </w:r>
      <w:r>
        <w:rPr>
          <w:rFonts w:hint="default" w:ascii="Times New Roman" w:hAnsi="Times New Roman" w:eastAsia="仿宋" w:cs="Times New Roman"/>
          <w:color w:val="auto"/>
          <w:kern w:val="0"/>
          <w:sz w:val="32"/>
          <w:szCs w:val="32"/>
          <w:lang w:val="en-US" w:eastAsia="zh-CN" w:bidi="ar"/>
        </w:rPr>
        <w:t>台湾居民</w:t>
      </w:r>
      <w:r>
        <w:rPr>
          <w:rFonts w:hint="eastAsia" w:ascii="Times New Roman" w:hAnsi="Times New Roman" w:cs="Times New Roman"/>
          <w:color w:val="auto"/>
          <w:kern w:val="0"/>
          <w:sz w:val="32"/>
          <w:szCs w:val="32"/>
          <w:lang w:val="en-US" w:eastAsia="zh-CN" w:bidi="ar"/>
        </w:rPr>
        <w:t>持</w:t>
      </w:r>
      <w:r>
        <w:rPr>
          <w:rFonts w:hint="eastAsia" w:ascii="仿宋" w:hAnsi="仿宋" w:eastAsia="仿宋" w:cs="仿宋"/>
          <w:color w:val="auto"/>
          <w:sz w:val="32"/>
          <w:szCs w:val="32"/>
        </w:rPr>
        <w:t>五年有效期台湾居民来往大陆通行证</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无犯罪记录，</w:t>
      </w:r>
      <w:r>
        <w:rPr>
          <w:rFonts w:hint="default" w:ascii="Times New Roman" w:hAnsi="Times New Roman" w:eastAsia="仿宋" w:cs="Times New Roman"/>
          <w:color w:val="auto"/>
          <w:kern w:val="0"/>
          <w:sz w:val="32"/>
          <w:szCs w:val="32"/>
          <w:lang w:val="en-US" w:eastAsia="zh-CN" w:bidi="ar"/>
        </w:rPr>
        <w:t>已在</w:t>
      </w:r>
      <w:r>
        <w:rPr>
          <w:rFonts w:hint="eastAsia" w:ascii="Times New Roman" w:hAnsi="Times New Roman" w:eastAsia="仿宋" w:cs="Times New Roman"/>
          <w:color w:val="auto"/>
          <w:kern w:val="0"/>
          <w:sz w:val="32"/>
          <w:szCs w:val="32"/>
          <w:lang w:val="en-US" w:eastAsia="zh-CN" w:bidi="ar"/>
        </w:rPr>
        <w:t>集安市</w:t>
      </w:r>
      <w:r>
        <w:rPr>
          <w:rFonts w:hint="default" w:ascii="Times New Roman" w:hAnsi="Times New Roman" w:eastAsia="仿宋" w:cs="Times New Roman"/>
          <w:color w:val="auto"/>
          <w:kern w:val="0"/>
          <w:sz w:val="32"/>
          <w:szCs w:val="32"/>
          <w:lang w:val="en-US" w:eastAsia="zh-CN" w:bidi="ar"/>
        </w:rPr>
        <w:t>参加中小学教师资格考试的，可在</w:t>
      </w:r>
      <w:r>
        <w:rPr>
          <w:rFonts w:hint="eastAsia" w:ascii="Times New Roman" w:hAnsi="Times New Roman" w:eastAsia="仿宋" w:cs="Times New Roman"/>
          <w:color w:val="auto"/>
          <w:kern w:val="0"/>
          <w:sz w:val="32"/>
          <w:szCs w:val="32"/>
          <w:lang w:val="en-US" w:eastAsia="zh-CN" w:bidi="ar"/>
        </w:rPr>
        <w:t>集安市</w:t>
      </w:r>
      <w:r>
        <w:rPr>
          <w:rFonts w:hint="default" w:ascii="Times New Roman" w:hAnsi="Times New Roman" w:eastAsia="仿宋" w:cs="Times New Roman"/>
          <w:color w:val="auto"/>
          <w:kern w:val="0"/>
          <w:sz w:val="32"/>
          <w:szCs w:val="32"/>
          <w:lang w:val="en-US" w:eastAsia="zh-CN" w:bidi="ar"/>
        </w:rPr>
        <w:t>申请认定中小学教师资格。</w:t>
      </w:r>
    </w:p>
    <w:p w14:paraId="2EA26986">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、认定条件</w:t>
      </w:r>
    </w:p>
    <w:p w14:paraId="503AD13A">
      <w:pPr>
        <w:keepNext w:val="0"/>
        <w:keepLines w:val="0"/>
        <w:pageBreakBefore w:val="0"/>
        <w:widowControl w:val="0"/>
        <w:kinsoku/>
        <w:overflowPunct/>
        <w:topLinePunct w:val="0"/>
        <w:autoSpaceDE/>
        <w:bidi w:val="0"/>
        <w:adjustRightInd/>
        <w:snapToGrid/>
        <w:spacing w:line="530" w:lineRule="exact"/>
        <w:ind w:firstLine="632" w:firstLineChars="200"/>
        <w:textAlignment w:val="auto"/>
        <w:rPr>
          <w:rFonts w:ascii="仿宋" w:hAnsi="仿宋" w:eastAsia="仿宋" w:cs="仿宋"/>
          <w:color w:val="auto"/>
          <w:sz w:val="32"/>
          <w:szCs w:val="32"/>
        </w:rPr>
      </w:pPr>
      <w:r>
        <w:rPr>
          <w:rFonts w:hint="eastAsia" w:ascii="楷体" w:hAnsi="楷体" w:eastAsia="楷体" w:cs="楷体"/>
          <w:color w:val="auto"/>
          <w:sz w:val="32"/>
          <w:szCs w:val="32"/>
        </w:rPr>
        <w:t>（一）</w:t>
      </w:r>
      <w:r>
        <w:rPr>
          <w:rFonts w:hint="eastAsia" w:ascii="仿宋" w:hAnsi="仿宋" w:eastAsia="仿宋" w:cs="仿宋"/>
          <w:color w:val="auto"/>
          <w:sz w:val="32"/>
          <w:szCs w:val="32"/>
        </w:rPr>
        <w:t>遵守宪法和法律，热爱教育事业，履行《</w:t>
      </w:r>
      <w:r>
        <w:rPr>
          <w:rFonts w:hint="eastAsia" w:ascii="仿宋" w:hAnsi="仿宋" w:cs="仿宋"/>
          <w:color w:val="auto"/>
          <w:sz w:val="32"/>
          <w:szCs w:val="32"/>
          <w:lang w:eastAsia="zh-CN"/>
        </w:rPr>
        <w:t>中华人民共和国</w:t>
      </w:r>
      <w:r>
        <w:rPr>
          <w:rFonts w:hint="eastAsia" w:ascii="仿宋" w:hAnsi="仿宋" w:eastAsia="仿宋" w:cs="仿宋"/>
          <w:color w:val="auto"/>
          <w:sz w:val="32"/>
          <w:szCs w:val="32"/>
        </w:rPr>
        <w:t>教师法》规定的义务，遵守教师职业道德。</w:t>
      </w:r>
    </w:p>
    <w:p w14:paraId="72A35A26">
      <w:pPr>
        <w:keepNext w:val="0"/>
        <w:keepLines w:val="0"/>
        <w:pageBreakBefore w:val="0"/>
        <w:widowControl w:val="0"/>
        <w:kinsoku/>
        <w:overflowPunct/>
        <w:topLinePunct w:val="0"/>
        <w:autoSpaceDE/>
        <w:bidi w:val="0"/>
        <w:adjustRightInd/>
        <w:snapToGrid/>
        <w:spacing w:line="530" w:lineRule="exact"/>
        <w:ind w:firstLine="632" w:firstLineChars="200"/>
        <w:textAlignment w:val="auto"/>
        <w:rPr>
          <w:rFonts w:ascii="仿宋" w:hAnsi="仿宋" w:eastAsia="仿宋" w:cs="仿宋"/>
          <w:color w:val="auto"/>
          <w:sz w:val="32"/>
          <w:szCs w:val="32"/>
        </w:rPr>
      </w:pPr>
      <w:r>
        <w:rPr>
          <w:rFonts w:hint="eastAsia" w:ascii="楷体" w:hAnsi="楷体" w:eastAsia="楷体" w:cs="楷体"/>
          <w:color w:val="auto"/>
          <w:sz w:val="32"/>
          <w:szCs w:val="32"/>
        </w:rPr>
        <w:t>（二）</w:t>
      </w:r>
      <w:r>
        <w:rPr>
          <w:rFonts w:hint="eastAsia" w:ascii="仿宋" w:hAnsi="仿宋" w:eastAsia="仿宋" w:cs="仿宋"/>
          <w:color w:val="auto"/>
          <w:sz w:val="32"/>
          <w:szCs w:val="32"/>
        </w:rPr>
        <w:t>具有《</w:t>
      </w:r>
      <w:r>
        <w:rPr>
          <w:rFonts w:hint="eastAsia" w:ascii="仿宋" w:hAnsi="仿宋" w:cs="仿宋"/>
          <w:color w:val="auto"/>
          <w:sz w:val="32"/>
          <w:szCs w:val="32"/>
          <w:lang w:eastAsia="zh-CN"/>
        </w:rPr>
        <w:t>中华人民共和国</w:t>
      </w:r>
      <w:r>
        <w:rPr>
          <w:rFonts w:hint="eastAsia" w:ascii="仿宋" w:hAnsi="仿宋" w:eastAsia="仿宋" w:cs="仿宋"/>
          <w:color w:val="auto"/>
          <w:sz w:val="32"/>
          <w:szCs w:val="32"/>
        </w:rPr>
        <w:t>教师法》规定的国民教育系列学历:</w:t>
      </w:r>
    </w:p>
    <w:p w14:paraId="6D70FD1D">
      <w:pPr>
        <w:keepNext w:val="0"/>
        <w:keepLines w:val="0"/>
        <w:pageBreakBefore w:val="0"/>
        <w:widowControl w:val="0"/>
        <w:kinsoku/>
        <w:overflowPunct/>
        <w:topLinePunct w:val="0"/>
        <w:autoSpaceDE/>
        <w:bidi w:val="0"/>
        <w:adjustRightInd/>
        <w:snapToGrid/>
        <w:spacing w:line="530" w:lineRule="exact"/>
        <w:ind w:firstLine="632" w:firstLineChars="200"/>
        <w:textAlignment w:val="auto"/>
        <w:rPr>
          <w:rFonts w:ascii="仿宋" w:hAnsi="仿宋" w:eastAsia="仿宋" w:cs="仿宋"/>
          <w:color w:val="auto"/>
          <w:sz w:val="32"/>
          <w:szCs w:val="32"/>
        </w:rPr>
      </w:pPr>
      <w:r>
        <w:rPr>
          <w:rFonts w:hint="eastAsia" w:ascii="仿宋" w:hAnsi="仿宋" w:eastAsia="仿宋" w:cs="仿宋"/>
          <w:color w:val="auto"/>
          <w:sz w:val="32"/>
          <w:szCs w:val="32"/>
        </w:rPr>
        <w:t>申请幼儿园教师资格，应当具备幼儿师范学校毕业及以上学历</w:t>
      </w:r>
      <w:r>
        <w:rPr>
          <w:rFonts w:hint="eastAsia" w:ascii="仿宋" w:hAnsi="仿宋" w:eastAsia="仿宋" w:cs="仿宋"/>
          <w:color w:val="auto"/>
          <w:sz w:val="32"/>
          <w:szCs w:val="32"/>
          <w:lang w:eastAsia="zh-CN"/>
        </w:rPr>
        <w:t>。通</w:t>
      </w:r>
      <w:r>
        <w:rPr>
          <w:rFonts w:hint="eastAsia" w:ascii="仿宋" w:hAnsi="仿宋" w:eastAsia="仿宋" w:cs="仿宋"/>
          <w:color w:val="auto"/>
          <w:sz w:val="32"/>
          <w:szCs w:val="32"/>
        </w:rPr>
        <w:t>过吉林省教育厅评估中等职业学校举办的学前教育专业毕业生，其学历可作为在省内申请幼儿园教师资格考试及认定的合格学历。</w:t>
      </w:r>
    </w:p>
    <w:p w14:paraId="7DF63605">
      <w:pPr>
        <w:keepNext w:val="0"/>
        <w:keepLines w:val="0"/>
        <w:pageBreakBefore w:val="0"/>
        <w:widowControl w:val="0"/>
        <w:kinsoku/>
        <w:overflowPunct/>
        <w:topLinePunct w:val="0"/>
        <w:autoSpaceDE/>
        <w:bidi w:val="0"/>
        <w:adjustRightInd/>
        <w:snapToGrid/>
        <w:spacing w:line="530" w:lineRule="exact"/>
        <w:ind w:firstLine="632" w:firstLineChars="200"/>
        <w:textAlignment w:val="auto"/>
        <w:rPr>
          <w:rFonts w:ascii="仿宋" w:hAnsi="仿宋" w:eastAsia="仿宋" w:cs="仿宋"/>
          <w:color w:val="auto"/>
          <w:sz w:val="32"/>
          <w:szCs w:val="32"/>
        </w:rPr>
      </w:pPr>
      <w:r>
        <w:rPr>
          <w:rFonts w:hint="eastAsia" w:ascii="仿宋" w:hAnsi="仿宋" w:eastAsia="仿宋" w:cs="仿宋"/>
          <w:color w:val="auto"/>
          <w:sz w:val="32"/>
          <w:szCs w:val="32"/>
        </w:rPr>
        <w:t>申请小学教师资格，应当具备中等师范学校毕业及以上学历。</w:t>
      </w:r>
    </w:p>
    <w:p w14:paraId="57A9D268">
      <w:pPr>
        <w:keepNext w:val="0"/>
        <w:keepLines w:val="0"/>
        <w:pageBreakBefore w:val="0"/>
        <w:widowControl w:val="0"/>
        <w:kinsoku/>
        <w:overflowPunct/>
        <w:topLinePunct w:val="0"/>
        <w:autoSpaceDE/>
        <w:bidi w:val="0"/>
        <w:adjustRightInd/>
        <w:snapToGrid/>
        <w:spacing w:line="530" w:lineRule="exact"/>
        <w:ind w:firstLine="655"/>
        <w:textAlignment w:val="auto"/>
        <w:rPr>
          <w:rFonts w:ascii="仿宋" w:hAnsi="仿宋" w:eastAsia="仿宋" w:cs="仿宋"/>
          <w:color w:val="auto"/>
          <w:sz w:val="32"/>
          <w:szCs w:val="32"/>
        </w:rPr>
      </w:pPr>
      <w:r>
        <w:rPr>
          <w:rFonts w:hint="eastAsia" w:ascii="仿宋" w:hAnsi="仿宋" w:eastAsia="仿宋" w:cs="仿宋"/>
          <w:color w:val="auto"/>
          <w:sz w:val="32"/>
          <w:szCs w:val="32"/>
        </w:rPr>
        <w:t>申请初级中学教师资格，应当具备大学专科毕业及以上学历。</w:t>
      </w:r>
    </w:p>
    <w:p w14:paraId="0F6E827F">
      <w:pPr>
        <w:keepNext w:val="0"/>
        <w:keepLines w:val="0"/>
        <w:pageBreakBefore w:val="0"/>
        <w:widowControl w:val="0"/>
        <w:numPr>
          <w:ilvl w:val="0"/>
          <w:numId w:val="0"/>
        </w:numPr>
        <w:kinsoku/>
        <w:overflowPunct/>
        <w:topLinePunct w:val="0"/>
        <w:autoSpaceDE/>
        <w:bidi w:val="0"/>
        <w:adjustRightInd/>
        <w:snapToGrid/>
        <w:spacing w:line="530" w:lineRule="exact"/>
        <w:ind w:firstLine="632" w:firstLineChars="200"/>
        <w:textAlignment w:val="auto"/>
        <w:rPr>
          <w:rFonts w:ascii="仿宋" w:hAnsi="仿宋" w:eastAsia="仿宋" w:cs="仿宋"/>
          <w:color w:val="auto"/>
          <w:sz w:val="32"/>
          <w:szCs w:val="32"/>
        </w:rPr>
      </w:pPr>
      <w:r>
        <w:rPr>
          <w:rFonts w:hint="eastAsia" w:ascii="楷体" w:hAnsi="楷体" w:eastAsia="楷体" w:cs="楷体"/>
          <w:color w:val="auto"/>
          <w:sz w:val="32"/>
          <w:szCs w:val="32"/>
          <w:lang w:eastAsia="zh-CN"/>
        </w:rPr>
        <w:t>（三）</w:t>
      </w:r>
      <w:r>
        <w:rPr>
          <w:rFonts w:hint="eastAsia" w:ascii="仿宋" w:hAnsi="仿宋" w:eastAsia="仿宋" w:cs="仿宋"/>
          <w:color w:val="auto"/>
          <w:sz w:val="32"/>
          <w:szCs w:val="32"/>
        </w:rPr>
        <w:t>达到普通话水平测试等级要求。申报语文学科应达到二级甲等及以上标准，申报其他学科应达到二级乙等及以上标准，民族地区少数民族教师资格申请人普通话水平测试等级要求请电话咨询认定机构。</w:t>
      </w:r>
    </w:p>
    <w:p w14:paraId="2E898AB3">
      <w:pPr>
        <w:keepNext w:val="0"/>
        <w:keepLines w:val="0"/>
        <w:pageBreakBefore w:val="0"/>
        <w:widowControl w:val="0"/>
        <w:kinsoku/>
        <w:overflowPunct/>
        <w:topLinePunct w:val="0"/>
        <w:autoSpaceDE/>
        <w:bidi w:val="0"/>
        <w:adjustRightInd/>
        <w:snapToGrid/>
        <w:spacing w:line="530" w:lineRule="exact"/>
        <w:ind w:firstLine="632" w:firstLineChars="200"/>
        <w:textAlignment w:val="auto"/>
        <w:rPr>
          <w:rFonts w:ascii="仿宋" w:hAnsi="仿宋" w:eastAsia="仿宋" w:cs="仿宋"/>
          <w:color w:val="auto"/>
          <w:sz w:val="32"/>
          <w:szCs w:val="32"/>
        </w:rPr>
      </w:pPr>
      <w:r>
        <w:rPr>
          <w:rFonts w:hint="eastAsia" w:ascii="楷体" w:hAnsi="楷体" w:eastAsia="楷体" w:cs="楷体"/>
          <w:color w:val="auto"/>
          <w:sz w:val="32"/>
          <w:szCs w:val="32"/>
        </w:rPr>
        <w:t>（四）</w:t>
      </w:r>
      <w:r>
        <w:rPr>
          <w:rFonts w:hint="eastAsia" w:ascii="仿宋" w:hAnsi="仿宋" w:eastAsia="仿宋" w:cs="仿宋"/>
          <w:color w:val="auto"/>
          <w:sz w:val="32"/>
          <w:szCs w:val="32"/>
        </w:rPr>
        <w:t>符合申请认定教师资格的体检标准，体检合格。</w:t>
      </w:r>
    </w:p>
    <w:p w14:paraId="07EE0CD7">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仿宋" w:hAnsi="Times New Roman" w:eastAsia="仿宋"/>
          <w:color w:val="auto"/>
          <w:sz w:val="32"/>
          <w:szCs w:val="32"/>
        </w:rPr>
      </w:pPr>
      <w:r>
        <w:rPr>
          <w:rFonts w:hint="eastAsia" w:ascii="楷体" w:hAnsi="楷体" w:eastAsia="楷体" w:cs="楷体"/>
          <w:color w:val="auto"/>
          <w:sz w:val="32"/>
          <w:szCs w:val="32"/>
        </w:rPr>
        <w:t>（五）</w:t>
      </w:r>
      <w:r>
        <w:rPr>
          <w:rFonts w:hint="eastAsia" w:ascii="仿宋" w:hAnsi="仿宋" w:eastAsia="仿宋" w:cs="仿宋"/>
          <w:color w:val="auto"/>
          <w:sz w:val="32"/>
          <w:szCs w:val="32"/>
        </w:rPr>
        <w:t>取得教育部教育考试院颁发的《中小学教师资格考试合格证明》且在有效期内，或</w:t>
      </w:r>
      <w:r>
        <w:rPr>
          <w:rFonts w:hint="eastAsia" w:ascii="仿宋" w:hAnsi="Times New Roman" w:eastAsia="仿宋"/>
          <w:color w:val="auto"/>
          <w:sz w:val="32"/>
          <w:szCs w:val="32"/>
        </w:rPr>
        <w:t>取得由毕业院校颁发的《师范生教师职业能力证书》且在有效期内。根据《退役军人事务部 教育部 人力资源和社会保障部关于促进优秀退役军人到中小学任教的意见》（退役军人部发〔2022〕46号），退役军人在服役前1年内取得中小学教师资格考试合格证明的</w:t>
      </w:r>
      <w:r>
        <w:rPr>
          <w:rFonts w:hint="eastAsia" w:ascii="仿宋" w:hAnsi="Times New Roman" w:eastAsia="仿宋"/>
          <w:color w:val="auto"/>
          <w:sz w:val="32"/>
          <w:szCs w:val="32"/>
          <w:lang w:eastAsia="zh-CN"/>
        </w:rPr>
        <w:t>，</w:t>
      </w:r>
      <w:r>
        <w:rPr>
          <w:rFonts w:hint="eastAsia" w:ascii="仿宋" w:hAnsi="Times New Roman" w:eastAsia="仿宋"/>
          <w:color w:val="auto"/>
          <w:sz w:val="32"/>
          <w:szCs w:val="32"/>
        </w:rPr>
        <w:t>凭入伍通知书、退役证书等相关材料，教师资格考试合格证明有效期可延长2年。</w:t>
      </w:r>
    </w:p>
    <w:p w14:paraId="19EDD068">
      <w:pPr>
        <w:widowControl/>
        <w:spacing w:line="520" w:lineRule="exact"/>
        <w:ind w:firstLine="632" w:firstLineChars="200"/>
        <w:jc w:val="left"/>
        <w:rPr>
          <w:rFonts w:hint="eastAsia" w:ascii="仿宋" w:hAnsi="Times New Roman" w:eastAsia="仿宋"/>
          <w:color w:val="auto"/>
          <w:sz w:val="32"/>
          <w:szCs w:val="32"/>
          <w:lang w:eastAsia="zh-CN"/>
        </w:rPr>
      </w:pPr>
      <w:r>
        <w:rPr>
          <w:rFonts w:hint="eastAsia" w:ascii="楷体" w:hAnsi="楷体" w:eastAsia="楷体" w:cs="楷体"/>
          <w:color w:val="auto"/>
          <w:sz w:val="32"/>
          <w:szCs w:val="32"/>
          <w:highlight w:val="none"/>
          <w:lang w:val="en-US" w:eastAsia="zh-CN"/>
        </w:rPr>
        <w:t>（六）</w:t>
      </w:r>
      <w:r>
        <w:rPr>
          <w:rFonts w:hint="eastAsia" w:ascii="仿宋" w:hAnsi="Times New Roman" w:eastAsia="仿宋"/>
          <w:color w:val="auto"/>
          <w:sz w:val="32"/>
          <w:szCs w:val="32"/>
        </w:rPr>
        <w:t>未达到国家法定退休年龄。</w:t>
      </w:r>
    </w:p>
    <w:p w14:paraId="43F13E98">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仿宋" w:hAnsi="Times New Roman" w:eastAsia="仿宋"/>
          <w:color w:val="auto"/>
          <w:sz w:val="32"/>
          <w:szCs w:val="32"/>
          <w:lang w:eastAsia="zh-CN"/>
        </w:rPr>
      </w:pPr>
      <w:r>
        <w:rPr>
          <w:rFonts w:hint="eastAsia" w:ascii="仿宋" w:hAnsi="Times New Roman" w:eastAsia="仿宋"/>
          <w:color w:val="auto"/>
          <w:sz w:val="32"/>
          <w:szCs w:val="32"/>
          <w:lang w:eastAsia="zh-CN"/>
        </w:rPr>
        <w:t>（</w:t>
      </w:r>
      <w:r>
        <w:rPr>
          <w:rFonts w:hint="eastAsia" w:ascii="楷体" w:hAnsi="楷体" w:eastAsia="楷体" w:cs="楷体"/>
          <w:color w:val="auto"/>
          <w:sz w:val="32"/>
          <w:szCs w:val="32"/>
          <w:highlight w:val="none"/>
          <w:lang w:val="en-US" w:eastAsia="zh-CN"/>
        </w:rPr>
        <w:t>七</w:t>
      </w:r>
      <w:r>
        <w:rPr>
          <w:rFonts w:hint="eastAsia" w:ascii="仿宋" w:hAnsi="Times New Roman" w:eastAsia="仿宋"/>
          <w:color w:val="auto"/>
          <w:sz w:val="32"/>
          <w:szCs w:val="32"/>
          <w:lang w:eastAsia="zh-CN"/>
        </w:rPr>
        <w:t>）认定过程中，认定机构将对申请人的无犯罪记录情况进行核查，根据核查结果和国家法律法规及有关规定作出认定结论。同时，根据《最高人民检察院 教育部 公安部关于建立教职员工准入查询性侵违法犯罪信息制度的意见》(高检发〔2020〕14号)，在作出教师资格认定结论前，对经准入查询发现有性侵违法犯罪信息的，不予认定。</w:t>
      </w:r>
    </w:p>
    <w:p w14:paraId="7ACBBDF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32" w:firstLineChars="200"/>
        <w:textAlignment w:val="auto"/>
        <w:rPr>
          <w:rFonts w:hint="eastAsia" w:ascii="国标黑体" w:hAnsi="国标黑体" w:eastAsia="国标黑体" w:cs="国标黑体"/>
          <w:b w:val="0"/>
          <w:bCs w:val="0"/>
          <w:sz w:val="32"/>
          <w:szCs w:val="32"/>
          <w:lang w:val="en-US" w:eastAsia="zh-CN"/>
        </w:rPr>
      </w:pPr>
      <w:r>
        <w:rPr>
          <w:rFonts w:hint="eastAsia" w:ascii="国标黑体" w:hAnsi="国标黑体" w:eastAsia="国标黑体" w:cs="国标黑体"/>
          <w:b w:val="0"/>
          <w:bCs w:val="0"/>
          <w:sz w:val="32"/>
          <w:szCs w:val="32"/>
          <w:lang w:val="en-US" w:eastAsia="zh-CN"/>
        </w:rPr>
        <w:t>四、申报流程</w:t>
      </w:r>
    </w:p>
    <w:p w14:paraId="780F48B0">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国标楷体" w:hAnsi="国标楷体" w:eastAsia="国标楷体" w:cs="国标楷体"/>
          <w:sz w:val="32"/>
          <w:szCs w:val="32"/>
          <w:lang w:val="en-US" w:eastAsia="zh-CN"/>
        </w:rPr>
      </w:pPr>
      <w:r>
        <w:rPr>
          <w:rFonts w:hint="eastAsia" w:ascii="国标楷体" w:hAnsi="国标楷体" w:eastAsia="国标楷体" w:cs="国标楷体"/>
          <w:sz w:val="32"/>
          <w:szCs w:val="32"/>
          <w:lang w:val="en-US" w:eastAsia="zh-CN"/>
        </w:rPr>
        <w:t>（一）网上报名</w:t>
      </w:r>
    </w:p>
    <w:p w14:paraId="757533A0">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lang w:val="en-US" w:eastAsia="zh-CN"/>
        </w:rPr>
      </w:pPr>
      <w:r>
        <w:rPr>
          <w:rFonts w:hint="eastAsia"/>
          <w:lang w:val="en-US" w:eastAsia="zh-CN"/>
        </w:rPr>
        <w:t>申请人在规定的报名时间内访问中国教师资格网，参考《教师资格认定申请人使用手册》完成网上报名。《教师资格认定申请人使用手册》可在“中国教师资格网”—“咨询服务”—“使用手册”栏目查看。</w:t>
      </w:r>
    </w:p>
    <w:p w14:paraId="7219D57E">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国标楷体" w:hAnsi="国标楷体" w:eastAsia="国标楷体" w:cs="国标楷体"/>
          <w:sz w:val="32"/>
          <w:szCs w:val="32"/>
          <w:lang w:val="en-US" w:eastAsia="zh-CN"/>
        </w:rPr>
      </w:pPr>
      <w:r>
        <w:rPr>
          <w:rFonts w:hint="eastAsia" w:ascii="国标楷体" w:hAnsi="国标楷体" w:eastAsia="国标楷体" w:cs="国标楷体"/>
          <w:sz w:val="32"/>
          <w:szCs w:val="32"/>
          <w:lang w:val="en-US" w:eastAsia="zh-CN"/>
        </w:rPr>
        <w:t>（二）网上确认</w:t>
      </w:r>
    </w:p>
    <w:p w14:paraId="5BBE329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lang w:eastAsia="zh-CN"/>
        </w:rPr>
        <w:t>申请人</w:t>
      </w:r>
      <w:r>
        <w:rPr>
          <w:rFonts w:hint="eastAsia"/>
        </w:rPr>
        <w:t>登录吉事办网厅http://zwfw.jl.gov.cn，选择“高效办成一件事”专区。</w:t>
      </w:r>
    </w:p>
    <w:p w14:paraId="02052299">
      <w:pPr>
        <w:rPr>
          <w:rFonts w:hint="default"/>
          <w:lang w:val="en-US" w:eastAsia="zh-CN"/>
        </w:rPr>
      </w:pPr>
      <w:r>
        <w:drawing>
          <wp:anchor distT="0" distB="0" distL="114300" distR="114300" simplePos="0" relativeHeight="251659264" behindDoc="0" locked="0" layoutInCell="1" allowOverlap="1">
            <wp:simplePos x="0" y="0"/>
            <wp:positionH relativeFrom="column">
              <wp:posOffset>66040</wp:posOffset>
            </wp:positionH>
            <wp:positionV relativeFrom="paragraph">
              <wp:posOffset>149860</wp:posOffset>
            </wp:positionV>
            <wp:extent cx="5615940" cy="2373630"/>
            <wp:effectExtent l="0" t="0" r="762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615940" cy="2373630"/>
                    </a:xfrm>
                    <a:prstGeom prst="rect">
                      <a:avLst/>
                    </a:prstGeom>
                    <a:noFill/>
                    <a:ln>
                      <a:noFill/>
                    </a:ln>
                  </pic:spPr>
                </pic:pic>
              </a:graphicData>
            </a:graphic>
          </wp:anchor>
        </w:drawing>
      </w:r>
      <w:r>
        <w:rPr>
          <w:rFonts w:hint="eastAsia"/>
          <w:lang w:val="en-US" w:eastAsia="zh-CN"/>
        </w:rPr>
        <w:t>点击“高效办成一件事”专区中的教师资格认定“一件事”</w:t>
      </w:r>
    </w:p>
    <w:p w14:paraId="391302FC">
      <w:pPr>
        <w:rPr>
          <w:rFonts w:hint="default"/>
          <w:lang w:val="en-US" w:eastAsia="zh-CN"/>
        </w:rPr>
      </w:pPr>
      <w:r>
        <w:drawing>
          <wp:anchor distT="0" distB="0" distL="114300" distR="114300" simplePos="0" relativeHeight="251660288" behindDoc="0" locked="0" layoutInCell="1" allowOverlap="1">
            <wp:simplePos x="0" y="0"/>
            <wp:positionH relativeFrom="column">
              <wp:posOffset>332740</wp:posOffset>
            </wp:positionH>
            <wp:positionV relativeFrom="paragraph">
              <wp:posOffset>104140</wp:posOffset>
            </wp:positionV>
            <wp:extent cx="4584700" cy="2987040"/>
            <wp:effectExtent l="0" t="0" r="254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584700" cy="2987040"/>
                    </a:xfrm>
                    <a:prstGeom prst="rect">
                      <a:avLst/>
                    </a:prstGeom>
                    <a:noFill/>
                    <a:ln>
                      <a:noFill/>
                    </a:ln>
                  </pic:spPr>
                </pic:pic>
              </a:graphicData>
            </a:graphic>
          </wp:anchor>
        </w:drawing>
      </w:r>
    </w:p>
    <w:p w14:paraId="32EB5B15">
      <w:pPr>
        <w:rPr>
          <w:rFonts w:hint="eastAsia"/>
        </w:rPr>
      </w:pPr>
    </w:p>
    <w:p w14:paraId="6A53F555">
      <w:pPr>
        <w:rPr>
          <w:rFonts w:hint="eastAsia"/>
        </w:rPr>
      </w:pPr>
    </w:p>
    <w:p w14:paraId="7EC72479">
      <w:pPr>
        <w:ind w:left="0" w:leftChars="0" w:firstLine="0" w:firstLineChars="0"/>
        <w:rPr>
          <w:rFonts w:hint="eastAsia"/>
        </w:rPr>
      </w:pPr>
    </w:p>
    <w:p w14:paraId="3D70B43E">
      <w:pPr>
        <w:rPr>
          <w:rFonts w:hint="eastAsia"/>
          <w:lang w:val="en-US" w:eastAsia="zh-CN"/>
        </w:rPr>
      </w:pPr>
    </w:p>
    <w:p w14:paraId="7724F57F">
      <w:pPr>
        <w:rPr>
          <w:rFonts w:hint="eastAsia"/>
          <w:lang w:val="en-US" w:eastAsia="zh-CN"/>
        </w:rPr>
      </w:pPr>
    </w:p>
    <w:p w14:paraId="3EE89AA0">
      <w:pPr>
        <w:rPr>
          <w:rFonts w:hint="eastAsia"/>
          <w:lang w:val="en-US" w:eastAsia="zh-CN"/>
        </w:rPr>
      </w:pPr>
    </w:p>
    <w:p w14:paraId="7BB16581">
      <w:pPr>
        <w:rPr>
          <w:rFonts w:hint="eastAsia"/>
          <w:lang w:val="en-US" w:eastAsia="zh-CN"/>
        </w:rPr>
      </w:pPr>
    </w:p>
    <w:p w14:paraId="4D823D73">
      <w:pPr>
        <w:rPr>
          <w:rFonts w:hint="eastAsia"/>
          <w:lang w:val="en-US" w:eastAsia="zh-CN"/>
        </w:rPr>
      </w:pPr>
      <w:r>
        <w:rPr>
          <w:rFonts w:hint="eastAsia"/>
          <w:lang w:val="en-US" w:eastAsia="zh-CN"/>
        </w:rPr>
        <w:t>进入办事指南页面，点击“在线办理”。通过“吉林省统一身份认证平台”登录系统，进行申报。</w:t>
      </w:r>
    </w:p>
    <w:p w14:paraId="20869592">
      <w:pPr>
        <w:numPr>
          <w:ilvl w:val="0"/>
          <w:numId w:val="0"/>
        </w:numPr>
        <w:ind w:left="420" w:leftChars="0"/>
        <w:rPr>
          <w:rFonts w:hint="default"/>
          <w:sz w:val="24"/>
          <w:szCs w:val="21"/>
          <w:lang w:val="en-US" w:eastAsia="zh-CN"/>
        </w:rPr>
      </w:pPr>
      <w:r>
        <w:rPr>
          <w:rFonts w:hint="eastAsia"/>
          <w:sz w:val="24"/>
          <w:szCs w:val="21"/>
          <w:lang w:val="en-US" w:eastAsia="zh-CN"/>
        </w:rPr>
        <w:t>注：首次登录吉事办可先申请账号</w:t>
      </w:r>
    </w:p>
    <w:p w14:paraId="428B3B9A">
      <w:pPr>
        <w:numPr>
          <w:ilvl w:val="0"/>
          <w:numId w:val="0"/>
        </w:numPr>
        <w:ind w:left="420" w:leftChars="0"/>
        <w:rPr>
          <w:rFonts w:hint="eastAsia"/>
          <w:lang w:val="en-US" w:eastAsia="zh-CN"/>
        </w:rPr>
      </w:pPr>
      <w:r>
        <w:drawing>
          <wp:anchor distT="0" distB="0" distL="114300" distR="114300" simplePos="0" relativeHeight="251661312" behindDoc="0" locked="0" layoutInCell="1" allowOverlap="1">
            <wp:simplePos x="0" y="0"/>
            <wp:positionH relativeFrom="column">
              <wp:posOffset>-91440</wp:posOffset>
            </wp:positionH>
            <wp:positionV relativeFrom="paragraph">
              <wp:posOffset>142240</wp:posOffset>
            </wp:positionV>
            <wp:extent cx="5142230" cy="2437130"/>
            <wp:effectExtent l="0" t="0" r="8890" b="127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142230" cy="2437130"/>
                    </a:xfrm>
                    <a:prstGeom prst="rect">
                      <a:avLst/>
                    </a:prstGeom>
                    <a:noFill/>
                    <a:ln>
                      <a:noFill/>
                    </a:ln>
                  </pic:spPr>
                </pic:pic>
              </a:graphicData>
            </a:graphic>
          </wp:anchor>
        </w:drawing>
      </w:r>
      <w:r>
        <w:rPr>
          <w:rFonts w:hint="eastAsia"/>
          <w:lang w:val="en-US" w:eastAsia="zh-CN"/>
        </w:rPr>
        <w:t xml:space="preserve">                                                                                              </w:t>
      </w:r>
    </w:p>
    <w:p w14:paraId="30E20729">
      <w:pPr>
        <w:numPr>
          <w:ilvl w:val="0"/>
          <w:numId w:val="0"/>
        </w:numPr>
        <w:ind w:left="420" w:leftChars="0"/>
        <w:rPr>
          <w:rFonts w:hint="default"/>
          <w:lang w:val="en-US" w:eastAsia="zh-CN"/>
        </w:rPr>
      </w:pPr>
    </w:p>
    <w:p w14:paraId="4D18A01A">
      <w:pPr>
        <w:numPr>
          <w:ilvl w:val="0"/>
          <w:numId w:val="0"/>
        </w:numPr>
        <w:ind w:left="420" w:leftChars="0"/>
        <w:rPr>
          <w:rFonts w:hint="default"/>
          <w:lang w:val="en-US" w:eastAsia="zh-CN"/>
        </w:rPr>
      </w:pPr>
    </w:p>
    <w:p w14:paraId="3FB5574B">
      <w:pPr>
        <w:numPr>
          <w:ilvl w:val="0"/>
          <w:numId w:val="0"/>
        </w:numPr>
        <w:ind w:left="420" w:leftChars="0"/>
        <w:rPr>
          <w:rFonts w:hint="default"/>
          <w:lang w:val="en-US" w:eastAsia="zh-CN"/>
        </w:rPr>
      </w:pPr>
    </w:p>
    <w:p w14:paraId="1E3F4CFE">
      <w:pPr>
        <w:numPr>
          <w:ilvl w:val="0"/>
          <w:numId w:val="0"/>
        </w:numPr>
        <w:ind w:left="420" w:leftChars="0"/>
        <w:rPr>
          <w:rFonts w:hint="default"/>
          <w:lang w:val="en-US" w:eastAsia="zh-CN"/>
        </w:rPr>
      </w:pPr>
    </w:p>
    <w:p w14:paraId="1F443115">
      <w:pPr>
        <w:numPr>
          <w:ilvl w:val="0"/>
          <w:numId w:val="0"/>
        </w:numPr>
        <w:ind w:left="420" w:leftChars="0"/>
        <w:rPr>
          <w:rFonts w:hint="default"/>
          <w:lang w:val="en-US" w:eastAsia="zh-CN"/>
        </w:rPr>
      </w:pPr>
    </w:p>
    <w:p w14:paraId="67EF7C93">
      <w:pPr>
        <w:numPr>
          <w:ilvl w:val="0"/>
          <w:numId w:val="0"/>
        </w:numPr>
        <w:ind w:left="420" w:leftChars="0"/>
        <w:rPr>
          <w:rFonts w:hint="default"/>
          <w:lang w:val="en-US" w:eastAsia="zh-CN"/>
        </w:rPr>
      </w:pPr>
    </w:p>
    <w:p w14:paraId="7E8BBCA6">
      <w:pPr>
        <w:numPr>
          <w:ilvl w:val="0"/>
          <w:numId w:val="0"/>
        </w:numPr>
        <w:ind w:left="420" w:leftChars="0"/>
        <w:rPr>
          <w:rFonts w:hint="eastAsia"/>
          <w:lang w:val="en-US" w:eastAsia="zh-CN"/>
        </w:rPr>
      </w:pPr>
      <w:r>
        <w:rPr>
          <w:rFonts w:hint="eastAsia"/>
          <w:lang w:val="en-US" w:eastAsia="zh-CN"/>
        </w:rPr>
        <w:t>登录进入后，首先认真详读《申报须知》</w:t>
      </w:r>
    </w:p>
    <w:p w14:paraId="074F9055">
      <w:pPr>
        <w:numPr>
          <w:ilvl w:val="0"/>
          <w:numId w:val="0"/>
        </w:numPr>
        <w:ind w:left="420" w:leftChars="0"/>
        <w:rPr>
          <w:rFonts w:hint="eastAsia"/>
          <w:lang w:val="en-US" w:eastAsia="zh-CN"/>
        </w:rPr>
      </w:pPr>
      <w:r>
        <w:drawing>
          <wp:anchor distT="0" distB="0" distL="114300" distR="114300" simplePos="0" relativeHeight="251662336" behindDoc="0" locked="0" layoutInCell="1" allowOverlap="1">
            <wp:simplePos x="0" y="0"/>
            <wp:positionH relativeFrom="column">
              <wp:posOffset>53340</wp:posOffset>
            </wp:positionH>
            <wp:positionV relativeFrom="paragraph">
              <wp:posOffset>67310</wp:posOffset>
            </wp:positionV>
            <wp:extent cx="5614035" cy="3288030"/>
            <wp:effectExtent l="0" t="0" r="9525" b="381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614035" cy="3288030"/>
                    </a:xfrm>
                    <a:prstGeom prst="rect">
                      <a:avLst/>
                    </a:prstGeom>
                    <a:noFill/>
                    <a:ln>
                      <a:noFill/>
                    </a:ln>
                  </pic:spPr>
                </pic:pic>
              </a:graphicData>
            </a:graphic>
          </wp:anchor>
        </w:drawing>
      </w:r>
      <w:r>
        <w:rPr>
          <w:rFonts w:hint="eastAsia"/>
          <w:lang w:val="en-US" w:eastAsia="zh-CN"/>
        </w:rPr>
        <w:t>选择办理教师资格类型</w:t>
      </w:r>
    </w:p>
    <w:p w14:paraId="65803C49">
      <w:pPr>
        <w:numPr>
          <w:ilvl w:val="0"/>
          <w:numId w:val="0"/>
        </w:numPr>
        <w:ind w:left="420" w:leftChars="0"/>
        <w:rPr>
          <w:rFonts w:hint="default"/>
          <w:lang w:val="en-US" w:eastAsia="zh-CN"/>
        </w:rPr>
      </w:pPr>
      <w:r>
        <w:drawing>
          <wp:anchor distT="0" distB="0" distL="114300" distR="114300" simplePos="0" relativeHeight="251663360" behindDoc="0" locked="0" layoutInCell="1" allowOverlap="1">
            <wp:simplePos x="0" y="0"/>
            <wp:positionH relativeFrom="column">
              <wp:posOffset>175260</wp:posOffset>
            </wp:positionH>
            <wp:positionV relativeFrom="paragraph">
              <wp:posOffset>125095</wp:posOffset>
            </wp:positionV>
            <wp:extent cx="4834890" cy="3026410"/>
            <wp:effectExtent l="0" t="0" r="11430" b="635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4834890" cy="3026410"/>
                    </a:xfrm>
                    <a:prstGeom prst="rect">
                      <a:avLst/>
                    </a:prstGeom>
                    <a:noFill/>
                    <a:ln>
                      <a:noFill/>
                    </a:ln>
                  </pic:spPr>
                </pic:pic>
              </a:graphicData>
            </a:graphic>
          </wp:anchor>
        </w:drawing>
      </w:r>
    </w:p>
    <w:p w14:paraId="30D31A11">
      <w:pPr>
        <w:numPr>
          <w:ilvl w:val="0"/>
          <w:numId w:val="0"/>
        </w:numPr>
        <w:ind w:left="420" w:leftChars="0"/>
        <w:rPr>
          <w:rFonts w:hint="default"/>
          <w:lang w:val="en-US" w:eastAsia="zh-CN"/>
        </w:rPr>
      </w:pPr>
    </w:p>
    <w:p w14:paraId="173593D7">
      <w:pPr>
        <w:numPr>
          <w:ilvl w:val="0"/>
          <w:numId w:val="0"/>
        </w:numPr>
        <w:ind w:left="420" w:leftChars="0"/>
        <w:rPr>
          <w:rFonts w:hint="default"/>
          <w:lang w:val="en-US" w:eastAsia="zh-CN"/>
        </w:rPr>
      </w:pPr>
    </w:p>
    <w:p w14:paraId="7DD05BDA">
      <w:pPr>
        <w:numPr>
          <w:ilvl w:val="0"/>
          <w:numId w:val="0"/>
        </w:numPr>
        <w:ind w:left="420" w:leftChars="0"/>
        <w:rPr>
          <w:rFonts w:hint="default"/>
          <w:lang w:val="en-US" w:eastAsia="zh-CN"/>
        </w:rPr>
      </w:pPr>
    </w:p>
    <w:p w14:paraId="628FD95B">
      <w:pPr>
        <w:numPr>
          <w:ilvl w:val="0"/>
          <w:numId w:val="0"/>
        </w:numPr>
        <w:ind w:left="420" w:leftChars="0"/>
        <w:rPr>
          <w:rFonts w:hint="default"/>
          <w:lang w:val="en-US" w:eastAsia="zh-CN"/>
        </w:rPr>
      </w:pPr>
    </w:p>
    <w:p w14:paraId="1657FE8C">
      <w:pPr>
        <w:numPr>
          <w:ilvl w:val="0"/>
          <w:numId w:val="0"/>
        </w:numPr>
        <w:ind w:left="420" w:leftChars="0"/>
        <w:rPr>
          <w:rFonts w:hint="default"/>
          <w:lang w:val="en-US" w:eastAsia="zh-CN"/>
        </w:rPr>
      </w:pPr>
    </w:p>
    <w:p w14:paraId="49B89E42">
      <w:pPr>
        <w:numPr>
          <w:ilvl w:val="0"/>
          <w:numId w:val="0"/>
        </w:numPr>
        <w:ind w:left="420" w:leftChars="0"/>
        <w:rPr>
          <w:rFonts w:hint="default"/>
          <w:lang w:val="en-US" w:eastAsia="zh-CN"/>
        </w:rPr>
      </w:pPr>
    </w:p>
    <w:p w14:paraId="669B7245">
      <w:pPr>
        <w:numPr>
          <w:ilvl w:val="0"/>
          <w:numId w:val="0"/>
        </w:numPr>
        <w:ind w:left="420" w:leftChars="0"/>
        <w:rPr>
          <w:rFonts w:hint="default"/>
          <w:lang w:val="en-US" w:eastAsia="zh-CN"/>
        </w:rPr>
      </w:pPr>
    </w:p>
    <w:p w14:paraId="28DC6E57">
      <w:pPr>
        <w:numPr>
          <w:ilvl w:val="0"/>
          <w:numId w:val="0"/>
        </w:numPr>
        <w:ind w:left="420" w:leftChars="0"/>
        <w:rPr>
          <w:rFonts w:hint="eastAsia"/>
          <w:lang w:val="en-US" w:eastAsia="zh-CN"/>
        </w:rPr>
      </w:pPr>
      <w:r>
        <w:rPr>
          <w:rFonts w:hint="eastAsia"/>
          <w:lang w:val="en-US" w:eastAsia="zh-CN"/>
        </w:rPr>
        <w:t>核实基础信息</w:t>
      </w:r>
    </w:p>
    <w:p w14:paraId="10681821">
      <w:pPr>
        <w:numPr>
          <w:ilvl w:val="0"/>
          <w:numId w:val="0"/>
        </w:numPr>
        <w:ind w:left="420" w:leftChars="0"/>
        <w:rPr>
          <w:rFonts w:hint="eastAsia"/>
          <w:lang w:val="en-US" w:eastAsia="zh-CN"/>
        </w:rPr>
      </w:pPr>
      <w:r>
        <w:drawing>
          <wp:anchor distT="0" distB="0" distL="114300" distR="114300" simplePos="0" relativeHeight="251664384" behindDoc="0" locked="0" layoutInCell="1" allowOverlap="1">
            <wp:simplePos x="0" y="0"/>
            <wp:positionH relativeFrom="column">
              <wp:posOffset>106680</wp:posOffset>
            </wp:positionH>
            <wp:positionV relativeFrom="paragraph">
              <wp:posOffset>44450</wp:posOffset>
            </wp:positionV>
            <wp:extent cx="5616575" cy="3340735"/>
            <wp:effectExtent l="0" t="0" r="6985" b="1206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616575" cy="3340735"/>
                    </a:xfrm>
                    <a:prstGeom prst="rect">
                      <a:avLst/>
                    </a:prstGeom>
                    <a:noFill/>
                    <a:ln>
                      <a:noFill/>
                    </a:ln>
                  </pic:spPr>
                </pic:pic>
              </a:graphicData>
            </a:graphic>
          </wp:anchor>
        </w:drawing>
      </w:r>
      <w:r>
        <w:rPr>
          <w:rFonts w:hint="eastAsia"/>
          <w:lang w:val="en-US" w:eastAsia="zh-CN"/>
        </w:rPr>
        <w:t>选择认定机构</w:t>
      </w:r>
    </w:p>
    <w:p w14:paraId="7FDE8431">
      <w:pPr>
        <w:numPr>
          <w:ilvl w:val="0"/>
          <w:numId w:val="0"/>
        </w:numPr>
        <w:ind w:left="420" w:leftChars="0"/>
        <w:rPr>
          <w:rFonts w:hint="default"/>
          <w:lang w:val="en-US" w:eastAsia="zh-CN"/>
        </w:rPr>
      </w:pPr>
      <w:r>
        <w:drawing>
          <wp:anchor distT="0" distB="0" distL="114300" distR="114300" simplePos="0" relativeHeight="251665408" behindDoc="0" locked="0" layoutInCell="1" allowOverlap="1">
            <wp:simplePos x="0" y="0"/>
            <wp:positionH relativeFrom="column">
              <wp:posOffset>99060</wp:posOffset>
            </wp:positionH>
            <wp:positionV relativeFrom="paragraph">
              <wp:posOffset>27940</wp:posOffset>
            </wp:positionV>
            <wp:extent cx="5605780" cy="3270885"/>
            <wp:effectExtent l="0" t="0" r="2540" b="571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605780" cy="3270885"/>
                    </a:xfrm>
                    <a:prstGeom prst="rect">
                      <a:avLst/>
                    </a:prstGeom>
                    <a:noFill/>
                    <a:ln>
                      <a:noFill/>
                    </a:ln>
                  </pic:spPr>
                </pic:pic>
              </a:graphicData>
            </a:graphic>
          </wp:anchor>
        </w:drawing>
      </w:r>
    </w:p>
    <w:p w14:paraId="3D4B8486">
      <w:pPr>
        <w:numPr>
          <w:ilvl w:val="0"/>
          <w:numId w:val="0"/>
        </w:numPr>
        <w:ind w:left="420" w:leftChars="0"/>
        <w:rPr>
          <w:rFonts w:hint="default"/>
          <w:lang w:val="en-US" w:eastAsia="zh-CN"/>
        </w:rPr>
      </w:pPr>
      <w:r>
        <w:rPr>
          <w:rFonts w:hint="eastAsia"/>
          <w:lang w:val="en-US" w:eastAsia="zh-CN"/>
        </w:rPr>
        <w:t>上传材料，进行提交。</w:t>
      </w:r>
    </w:p>
    <w:p w14:paraId="05AC43D0">
      <w:pPr>
        <w:numPr>
          <w:ilvl w:val="0"/>
          <w:numId w:val="0"/>
        </w:numPr>
        <w:ind w:left="420" w:leftChars="0"/>
        <w:rPr>
          <w:rFonts w:hint="default"/>
          <w:lang w:val="en-US" w:eastAsia="zh-CN"/>
        </w:rPr>
      </w:pPr>
      <w:r>
        <w:drawing>
          <wp:anchor distT="0" distB="0" distL="114300" distR="114300" simplePos="0" relativeHeight="251666432" behindDoc="0" locked="0" layoutInCell="1" allowOverlap="1">
            <wp:simplePos x="0" y="0"/>
            <wp:positionH relativeFrom="column">
              <wp:posOffset>106680</wp:posOffset>
            </wp:positionH>
            <wp:positionV relativeFrom="paragraph">
              <wp:posOffset>105410</wp:posOffset>
            </wp:positionV>
            <wp:extent cx="5613400" cy="2981325"/>
            <wp:effectExtent l="0" t="0" r="10160" b="571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613400" cy="2981325"/>
                    </a:xfrm>
                    <a:prstGeom prst="rect">
                      <a:avLst/>
                    </a:prstGeom>
                    <a:noFill/>
                    <a:ln>
                      <a:noFill/>
                    </a:ln>
                  </pic:spPr>
                </pic:pic>
              </a:graphicData>
            </a:graphic>
          </wp:anchor>
        </w:drawing>
      </w:r>
      <w:r>
        <w:rPr>
          <w:rFonts w:hint="eastAsia"/>
          <w:lang w:val="en-US" w:eastAsia="zh-CN"/>
        </w:rPr>
        <w:t>在吉事办—个人中心，我的办件中可查看申报的进度。</w:t>
      </w:r>
    </w:p>
    <w:p w14:paraId="7A09F6A4">
      <w:pPr>
        <w:numPr>
          <w:ilvl w:val="0"/>
          <w:numId w:val="0"/>
        </w:numPr>
        <w:ind w:left="420" w:leftChars="0"/>
        <w:rPr>
          <w:rFonts w:hint="default"/>
          <w:lang w:val="en-US" w:eastAsia="zh-CN"/>
        </w:rPr>
      </w:pPr>
      <w:r>
        <w:drawing>
          <wp:anchor distT="0" distB="0" distL="114300" distR="114300" simplePos="0" relativeHeight="251667456" behindDoc="0" locked="0" layoutInCell="1" allowOverlap="1">
            <wp:simplePos x="0" y="0"/>
            <wp:positionH relativeFrom="column">
              <wp:posOffset>22860</wp:posOffset>
            </wp:positionH>
            <wp:positionV relativeFrom="paragraph">
              <wp:posOffset>172720</wp:posOffset>
            </wp:positionV>
            <wp:extent cx="5609590" cy="2948305"/>
            <wp:effectExtent l="0" t="0" r="1397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609590" cy="2948305"/>
                    </a:xfrm>
                    <a:prstGeom prst="rect">
                      <a:avLst/>
                    </a:prstGeom>
                    <a:noFill/>
                    <a:ln>
                      <a:noFill/>
                    </a:ln>
                  </pic:spPr>
                </pic:pic>
              </a:graphicData>
            </a:graphic>
          </wp:anchor>
        </w:drawing>
      </w:r>
    </w:p>
    <w:sectPr>
      <w:pgSz w:w="11906" w:h="16838"/>
      <w:pgMar w:top="2098" w:right="1474" w:bottom="1984" w:left="1587" w:header="851" w:footer="992" w:gutter="0"/>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仿宋">
    <w:panose1 w:val="02010609060101010101"/>
    <w:charset w:val="86"/>
    <w:family w:val="auto"/>
    <w:pitch w:val="default"/>
    <w:sig w:usb0="00000000" w:usb1="00000000" w:usb2="00000016" w:usb3="00000000" w:csb0="00040001" w:csb1="00000000"/>
  </w:font>
  <w:font w:name="方正小标宋简体">
    <w:panose1 w:val="02000000000000000000"/>
    <w:charset w:val="86"/>
    <w:family w:val="auto"/>
    <w:pitch w:val="default"/>
    <w:sig w:usb0="00000000" w:usb1="00000000" w:usb2="00000000" w:usb3="00000000" w:csb0="00040000" w:csb1="00000000"/>
  </w:font>
  <w:font w:name="国标黑体">
    <w:altName w:val="黑体"/>
    <w:panose1 w:val="02000500000000000000"/>
    <w:charset w:val="86"/>
    <w:family w:val="auto"/>
    <w:pitch w:val="default"/>
    <w:sig w:usb0="00000000" w:usb1="00000000" w:usb2="00000000" w:usb3="00000000" w:csb0="00040000" w:csb1="00000000"/>
  </w:font>
  <w:font w:name="方正仿宋_GBK">
    <w:altName w:val="Arial Unicode MS"/>
    <w:panose1 w:val="02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00000000" w:usb1="00000000" w:usb2="0000003F" w:usb3="00000000" w:csb0="603F01FF" w:csb1="FFFF0000"/>
  </w:font>
  <w:font w:name="国标仿宋">
    <w:altName w:val="仿宋"/>
    <w:panose1 w:val="02000500000000000000"/>
    <w:charset w:val="86"/>
    <w:family w:val="auto"/>
    <w:pitch w:val="default"/>
    <w:sig w:usb0="00000000" w:usb1="00000000" w:usb2="00000016" w:usb3="00000000" w:csb0="00060007" w:csb1="00000000"/>
  </w:font>
  <w:font w:name="方正黑体_GBK">
    <w:altName w:val="Arial Unicode MS"/>
    <w:panose1 w:val="02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00000000" w:usb1="00000000" w:usb2="00000016" w:usb3="00000000" w:csb0="00040001" w:csb1="00000000"/>
  </w:font>
  <w:font w:name="国标楷体">
    <w:altName w:val="宋体"/>
    <w:panose1 w:val="02000500000000000000"/>
    <w:charset w:val="86"/>
    <w:family w:val="auto"/>
    <w:pitch w:val="default"/>
    <w:sig w:usb0="00000000" w:usb1="00000000" w:usb2="00000000" w:usb3="00000000" w:csb0="00060007" w:csb1="00000000"/>
  </w:font>
  <w:font w:name="楷体_GB2312">
    <w:altName w:val="楷体"/>
    <w:panose1 w:val="02010609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EA310"/>
    <w:multiLevelType w:val="singleLevel"/>
    <w:tmpl w:val="6EDEA31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40" w:lineRule="exact"/>
      <w:ind w:firstLine="883" w:firstLineChars="200"/>
      <w:jc w:val="left"/>
    </w:pPr>
    <w:rPr>
      <w:rFonts w:eastAsia="仿宋" w:asciiTheme="minorAscii" w:hAnsiTheme="minorAscii" w:cstheme="minorBidi"/>
      <w:kern w:val="2"/>
      <w:sz w:val="32"/>
      <w:szCs w:val="24"/>
      <w:lang w:val="en-US" w:eastAsia="zh-CN" w:bidi="ar-SA"/>
    </w:rPr>
  </w:style>
  <w:style w:type="paragraph" w:styleId="2">
    <w:name w:val="heading 2"/>
    <w:basedOn w:val="1"/>
    <w:next w:val="1"/>
    <w:unhideWhenUsed/>
    <w:qFormat/>
    <w:uiPriority w:val="0"/>
    <w:pPr>
      <w:keepNext/>
      <w:keepLines/>
      <w:spacing w:beforeLines="0" w:beforeAutospacing="0" w:afterLines="0" w:afterAutospacing="0" w:line="640" w:lineRule="exact"/>
      <w:ind w:firstLine="0" w:firstLineChars="0"/>
      <w:jc w:val="center"/>
      <w:outlineLvl w:val="1"/>
    </w:pPr>
    <w:rPr>
      <w:rFonts w:ascii="Arial" w:hAnsi="Arial" w:eastAsia="方正小标宋简体"/>
      <w:b/>
      <w:sz w:val="44"/>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1332</Words>
  <Characters>1360</Characters>
  <Lines>0</Lines>
  <Paragraphs>0</Paragraphs>
  <ScaleCrop>false</ScaleCrop>
  <LinksUpToDate>false</LinksUpToDate>
  <CharactersWithSpaces>1458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2026-04-22T16:55:00Z</dcterms:created>
  <dc:creator>散兵</dc:creator>
  <cp:lastModifiedBy>iPhone</cp:lastModifiedBy>
  <dcterms:modified xsi:type="dcterms:W3CDTF">2026-06-09T11:33:36Z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2052-12.45.1</vt:lpwstr>
  </property>
  <property fmtid="{D5CDD505-2E9C-101B-9397-08002B2CF9AE}" pid="3" name="ICV">
    <vt:lpwstr>2A0F62A2B3434431BDACEAF498941438_13</vt:lpwstr>
  </property>
  <property fmtid="{D5CDD505-2E9C-101B-9397-08002B2CF9AE}" pid="4" name="KSOTemplateDocerSaveRecord">
    <vt:lpwstr>eyJoZGlkIjoiNTgxNzcyYzI0YTZiNGYwOWRhODA2ZDVjY2IwYTkwNTUiLCJ1c2VySWQiOiI4NDQ0MTgwNzIifQ==</vt:lpwstr>
  </property>
</Properties>
</file>