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1721C8F">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2E82B216">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59C905FB">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1E0CA781">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387D5F6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eastAsia" w:eastAsia="方正小标宋简体" w:cs="Times New Roman"/>
          <w:sz w:val="44"/>
          <w:szCs w:val="44"/>
          <w:lang w:val="en-US" w:eastAsia="zh-CN"/>
        </w:rPr>
        <w:t>6</w:t>
      </w:r>
      <w:r>
        <w:rPr>
          <w:rFonts w:hint="default" w:ascii="Times New Roman" w:hAnsi="Times New Roman" w:eastAsia="方正小标宋简体" w:cs="Times New Roman"/>
          <w:sz w:val="44"/>
          <w:szCs w:val="44"/>
        </w:rPr>
        <w:t>年度</w:t>
      </w:r>
    </w:p>
    <w:p w14:paraId="7DA51892">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highlight w:val="none"/>
        </w:rPr>
        <w:t>集安市</w:t>
      </w:r>
      <w:r>
        <w:rPr>
          <w:rFonts w:hint="default" w:ascii="Times New Roman" w:hAnsi="Times New Roman" w:eastAsia="方正小标宋简体" w:cs="Times New Roman"/>
          <w:sz w:val="44"/>
          <w:szCs w:val="44"/>
          <w:highlight w:val="yellow"/>
        </w:rPr>
        <w:t>（</w:t>
      </w:r>
      <w:r>
        <w:rPr>
          <w:rFonts w:hint="eastAsia" w:ascii="Times New Roman" w:hAnsi="Times New Roman" w:eastAsia="方正小标宋简体" w:cs="Times New Roman"/>
          <w:sz w:val="44"/>
          <w:szCs w:val="44"/>
          <w:highlight w:val="yellow"/>
          <w:lang w:eastAsia="zh-CN"/>
        </w:rPr>
        <w:t>边合区</w:t>
      </w:r>
      <w:r>
        <w:rPr>
          <w:rFonts w:hint="eastAsia" w:eastAsia="方正小标宋简体" w:cs="Times New Roman"/>
          <w:sz w:val="44"/>
          <w:szCs w:val="44"/>
          <w:highlight w:val="yellow"/>
          <w:lang w:val="en-US" w:eastAsia="zh-CN"/>
        </w:rPr>
        <w:t>自然资源局</w:t>
      </w:r>
      <w:r>
        <w:rPr>
          <w:rFonts w:hint="default" w:ascii="Times New Roman" w:hAnsi="Times New Roman" w:eastAsia="方正小标宋简体" w:cs="Times New Roman"/>
          <w:sz w:val="44"/>
          <w:szCs w:val="44"/>
          <w:highlight w:val="yellow"/>
        </w:rPr>
        <w:t>）</w:t>
      </w:r>
    </w:p>
    <w:p w14:paraId="29512249">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部门预算公开情况</w:t>
      </w:r>
    </w:p>
    <w:p w14:paraId="78AB20A7">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60B37CC0">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6139AB5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787D7424">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74DEE829">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0CE7158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2C5C461A">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11EEA374">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0FDD51B5">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129D6B7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2F953BCA">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szCs w:val="44"/>
        </w:rPr>
      </w:pPr>
    </w:p>
    <w:p w14:paraId="51871E67">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szCs w:val="44"/>
        </w:rPr>
      </w:pPr>
    </w:p>
    <w:p w14:paraId="3204368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eastAsia" w:eastAsia="方正小标宋简体" w:cs="Times New Roman"/>
          <w:sz w:val="44"/>
          <w:szCs w:val="44"/>
          <w:lang w:val="en-US" w:eastAsia="zh-CN"/>
        </w:rPr>
        <w:t>6</w:t>
      </w:r>
      <w:r>
        <w:rPr>
          <w:rFonts w:hint="default" w:ascii="Times New Roman" w:hAnsi="Times New Roman" w:eastAsia="方正小标宋简体" w:cs="Times New Roman"/>
          <w:sz w:val="44"/>
          <w:szCs w:val="44"/>
        </w:rPr>
        <w:t>年</w:t>
      </w:r>
      <w:r>
        <w:rPr>
          <w:rFonts w:hint="default" w:ascii="Times New Roman" w:hAnsi="Times New Roman" w:eastAsia="方正小标宋简体" w:cs="Times New Roman"/>
          <w:sz w:val="44"/>
          <w:szCs w:val="44"/>
          <w:lang w:val="en-US" w:eastAsia="zh-CN"/>
        </w:rPr>
        <w:t>1</w:t>
      </w:r>
      <w:r>
        <w:rPr>
          <w:rFonts w:hint="default" w:ascii="Times New Roman" w:hAnsi="Times New Roman" w:eastAsia="方正小标宋简体" w:cs="Times New Roman"/>
          <w:sz w:val="44"/>
          <w:szCs w:val="44"/>
        </w:rPr>
        <w:t>月</w:t>
      </w:r>
      <w:r>
        <w:rPr>
          <w:rFonts w:hint="eastAsia" w:eastAsia="方正小标宋简体" w:cs="Times New Roman"/>
          <w:sz w:val="44"/>
          <w:szCs w:val="44"/>
          <w:lang w:val="en-US" w:eastAsia="zh-CN"/>
        </w:rPr>
        <w:t>19</w:t>
      </w:r>
      <w:r>
        <w:rPr>
          <w:rFonts w:hint="default" w:ascii="Times New Roman" w:hAnsi="Times New Roman" w:eastAsia="方正小标宋简体" w:cs="Times New Roman"/>
          <w:sz w:val="44"/>
          <w:szCs w:val="44"/>
        </w:rPr>
        <w:t>日</w:t>
      </w:r>
    </w:p>
    <w:p w14:paraId="25E08CA6">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bookmarkStart w:id="0" w:name="_GoBack"/>
      <w:bookmarkEnd w:id="0"/>
    </w:p>
    <w:p w14:paraId="7B829931">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仿宋" w:cs="Times New Roman"/>
          <w:sz w:val="32"/>
        </w:rPr>
      </w:pPr>
    </w:p>
    <w:p w14:paraId="5FF1FA86">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仿宋" w:cs="Times New Roman"/>
          <w:sz w:val="32"/>
        </w:rPr>
      </w:pPr>
    </w:p>
    <w:p w14:paraId="7FFE65C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eastAsia" w:ascii="Times New Roman" w:hAnsi="Times New Roman" w:eastAsia="方正小标宋简体" w:cs="Times New Roman"/>
          <w:sz w:val="44"/>
          <w:lang w:val="en-US" w:eastAsia="zh-CN"/>
        </w:rPr>
        <w:t>目  录</w:t>
      </w:r>
      <w:r>
        <w:rPr>
          <w:rFonts w:hint="default" w:ascii="Times New Roman" w:hAnsi="Times New Roman" w:eastAsia="方正小标宋简体" w:cs="Times New Roman"/>
          <w:sz w:val="44"/>
        </w:rPr>
        <w:t xml:space="preserve">  </w:t>
      </w:r>
    </w:p>
    <w:p w14:paraId="459F95DD">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方正小标宋简体" w:cs="Times New Roman"/>
          <w:sz w:val="44"/>
        </w:rPr>
      </w:pPr>
    </w:p>
    <w:p w14:paraId="51863427">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方正小标宋简体" w:cs="Times New Roman"/>
          <w:sz w:val="44"/>
        </w:rPr>
      </w:pPr>
    </w:p>
    <w:p w14:paraId="663D3D85">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第一部分  部门概况</w:t>
      </w:r>
    </w:p>
    <w:p w14:paraId="3024B7D5">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一、主要职能</w:t>
      </w:r>
    </w:p>
    <w:p w14:paraId="28574DCF">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二、机构设置及部门预算单位构成</w:t>
      </w:r>
    </w:p>
    <w:p w14:paraId="33399A04">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第二部分  202</w:t>
      </w:r>
      <w:r>
        <w:rPr>
          <w:rFonts w:hint="eastAsia" w:eastAsia="黑体" w:cs="Times New Roman"/>
          <w:sz w:val="32"/>
          <w:lang w:val="en-US" w:eastAsia="zh-CN"/>
        </w:rPr>
        <w:t>6</w:t>
      </w:r>
      <w:r>
        <w:rPr>
          <w:rFonts w:hint="default" w:ascii="Times New Roman" w:hAnsi="Times New Roman" w:eastAsia="黑体" w:cs="Times New Roman"/>
          <w:sz w:val="32"/>
        </w:rPr>
        <w:t>年度部门预算情况说明</w:t>
      </w:r>
    </w:p>
    <w:p w14:paraId="5DE080D7">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第三部分  名词解释</w:t>
      </w:r>
    </w:p>
    <w:p w14:paraId="7AA30B0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04DCCF81">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5AFE3C58">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4EB4E83C">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黑体" w:cs="Times New Roman"/>
          <w:sz w:val="32"/>
        </w:rPr>
      </w:pPr>
    </w:p>
    <w:p w14:paraId="793103E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仿宋" w:cs="Times New Roman"/>
          <w:sz w:val="32"/>
        </w:rPr>
      </w:pPr>
    </w:p>
    <w:p w14:paraId="0D8EEFC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27E78A5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79B338E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14B1A2D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6757E18B">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rPr>
      </w:pPr>
    </w:p>
    <w:p w14:paraId="7EBA4FC3">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C234DCA">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33AD8CE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3770526">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F5B74D3">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default" w:ascii="Times New Roman" w:hAnsi="Times New Roman" w:eastAsia="方正小标宋简体" w:cs="Times New Roman"/>
          <w:sz w:val="44"/>
        </w:rPr>
        <w:t>第一部分  部门概况</w:t>
      </w:r>
    </w:p>
    <w:p w14:paraId="25BB0C84">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黑体" w:cs="Times New Roman"/>
          <w:sz w:val="32"/>
        </w:rPr>
      </w:pPr>
    </w:p>
    <w:p w14:paraId="590B7BCF">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 xml:space="preserve">    一、主要职能</w:t>
      </w:r>
    </w:p>
    <w:p w14:paraId="62380FDF">
      <w:pPr>
        <w:keepNext w:val="0"/>
        <w:keepLines w:val="0"/>
        <w:pageBreakBefore w:val="0"/>
        <w:widowControl w:val="0"/>
        <w:kinsoku/>
        <w:wordWrap/>
        <w:overflowPunct/>
        <w:topLinePunct w:val="0"/>
        <w:autoSpaceDE/>
        <w:bidi w:val="0"/>
        <w:adjustRightInd/>
        <w:snapToGrid/>
        <w:spacing w:line="580" w:lineRule="exact"/>
        <w:textAlignment w:val="auto"/>
        <w:rPr>
          <w:rFonts w:hint="eastAsia" w:eastAsia="仿宋" w:cs="Times New Roman"/>
          <w:sz w:val="32"/>
          <w:highlight w:val="yellow"/>
          <w:lang w:val="en-US" w:eastAsia="zh-CN"/>
        </w:rPr>
      </w:pPr>
      <w:r>
        <w:rPr>
          <w:rFonts w:hint="default" w:ascii="Times New Roman" w:hAnsi="Times New Roman" w:eastAsia="仿宋" w:cs="Times New Roman"/>
          <w:sz w:val="32"/>
        </w:rPr>
        <w:t xml:space="preserve">    </w:t>
      </w:r>
      <w:r>
        <w:rPr>
          <w:rFonts w:hint="eastAsia" w:ascii="Times New Roman" w:hAnsi="Times New Roman" w:eastAsia="仿宋" w:cs="Times New Roman"/>
          <w:sz w:val="32"/>
          <w:highlight w:val="yellow"/>
          <w:lang w:val="en-US" w:eastAsia="zh-CN"/>
        </w:rPr>
        <w:t xml:space="preserve"> 一、</w:t>
      </w:r>
      <w:r>
        <w:rPr>
          <w:rFonts w:hint="eastAsia" w:eastAsia="仿宋" w:cs="Times New Roman"/>
          <w:sz w:val="32"/>
          <w:highlight w:val="yellow"/>
          <w:lang w:val="en-US" w:eastAsia="zh-CN"/>
        </w:rPr>
        <w:t>贯彻执行国家、省、市有关自然资源法律法规，负责实施集安市国土空间总体规划，编制分区规划并组织实施；负责市政府指定区域自然资源调查监测评价；负责市政府指定区域自然资源的国土空间用途转用工作和土地征收征用管理。</w:t>
      </w:r>
    </w:p>
    <w:p w14:paraId="242832D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lang w:val="en-US" w:eastAsia="zh-CN"/>
        </w:rPr>
      </w:pPr>
      <w:r>
        <w:rPr>
          <w:rFonts w:hint="eastAsia" w:eastAsia="仿宋" w:cs="Times New Roman"/>
          <w:sz w:val="32"/>
          <w:highlight w:val="yellow"/>
          <w:lang w:val="en-US" w:eastAsia="zh-CN"/>
        </w:rPr>
        <w:t>负责国外招商工作；承办国外投资合作的联络、接待、洽谈、协调工作。</w:t>
      </w:r>
    </w:p>
    <w:p w14:paraId="05144960">
      <w:pPr>
        <w:keepNext w:val="0"/>
        <w:keepLines w:val="0"/>
        <w:pageBreakBefore w:val="0"/>
        <w:widowControl w:val="0"/>
        <w:numPr>
          <w:ilvl w:val="0"/>
          <w:numId w:val="1"/>
        </w:numPr>
        <w:tabs>
          <w:tab w:val="left" w:pos="515"/>
        </w:tabs>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黑体" w:cs="Times New Roman"/>
          <w:sz w:val="32"/>
        </w:rPr>
      </w:pPr>
      <w:r>
        <w:rPr>
          <w:rFonts w:hint="default" w:ascii="Times New Roman" w:hAnsi="Times New Roman" w:eastAsia="黑体" w:cs="Times New Roman"/>
          <w:sz w:val="32"/>
        </w:rPr>
        <w:t>机构设置及部门预算单位构成</w:t>
      </w:r>
    </w:p>
    <w:p w14:paraId="0B2DDACC">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年预算单位范围包括部门本级及所</w:t>
      </w:r>
      <w:r>
        <w:rPr>
          <w:rFonts w:hint="default" w:ascii="Times New Roman" w:hAnsi="Times New Roman" w:eastAsia="仿宋" w:cs="Times New Roman"/>
          <w:sz w:val="32"/>
          <w:highlight w:val="none"/>
        </w:rPr>
        <w:t>属</w:t>
      </w:r>
      <w:r>
        <w:rPr>
          <w:rFonts w:hint="eastAsia" w:ascii="Times New Roman" w:hAnsi="Times New Roman" w:eastAsia="仿宋" w:cs="Times New Roman"/>
          <w:sz w:val="32"/>
          <w:highlight w:val="yellow"/>
          <w:lang w:val="en-US" w:eastAsia="zh-CN"/>
        </w:rPr>
        <w:t>1</w:t>
      </w:r>
      <w:r>
        <w:rPr>
          <w:rFonts w:hint="default" w:ascii="Times New Roman" w:hAnsi="Times New Roman" w:eastAsia="仿宋" w:cs="Times New Roman"/>
          <w:sz w:val="32"/>
          <w:highlight w:val="none"/>
        </w:rPr>
        <w:t>个</w:t>
      </w:r>
      <w:r>
        <w:rPr>
          <w:rFonts w:hint="default" w:ascii="Times New Roman" w:hAnsi="Times New Roman" w:eastAsia="仿宋" w:cs="Times New Roman"/>
          <w:sz w:val="32"/>
        </w:rPr>
        <w:t>预算单位。包括：</w:t>
      </w:r>
    </w:p>
    <w:p w14:paraId="796EC013">
      <w:pPr>
        <w:spacing w:line="560" w:lineRule="exact"/>
        <w:ind w:left="640"/>
        <w:rPr>
          <w:rFonts w:eastAsia="仿宋"/>
          <w:sz w:val="32"/>
        </w:rPr>
      </w:pPr>
      <w:r>
        <w:rPr>
          <w:rFonts w:eastAsia="仿宋"/>
          <w:sz w:val="32"/>
        </w:rPr>
        <w:t>1.</w:t>
      </w:r>
      <w:r>
        <w:rPr>
          <w:rFonts w:hint="eastAsia" w:eastAsia="仿宋"/>
          <w:sz w:val="32"/>
          <w:lang w:val="en-US" w:eastAsia="zh-CN"/>
        </w:rPr>
        <w:t>吉林集安边境经济合作区自然资源局</w:t>
      </w:r>
      <w:r>
        <w:rPr>
          <w:rFonts w:eastAsia="仿宋"/>
          <w:sz w:val="32"/>
        </w:rPr>
        <w:t>本级</w:t>
      </w:r>
    </w:p>
    <w:p w14:paraId="658A239E">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p>
    <w:p w14:paraId="7C6C53F1">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年实有人</w:t>
      </w:r>
      <w:r>
        <w:rPr>
          <w:rFonts w:hint="default" w:ascii="Times New Roman" w:hAnsi="Times New Roman" w:eastAsia="仿宋" w:cs="Times New Roman"/>
          <w:sz w:val="32"/>
          <w:highlight w:val="none"/>
        </w:rPr>
        <w:t>员</w:t>
      </w:r>
      <w:r>
        <w:rPr>
          <w:rFonts w:hint="eastAsia" w:eastAsia="仿宋" w:cs="Times New Roman"/>
          <w:sz w:val="32"/>
          <w:highlight w:val="yellow"/>
          <w:lang w:val="en-US" w:eastAsia="zh-CN"/>
        </w:rPr>
        <w:t>7</w:t>
      </w:r>
      <w:r>
        <w:rPr>
          <w:rFonts w:hint="default" w:ascii="Times New Roman" w:hAnsi="Times New Roman" w:eastAsia="仿宋" w:cs="Times New Roman"/>
          <w:sz w:val="32"/>
          <w:highlight w:val="none"/>
        </w:rPr>
        <w:t>人，</w:t>
      </w:r>
      <w:r>
        <w:rPr>
          <w:rFonts w:hint="default" w:ascii="Times New Roman" w:hAnsi="Times New Roman" w:eastAsia="仿宋" w:cs="Times New Roman"/>
          <w:sz w:val="32"/>
        </w:rPr>
        <w:t>其中：在职人员</w:t>
      </w:r>
      <w:r>
        <w:rPr>
          <w:rFonts w:hint="eastAsia" w:eastAsia="仿宋" w:cs="Times New Roman"/>
          <w:sz w:val="32"/>
          <w:highlight w:val="yellow"/>
          <w:lang w:val="en-US" w:eastAsia="zh-CN"/>
        </w:rPr>
        <w:t>7</w:t>
      </w:r>
      <w:r>
        <w:rPr>
          <w:rFonts w:hint="default" w:ascii="Times New Roman" w:hAnsi="Times New Roman" w:eastAsia="仿宋" w:cs="Times New Roman"/>
          <w:sz w:val="32"/>
          <w:highlight w:val="none"/>
        </w:rPr>
        <w:t>人</w:t>
      </w:r>
      <w:r>
        <w:rPr>
          <w:rFonts w:hint="default" w:ascii="Times New Roman" w:hAnsi="Times New Roman" w:eastAsia="仿宋" w:cs="Times New Roman"/>
          <w:sz w:val="32"/>
        </w:rPr>
        <w:t>，离退休人</w:t>
      </w:r>
      <w:r>
        <w:rPr>
          <w:rFonts w:hint="default" w:ascii="Times New Roman" w:hAnsi="Times New Roman" w:eastAsia="仿宋" w:cs="Times New Roman"/>
          <w:sz w:val="32"/>
          <w:highlight w:val="none"/>
        </w:rPr>
        <w:t>员</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人</w:t>
      </w:r>
      <w:r>
        <w:rPr>
          <w:rFonts w:hint="default" w:ascii="Times New Roman" w:hAnsi="Times New Roman" w:eastAsia="仿宋" w:cs="Times New Roman"/>
          <w:sz w:val="32"/>
        </w:rPr>
        <w:t>。</w:t>
      </w:r>
    </w:p>
    <w:p w14:paraId="0D56B4A5">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p>
    <w:p w14:paraId="3B23923A">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421E52C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0F2A01A3">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352991A3">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397DA3B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53E5B999">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31F6F9C8">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57063F90">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48A421C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0E81C0A2">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71FBF31B">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default" w:ascii="Times New Roman" w:hAnsi="Times New Roman" w:eastAsia="方正小标宋简体" w:cs="Times New Roman"/>
          <w:sz w:val="44"/>
        </w:rPr>
        <w:t>第二部分  202</w:t>
      </w:r>
      <w:r>
        <w:rPr>
          <w:rFonts w:hint="eastAsia" w:eastAsia="方正小标宋简体" w:cs="Times New Roman"/>
          <w:sz w:val="44"/>
          <w:lang w:val="en-US" w:eastAsia="zh-CN"/>
        </w:rPr>
        <w:t>6</w:t>
      </w:r>
      <w:r>
        <w:rPr>
          <w:rFonts w:hint="default" w:ascii="Times New Roman" w:hAnsi="Times New Roman" w:eastAsia="方正小标宋简体" w:cs="Times New Roman"/>
          <w:sz w:val="44"/>
        </w:rPr>
        <w:t>年度部门预算情况说明</w:t>
      </w:r>
    </w:p>
    <w:p w14:paraId="5E59BB0D">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0AB711AC">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一、</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30"/>
          <w:szCs w:val="30"/>
          <w:highlight w:val="yellow"/>
          <w:lang w:eastAsia="zh-CN"/>
        </w:rPr>
        <w:t>边合区</w:t>
      </w:r>
      <w:r>
        <w:rPr>
          <w:rFonts w:hint="eastAsia" w:eastAsia="方正小标宋简体" w:cs="Times New Roman"/>
          <w:sz w:val="30"/>
          <w:szCs w:val="30"/>
          <w:highlight w:val="yellow"/>
          <w:lang w:val="en-US" w:eastAsia="zh-CN"/>
        </w:rPr>
        <w:t>自然资源局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年度收入支出总体情况说明</w:t>
      </w:r>
    </w:p>
    <w:p w14:paraId="35CF8179">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lang w:val="en-US" w:eastAsia="zh-CN"/>
        </w:rPr>
      </w:pPr>
      <w:r>
        <w:rPr>
          <w:rFonts w:hint="default" w:ascii="Times New Roman" w:hAnsi="Times New Roman" w:eastAsia="仿宋" w:cs="Times New Roman"/>
          <w:sz w:val="32"/>
        </w:rPr>
        <w:t xml:space="preserve">    预算编制内容应包括预算单位的全部收支情况。收入包括：财政拨款收入、上级补助收入、事业单位经营收入、附属单位上缴收入、其他收入、用事业基金弥补收支差额、上年结转；支出包括：基本支出、项目支出、事业单位经营支出、上级补助支出、结转结余资金支出、其他支出、上缴上级支出、对附属单位补助支出。202</w:t>
      </w:r>
      <w:r>
        <w:rPr>
          <w:rFonts w:hint="eastAsia" w:eastAsia="仿宋" w:cs="Times New Roman"/>
          <w:sz w:val="32"/>
          <w:lang w:val="en-US" w:eastAsia="zh-CN"/>
        </w:rPr>
        <w:t>6</w:t>
      </w:r>
      <w:r>
        <w:rPr>
          <w:rFonts w:hint="default" w:ascii="Times New Roman" w:hAnsi="Times New Roman" w:eastAsia="仿宋" w:cs="Times New Roman"/>
          <w:sz w:val="32"/>
        </w:rPr>
        <w:t>年</w:t>
      </w:r>
      <w:r>
        <w:rPr>
          <w:rFonts w:hint="default" w:ascii="Times New Roman" w:hAnsi="Times New Roman" w:eastAsia="仿宋" w:cs="Times New Roman"/>
          <w:sz w:val="32"/>
          <w:szCs w:val="30"/>
        </w:rPr>
        <w:t>收入总计</w:t>
      </w:r>
      <w:r>
        <w:rPr>
          <w:rFonts w:hint="eastAsia" w:eastAsia="仿宋" w:cs="Times New Roman"/>
          <w:sz w:val="32"/>
          <w:szCs w:val="30"/>
          <w:lang w:val="en-US" w:eastAsia="zh-CN"/>
        </w:rPr>
        <w:t>146.5</w:t>
      </w:r>
      <w:r>
        <w:rPr>
          <w:rFonts w:hint="default" w:ascii="Times New Roman" w:hAnsi="Times New Roman" w:eastAsia="仿宋" w:cs="Times New Roman"/>
          <w:sz w:val="32"/>
          <w:szCs w:val="30"/>
        </w:rPr>
        <w:t>万元，支出总计</w:t>
      </w:r>
      <w:r>
        <w:rPr>
          <w:rFonts w:hint="eastAsia" w:eastAsia="仿宋" w:cs="Times New Roman"/>
          <w:sz w:val="32"/>
          <w:szCs w:val="30"/>
          <w:lang w:val="en-US" w:eastAsia="zh-CN"/>
        </w:rPr>
        <w:t>146.5</w:t>
      </w:r>
      <w:r>
        <w:rPr>
          <w:rFonts w:hint="default" w:ascii="Times New Roman" w:hAnsi="Times New Roman" w:eastAsia="仿宋" w:cs="Times New Roman"/>
          <w:sz w:val="32"/>
          <w:szCs w:val="30"/>
        </w:rPr>
        <w:t>万元，与202</w:t>
      </w:r>
      <w:r>
        <w:rPr>
          <w:rFonts w:hint="eastAsia" w:eastAsia="仿宋" w:cs="Times New Roman"/>
          <w:sz w:val="32"/>
          <w:szCs w:val="30"/>
          <w:lang w:val="en-US" w:eastAsia="zh-CN"/>
        </w:rPr>
        <w:t>5</w:t>
      </w:r>
      <w:r>
        <w:rPr>
          <w:rFonts w:hint="default" w:ascii="Times New Roman" w:hAnsi="Times New Roman" w:eastAsia="仿宋" w:cs="Times New Roman"/>
          <w:sz w:val="32"/>
          <w:szCs w:val="30"/>
        </w:rPr>
        <w:t>年相比，收、支总计各</w:t>
      </w:r>
      <w:r>
        <w:rPr>
          <w:rFonts w:hint="default" w:ascii="Times New Roman" w:hAnsi="Times New Roman" w:eastAsia="仿宋" w:cs="Times New Roman"/>
          <w:sz w:val="32"/>
          <w:szCs w:val="30"/>
          <w:highlight w:val="yellow"/>
        </w:rPr>
        <w:t>（减少</w:t>
      </w:r>
      <w:r>
        <w:rPr>
          <w:rFonts w:hint="eastAsia" w:eastAsia="仿宋" w:cs="Times New Roman"/>
          <w:sz w:val="32"/>
          <w:szCs w:val="30"/>
          <w:highlight w:val="yellow"/>
          <w:lang w:val="en-US" w:eastAsia="zh-CN"/>
        </w:rPr>
        <w:t>7.2</w:t>
      </w:r>
      <w:r>
        <w:rPr>
          <w:rFonts w:hint="default" w:ascii="Times New Roman" w:hAnsi="Times New Roman" w:eastAsia="仿宋" w:cs="Times New Roman"/>
          <w:sz w:val="32"/>
          <w:szCs w:val="30"/>
        </w:rPr>
        <w:t>万元，</w:t>
      </w:r>
      <w:r>
        <w:rPr>
          <w:rFonts w:hint="default" w:ascii="Times New Roman" w:hAnsi="Times New Roman" w:eastAsia="仿宋" w:cs="Times New Roman"/>
          <w:sz w:val="32"/>
          <w:szCs w:val="30"/>
          <w:highlight w:val="yellow"/>
        </w:rPr>
        <w:t>（降低）</w:t>
      </w:r>
      <w:r>
        <w:rPr>
          <w:rFonts w:hint="eastAsia" w:eastAsia="仿宋" w:cs="Times New Roman"/>
          <w:sz w:val="32"/>
          <w:szCs w:val="30"/>
          <w:highlight w:val="yellow"/>
          <w:lang w:val="en-US" w:eastAsia="zh-CN"/>
        </w:rPr>
        <w:t>11</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。主要原因：</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highlight w:val="none"/>
          <w:lang w:eastAsia="zh-CN"/>
        </w:rPr>
        <w:t>。</w:t>
      </w:r>
    </w:p>
    <w:p w14:paraId="2600F182">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二、</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30"/>
          <w:szCs w:val="30"/>
          <w:highlight w:val="yellow"/>
          <w:lang w:eastAsia="zh-CN"/>
        </w:rPr>
        <w:t>边合区</w:t>
      </w:r>
      <w:r>
        <w:rPr>
          <w:rFonts w:hint="eastAsia" w:eastAsia="方正小标宋简体" w:cs="Times New Roman"/>
          <w:sz w:val="30"/>
          <w:szCs w:val="30"/>
          <w:highlight w:val="yellow"/>
          <w:lang w:val="en-US" w:eastAsia="zh-CN"/>
        </w:rPr>
        <w:t>自然资源局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年度收入情况说明</w:t>
      </w:r>
    </w:p>
    <w:p w14:paraId="5A7781ED">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rPr>
      </w:pPr>
      <w:r>
        <w:rPr>
          <w:rFonts w:hint="default" w:ascii="Times New Roman" w:hAnsi="Times New Roman" w:eastAsia="仿宋" w:cs="Times New Roman"/>
          <w:sz w:val="32"/>
        </w:rPr>
        <w:t>本年收入合</w:t>
      </w:r>
      <w:r>
        <w:rPr>
          <w:rFonts w:hint="default" w:ascii="Times New Roman" w:hAnsi="Times New Roman" w:eastAsia="仿宋" w:cs="Times New Roman"/>
          <w:sz w:val="32"/>
          <w:highlight w:val="none"/>
        </w:rPr>
        <w:t>计</w:t>
      </w:r>
      <w:r>
        <w:rPr>
          <w:rFonts w:hint="eastAsia" w:eastAsia="仿宋" w:cs="Times New Roman"/>
          <w:sz w:val="32"/>
          <w:szCs w:val="30"/>
          <w:lang w:val="en-US" w:eastAsia="zh-CN"/>
        </w:rPr>
        <w:t>51.2</w:t>
      </w:r>
      <w:r>
        <w:rPr>
          <w:rFonts w:hint="default" w:ascii="Times New Roman" w:hAnsi="Times New Roman" w:eastAsia="仿宋" w:cs="Times New Roman"/>
          <w:sz w:val="32"/>
          <w:highlight w:val="none"/>
        </w:rPr>
        <w:t>万</w:t>
      </w:r>
      <w:r>
        <w:rPr>
          <w:rFonts w:hint="default" w:ascii="Times New Roman" w:hAnsi="Times New Roman" w:eastAsia="仿宋" w:cs="Times New Roman"/>
          <w:sz w:val="32"/>
        </w:rPr>
        <w:t>元，其中：一般公共预算收</w:t>
      </w:r>
      <w:r>
        <w:rPr>
          <w:rFonts w:hint="default" w:ascii="Times New Roman" w:hAnsi="Times New Roman" w:eastAsia="仿宋" w:cs="Times New Roman"/>
          <w:sz w:val="32"/>
          <w:highlight w:val="none"/>
        </w:rPr>
        <w:t>入</w:t>
      </w:r>
      <w:r>
        <w:rPr>
          <w:rFonts w:hint="eastAsia" w:eastAsia="仿宋" w:cs="Times New Roman"/>
          <w:sz w:val="32"/>
          <w:szCs w:val="30"/>
          <w:lang w:val="en-US" w:eastAsia="zh-CN"/>
        </w:rPr>
        <w:t>51.2</w:t>
      </w:r>
      <w:r>
        <w:rPr>
          <w:rFonts w:hint="default" w:ascii="Times New Roman" w:hAnsi="Times New Roman" w:eastAsia="仿宋" w:cs="Times New Roman"/>
          <w:sz w:val="32"/>
          <w:highlight w:val="none"/>
        </w:rPr>
        <w:t>万元；政府性基金预算收入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万元；国有资本经营预算收入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万元；财政专户管理资金收入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万元；事业收入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yellow"/>
        </w:rPr>
        <w:t xml:space="preserve"> </w:t>
      </w:r>
      <w:r>
        <w:rPr>
          <w:rFonts w:hint="default" w:ascii="Times New Roman" w:hAnsi="Times New Roman" w:eastAsia="仿宋" w:cs="Times New Roman"/>
          <w:sz w:val="32"/>
          <w:highlight w:val="none"/>
        </w:rPr>
        <w:t>万元；事业单位经营收入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万元；上级补助收入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万元；附属单位上缴收入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万元；其他收入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万元；上年结转</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rPr>
        <w:t xml:space="preserve">   </w:t>
      </w:r>
    </w:p>
    <w:p w14:paraId="6F0E2082">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rPr>
      </w:pPr>
      <w:r>
        <w:rPr>
          <w:rFonts w:hint="default" w:ascii="Times New Roman" w:hAnsi="Times New Roman" w:eastAsia="黑体" w:cs="Times New Roman"/>
          <w:sz w:val="32"/>
        </w:rPr>
        <w:t>三、</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30"/>
          <w:szCs w:val="30"/>
          <w:highlight w:val="yellow"/>
          <w:lang w:eastAsia="zh-CN"/>
        </w:rPr>
        <w:t>边合区</w:t>
      </w:r>
      <w:r>
        <w:rPr>
          <w:rFonts w:hint="eastAsia" w:eastAsia="方正小标宋简体" w:cs="Times New Roman"/>
          <w:sz w:val="30"/>
          <w:szCs w:val="30"/>
          <w:highlight w:val="yellow"/>
          <w:lang w:val="en-US" w:eastAsia="zh-CN"/>
        </w:rPr>
        <w:t>自然资源局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年度支出情况说明</w:t>
      </w:r>
    </w:p>
    <w:p w14:paraId="1E43266D">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highlight w:val="yellow"/>
        </w:rPr>
      </w:pPr>
      <w:r>
        <w:rPr>
          <w:rFonts w:hint="default" w:ascii="Times New Roman" w:hAnsi="Times New Roman" w:eastAsia="仿宋" w:cs="Times New Roman"/>
          <w:sz w:val="32"/>
        </w:rPr>
        <w:t>本年支出合</w:t>
      </w:r>
      <w:r>
        <w:rPr>
          <w:rFonts w:hint="default" w:ascii="Times New Roman" w:hAnsi="Times New Roman" w:eastAsia="仿宋" w:cs="Times New Roman"/>
          <w:sz w:val="32"/>
          <w:highlight w:val="none"/>
        </w:rPr>
        <w:t>计</w:t>
      </w:r>
      <w:r>
        <w:rPr>
          <w:rFonts w:hint="eastAsia" w:eastAsia="仿宋" w:cs="Times New Roman"/>
          <w:sz w:val="32"/>
          <w:szCs w:val="30"/>
          <w:lang w:val="en-US" w:eastAsia="zh-CN"/>
        </w:rPr>
        <w:t>51.2</w:t>
      </w:r>
      <w:r>
        <w:rPr>
          <w:rFonts w:hint="default" w:ascii="Times New Roman" w:hAnsi="Times New Roman" w:eastAsia="仿宋" w:cs="Times New Roman"/>
          <w:sz w:val="32"/>
          <w:highlight w:val="none"/>
        </w:rPr>
        <w:t>万</w:t>
      </w:r>
      <w:r>
        <w:rPr>
          <w:rFonts w:hint="default" w:ascii="Times New Roman" w:hAnsi="Times New Roman" w:eastAsia="仿宋" w:cs="Times New Roman"/>
          <w:sz w:val="32"/>
        </w:rPr>
        <w:t>元，其中：基本支</w:t>
      </w:r>
      <w:r>
        <w:rPr>
          <w:rFonts w:hint="default" w:ascii="Times New Roman" w:hAnsi="Times New Roman" w:eastAsia="仿宋" w:cs="Times New Roman"/>
          <w:sz w:val="32"/>
          <w:highlight w:val="none"/>
        </w:rPr>
        <w:t>出</w:t>
      </w:r>
      <w:r>
        <w:rPr>
          <w:rFonts w:hint="eastAsia" w:eastAsia="仿宋" w:cs="Times New Roman"/>
          <w:sz w:val="32"/>
          <w:highlight w:val="yellow"/>
          <w:lang w:val="en-US" w:eastAsia="zh-CN"/>
        </w:rPr>
        <w:t>51.2</w:t>
      </w:r>
      <w:r>
        <w:rPr>
          <w:rFonts w:hint="default" w:ascii="Times New Roman" w:hAnsi="Times New Roman" w:eastAsia="仿宋" w:cs="Times New Roman"/>
          <w:sz w:val="32"/>
          <w:highlight w:val="none"/>
        </w:rPr>
        <w:t>万元；项目支出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万元；单位资金支出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万元；上年结转结余</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p>
    <w:p w14:paraId="691EFC05">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四、</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30"/>
          <w:szCs w:val="30"/>
          <w:highlight w:val="yellow"/>
          <w:lang w:eastAsia="zh-CN"/>
        </w:rPr>
        <w:t>边合区</w:t>
      </w:r>
      <w:r>
        <w:rPr>
          <w:rFonts w:hint="eastAsia" w:eastAsia="方正小标宋简体" w:cs="Times New Roman"/>
          <w:sz w:val="30"/>
          <w:szCs w:val="30"/>
          <w:highlight w:val="yellow"/>
          <w:lang w:val="en-US" w:eastAsia="zh-CN"/>
        </w:rPr>
        <w:t>自然资源局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年度财政拨款收入支出总体情况说明</w:t>
      </w:r>
    </w:p>
    <w:p w14:paraId="63F9E90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rPr>
        <w:t xml:space="preserve">   202</w:t>
      </w:r>
      <w:r>
        <w:rPr>
          <w:rFonts w:hint="eastAsia" w:eastAsia="仿宋" w:cs="Times New Roman"/>
          <w:sz w:val="32"/>
          <w:lang w:val="en-US" w:eastAsia="zh-CN"/>
        </w:rPr>
        <w:t>6</w:t>
      </w:r>
      <w:r>
        <w:rPr>
          <w:rFonts w:hint="default" w:ascii="Times New Roman" w:hAnsi="Times New Roman" w:eastAsia="仿宋" w:cs="Times New Roman"/>
          <w:sz w:val="32"/>
        </w:rPr>
        <w:t>年</w:t>
      </w:r>
      <w:r>
        <w:rPr>
          <w:rFonts w:hint="default" w:ascii="Times New Roman" w:hAnsi="Times New Roman" w:eastAsia="仿宋" w:cs="Times New Roman"/>
          <w:sz w:val="32"/>
          <w:lang w:val="en-US" w:eastAsia="zh-CN"/>
        </w:rPr>
        <w:t>财政拨款</w:t>
      </w:r>
      <w:r>
        <w:rPr>
          <w:rFonts w:hint="default" w:ascii="Times New Roman" w:hAnsi="Times New Roman" w:eastAsia="仿宋" w:cs="Times New Roman"/>
          <w:sz w:val="32"/>
          <w:szCs w:val="30"/>
        </w:rPr>
        <w:t>收入总计</w:t>
      </w:r>
      <w:r>
        <w:rPr>
          <w:rFonts w:hint="eastAsia" w:eastAsia="仿宋" w:cs="Times New Roman"/>
          <w:sz w:val="32"/>
          <w:szCs w:val="30"/>
          <w:lang w:val="en-US" w:eastAsia="zh-CN"/>
        </w:rPr>
        <w:t>51.2</w:t>
      </w:r>
      <w:r>
        <w:rPr>
          <w:rFonts w:hint="default" w:ascii="Times New Roman" w:hAnsi="Times New Roman" w:eastAsia="仿宋" w:cs="Times New Roman"/>
          <w:sz w:val="32"/>
          <w:szCs w:val="30"/>
        </w:rPr>
        <w:t>万元，支出总计</w:t>
      </w:r>
      <w:r>
        <w:rPr>
          <w:rFonts w:hint="eastAsia" w:eastAsia="仿宋" w:cs="Times New Roman"/>
          <w:sz w:val="32"/>
          <w:szCs w:val="30"/>
          <w:lang w:val="en-US" w:eastAsia="zh-CN"/>
        </w:rPr>
        <w:t>51.2</w:t>
      </w:r>
      <w:r>
        <w:rPr>
          <w:rFonts w:hint="default" w:ascii="Times New Roman" w:hAnsi="Times New Roman" w:eastAsia="仿宋" w:cs="Times New Roman"/>
          <w:sz w:val="32"/>
          <w:szCs w:val="30"/>
        </w:rPr>
        <w:t>万元，与202</w:t>
      </w:r>
      <w:r>
        <w:rPr>
          <w:rFonts w:hint="eastAsia" w:eastAsia="仿宋" w:cs="Times New Roman"/>
          <w:sz w:val="32"/>
          <w:szCs w:val="30"/>
          <w:lang w:val="en-US" w:eastAsia="zh-CN"/>
        </w:rPr>
        <w:t>5</w:t>
      </w:r>
      <w:r>
        <w:rPr>
          <w:rFonts w:hint="default" w:ascii="Times New Roman" w:hAnsi="Times New Roman" w:eastAsia="仿宋" w:cs="Times New Roman"/>
          <w:sz w:val="32"/>
          <w:szCs w:val="30"/>
        </w:rPr>
        <w:t>年相比，收、支总计各</w:t>
      </w:r>
      <w:r>
        <w:rPr>
          <w:rFonts w:hint="default" w:ascii="Times New Roman" w:hAnsi="Times New Roman" w:eastAsia="仿宋" w:cs="Times New Roman"/>
          <w:sz w:val="32"/>
          <w:szCs w:val="30"/>
          <w:highlight w:val="yellow"/>
        </w:rPr>
        <w:t>增加（减少）</w:t>
      </w:r>
      <w:r>
        <w:rPr>
          <w:rFonts w:hint="eastAsia" w:eastAsia="仿宋" w:cs="Times New Roman"/>
          <w:sz w:val="32"/>
          <w:szCs w:val="30"/>
          <w:highlight w:val="yellow"/>
          <w:lang w:val="en-US" w:eastAsia="zh-CN"/>
        </w:rPr>
        <w:t>2.1</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rPr>
        <w:t>万元，</w:t>
      </w:r>
      <w:r>
        <w:rPr>
          <w:rFonts w:hint="default" w:ascii="Times New Roman" w:hAnsi="Times New Roman" w:eastAsia="仿宋" w:cs="Times New Roman"/>
          <w:sz w:val="32"/>
          <w:szCs w:val="30"/>
          <w:highlight w:val="yellow"/>
        </w:rPr>
        <w:t>增长（降低）</w:t>
      </w:r>
      <w:r>
        <w:rPr>
          <w:rFonts w:hint="eastAsia" w:eastAsia="仿宋" w:cs="Times New Roman"/>
          <w:sz w:val="32"/>
          <w:szCs w:val="30"/>
          <w:highlight w:val="yellow"/>
          <w:lang w:val="en-US" w:eastAsia="zh-CN"/>
        </w:rPr>
        <w:t>13</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。主要原因：</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highlight w:val="none"/>
          <w:lang w:eastAsia="zh-CN"/>
        </w:rPr>
        <w:t>。</w:t>
      </w:r>
    </w:p>
    <w:p w14:paraId="2811D94F">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楷体" w:cs="Times New Roman"/>
          <w:b/>
          <w:bCs/>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五、</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30"/>
          <w:szCs w:val="30"/>
          <w:highlight w:val="yellow"/>
          <w:lang w:eastAsia="zh-CN"/>
        </w:rPr>
        <w:t>边合区</w:t>
      </w:r>
      <w:r>
        <w:rPr>
          <w:rFonts w:hint="eastAsia" w:eastAsia="方正小标宋简体" w:cs="Times New Roman"/>
          <w:sz w:val="30"/>
          <w:szCs w:val="30"/>
          <w:highlight w:val="yellow"/>
          <w:lang w:val="en-US" w:eastAsia="zh-CN"/>
        </w:rPr>
        <w:t>自然资源局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年度一般公共预算财政拨款支出情况说明</w:t>
      </w:r>
    </w:p>
    <w:p w14:paraId="4B8052C6">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w:t>
      </w:r>
      <w:r>
        <w:rPr>
          <w:rFonts w:hint="default" w:ascii="Times New Roman" w:hAnsi="Times New Roman" w:eastAsia="仿宋" w:cs="Times New Roman"/>
          <w:sz w:val="32"/>
          <w:szCs w:val="30"/>
          <w:lang w:val="en-US" w:eastAsia="zh-CN"/>
        </w:rPr>
        <w:t>一般公共预算</w:t>
      </w:r>
      <w:r>
        <w:rPr>
          <w:rFonts w:hint="default" w:ascii="Times New Roman" w:hAnsi="Times New Roman" w:eastAsia="仿宋" w:cs="Times New Roman"/>
          <w:sz w:val="32"/>
          <w:szCs w:val="30"/>
        </w:rPr>
        <w:t>财政拨款支</w:t>
      </w:r>
      <w:r>
        <w:rPr>
          <w:rFonts w:hint="default" w:ascii="Times New Roman" w:hAnsi="Times New Roman" w:eastAsia="仿宋" w:cs="Times New Roman"/>
          <w:sz w:val="32"/>
          <w:szCs w:val="30"/>
          <w:highlight w:val="none"/>
        </w:rPr>
        <w:t>出</w:t>
      </w:r>
      <w:r>
        <w:rPr>
          <w:rFonts w:hint="eastAsia" w:eastAsia="仿宋" w:cs="Times New Roman"/>
          <w:sz w:val="32"/>
          <w:szCs w:val="30"/>
          <w:lang w:val="en-US" w:eastAsia="zh-CN"/>
        </w:rPr>
        <w:t>51.2</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w:t>
      </w:r>
      <w:r>
        <w:rPr>
          <w:rFonts w:hint="default" w:ascii="Times New Roman" w:hAnsi="Times New Roman" w:eastAsia="仿宋" w:cs="Times New Roman"/>
          <w:sz w:val="32"/>
          <w:szCs w:val="30"/>
          <w:lang w:eastAsia="zh-CN"/>
        </w:rPr>
        <w:t>，</w:t>
      </w:r>
      <w:r>
        <w:rPr>
          <w:rFonts w:hint="default" w:ascii="Times New Roman" w:hAnsi="Times New Roman" w:eastAsia="仿宋" w:cs="Times New Roman"/>
          <w:sz w:val="32"/>
          <w:szCs w:val="30"/>
        </w:rPr>
        <w:t>与202</w:t>
      </w:r>
      <w:r>
        <w:rPr>
          <w:rFonts w:hint="eastAsia" w:eastAsia="仿宋" w:cs="Times New Roman"/>
          <w:sz w:val="32"/>
          <w:szCs w:val="30"/>
          <w:lang w:val="en-US" w:eastAsia="zh-CN"/>
        </w:rPr>
        <w:t>5</w:t>
      </w:r>
      <w:r>
        <w:rPr>
          <w:rFonts w:hint="default" w:ascii="Times New Roman" w:hAnsi="Times New Roman" w:eastAsia="仿宋" w:cs="Times New Roman"/>
          <w:sz w:val="32"/>
          <w:szCs w:val="30"/>
        </w:rPr>
        <w:t>年相比，财政拨款支出</w:t>
      </w:r>
      <w:r>
        <w:rPr>
          <w:rFonts w:hint="default" w:ascii="Times New Roman" w:hAnsi="Times New Roman" w:eastAsia="仿宋" w:cs="Times New Roman"/>
          <w:sz w:val="32"/>
          <w:szCs w:val="30"/>
          <w:highlight w:val="yellow"/>
        </w:rPr>
        <w:t>增加（减少）</w:t>
      </w:r>
      <w:r>
        <w:rPr>
          <w:rFonts w:hint="eastAsia" w:eastAsia="仿宋" w:cs="Times New Roman"/>
          <w:sz w:val="32"/>
          <w:szCs w:val="30"/>
          <w:highlight w:val="yellow"/>
          <w:lang w:val="en-US" w:eastAsia="zh-CN"/>
        </w:rPr>
        <w:t>2.1</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eastAsia="仿宋" w:cs="Times New Roman"/>
          <w:sz w:val="32"/>
          <w:szCs w:val="30"/>
          <w:highlight w:val="yellow"/>
          <w:lang w:val="en-US" w:eastAsia="zh-CN"/>
        </w:rPr>
        <w:t>13</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。主要原因：</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rPr>
        <w:t>。</w:t>
      </w:r>
    </w:p>
    <w:p w14:paraId="3FC357FD">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楷体" w:cs="Times New Roman"/>
          <w:b/>
          <w:bCs/>
          <w:sz w:val="32"/>
        </w:rPr>
      </w:pPr>
      <w:r>
        <w:rPr>
          <w:rFonts w:hint="default" w:ascii="Times New Roman" w:hAnsi="Times New Roman" w:eastAsia="楷体" w:cs="Times New Roman"/>
          <w:sz w:val="32"/>
        </w:rPr>
        <w:t xml:space="preserve">  </w:t>
      </w:r>
      <w:r>
        <w:rPr>
          <w:rFonts w:hint="default" w:ascii="Times New Roman" w:hAnsi="Times New Roman" w:eastAsia="仿宋" w:cs="Times New Roman"/>
          <w:sz w:val="32"/>
        </w:rPr>
        <w:t xml:space="preserve">  </w:t>
      </w:r>
      <w:r>
        <w:rPr>
          <w:rFonts w:hint="default" w:ascii="Times New Roman" w:hAnsi="Times New Roman" w:eastAsia="黑体" w:cs="Times New Roman"/>
          <w:sz w:val="32"/>
        </w:rPr>
        <w:t>六、</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30"/>
          <w:szCs w:val="30"/>
          <w:highlight w:val="yellow"/>
          <w:lang w:eastAsia="zh-CN"/>
        </w:rPr>
        <w:t>边合区</w:t>
      </w:r>
      <w:r>
        <w:rPr>
          <w:rFonts w:hint="eastAsia" w:eastAsia="方正小标宋简体" w:cs="Times New Roman"/>
          <w:sz w:val="30"/>
          <w:szCs w:val="30"/>
          <w:highlight w:val="yellow"/>
          <w:lang w:val="en-US" w:eastAsia="zh-CN"/>
        </w:rPr>
        <w:t>自然资源局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年度一般公共预算财政拨款基本支出情况说明</w:t>
      </w:r>
    </w:p>
    <w:p w14:paraId="10066285">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年财政拨款基本支</w:t>
      </w:r>
      <w:r>
        <w:rPr>
          <w:rFonts w:hint="default" w:ascii="Times New Roman" w:hAnsi="Times New Roman" w:eastAsia="仿宋" w:cs="Times New Roman"/>
          <w:sz w:val="32"/>
          <w:szCs w:val="30"/>
          <w:highlight w:val="none"/>
        </w:rPr>
        <w:t>出</w:t>
      </w:r>
      <w:r>
        <w:rPr>
          <w:rFonts w:hint="eastAsia" w:eastAsia="仿宋" w:cs="Times New Roman"/>
          <w:sz w:val="32"/>
          <w:szCs w:val="30"/>
          <w:highlight w:val="yellow"/>
          <w:lang w:val="en-US" w:eastAsia="zh-CN"/>
        </w:rPr>
        <w:t>51.2</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元，其中：</w:t>
      </w:r>
    </w:p>
    <w:p w14:paraId="1B38C87C">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人员经</w:t>
      </w:r>
      <w:r>
        <w:rPr>
          <w:rFonts w:hint="default" w:ascii="Times New Roman" w:hAnsi="Times New Roman" w:eastAsia="仿宋" w:cs="Times New Roman"/>
          <w:sz w:val="32"/>
          <w:szCs w:val="30"/>
          <w:highlight w:val="none"/>
        </w:rPr>
        <w:t>费</w:t>
      </w:r>
      <w:r>
        <w:rPr>
          <w:rFonts w:hint="eastAsia" w:eastAsia="仿宋" w:cs="Times New Roman"/>
          <w:sz w:val="32"/>
          <w:szCs w:val="30"/>
          <w:highlight w:val="yellow"/>
          <w:lang w:val="en-US" w:eastAsia="zh-CN"/>
        </w:rPr>
        <w:t>50</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元，主要包括：</w:t>
      </w:r>
      <w:r>
        <w:rPr>
          <w:rFonts w:hint="default" w:ascii="Times New Roman" w:hAnsi="Times New Roman" w:eastAsia="仿宋" w:cs="Times New Roman"/>
          <w:sz w:val="32"/>
          <w:szCs w:val="30"/>
          <w:highlight w:val="yellow"/>
        </w:rPr>
        <w:t>基本工资、津贴补贴、奖金、其他社会保障缴费、伙食补助费、绩效工资、机关事业单位基本养老保险缴费、职业年金缴费、其他工资福利支出、离休费、退休费、退职（役）费、抚恤金、生活补助、救济费、医疗费、助学费、奖励金、生产补贴、住房公积金、提租补贴、购房补贴、采暖补贴、物业服务补贴、其他对个人和家庭的补助支出（上述科目须根据本部门情况删减）。</w:t>
      </w:r>
    </w:p>
    <w:p w14:paraId="27F255E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szCs w:val="30"/>
        </w:rPr>
        <w:t xml:space="preserve">    </w:t>
      </w:r>
      <w:r>
        <w:rPr>
          <w:rFonts w:hint="default" w:ascii="Times New Roman" w:hAnsi="Times New Roman" w:eastAsia="仿宋" w:cs="Times New Roman"/>
          <w:sz w:val="32"/>
        </w:rPr>
        <w:t>公用经</w:t>
      </w:r>
      <w:r>
        <w:rPr>
          <w:rFonts w:hint="default" w:ascii="Times New Roman" w:hAnsi="Times New Roman" w:eastAsia="仿宋" w:cs="Times New Roman"/>
          <w:sz w:val="32"/>
          <w:highlight w:val="none"/>
        </w:rPr>
        <w:t>费</w:t>
      </w:r>
      <w:r>
        <w:rPr>
          <w:rFonts w:hint="eastAsia" w:eastAsia="仿宋" w:cs="Times New Roman"/>
          <w:sz w:val="32"/>
          <w:highlight w:val="yellow"/>
          <w:lang w:val="en-US" w:eastAsia="zh-CN"/>
        </w:rPr>
        <w:t>1.2</w:t>
      </w:r>
      <w:r>
        <w:rPr>
          <w:rFonts w:hint="default" w:ascii="Times New Roman" w:hAnsi="Times New Roman" w:eastAsia="仿宋" w:cs="Times New Roman"/>
          <w:sz w:val="32"/>
          <w:highlight w:val="none"/>
        </w:rPr>
        <w:t>万</w:t>
      </w:r>
      <w:r>
        <w:rPr>
          <w:rFonts w:hint="default" w:ascii="Times New Roman" w:hAnsi="Times New Roman" w:eastAsia="仿宋" w:cs="Times New Roman"/>
          <w:sz w:val="32"/>
        </w:rPr>
        <w:t>元，主要包括：</w:t>
      </w:r>
      <w:r>
        <w:rPr>
          <w:rFonts w:hint="default" w:ascii="Times New Roman" w:hAnsi="Times New Roman" w:eastAsia="仿宋" w:cs="Times New Roman"/>
          <w:sz w:val="32"/>
          <w:highlight w:val="yellow"/>
        </w:rPr>
        <w:t>办公费、印刷费、咨询费、手续费、水费、电费、邮电费、取暖费、物业管理费、差旅费、因公出国（境）费、维修（护）费、租赁费、会议费、培训费、公务接待费、专用材料费、被装购置费、专用燃料费、劳务费、委托业务费、工会经费、福利费、公务用车运行维护费、其他交通费用、税金及附加费用、其他商品和服务支出、房屋建筑物购建、办公设备购置、专用设备购置、基础设施建设、大型修缮、信息网络及软件购置更新、其他资本性支出</w:t>
      </w:r>
      <w:r>
        <w:rPr>
          <w:rFonts w:hint="default" w:ascii="Times New Roman" w:hAnsi="Times New Roman" w:eastAsia="仿宋" w:cs="Times New Roman"/>
          <w:sz w:val="32"/>
          <w:szCs w:val="30"/>
          <w:highlight w:val="yellow"/>
        </w:rPr>
        <w:t>（上述科目须根据本部门情况增减）</w:t>
      </w:r>
      <w:r>
        <w:rPr>
          <w:rFonts w:hint="default" w:ascii="Times New Roman" w:hAnsi="Times New Roman" w:eastAsia="仿宋" w:cs="Times New Roman"/>
          <w:sz w:val="32"/>
          <w:highlight w:val="yellow"/>
        </w:rPr>
        <w:t>。</w:t>
      </w:r>
    </w:p>
    <w:p w14:paraId="4CA8BEF0">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七、</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30"/>
          <w:szCs w:val="30"/>
          <w:highlight w:val="yellow"/>
          <w:lang w:eastAsia="zh-CN"/>
        </w:rPr>
        <w:t>边合区</w:t>
      </w:r>
      <w:r>
        <w:rPr>
          <w:rFonts w:hint="eastAsia" w:eastAsia="方正小标宋简体" w:cs="Times New Roman"/>
          <w:sz w:val="30"/>
          <w:szCs w:val="30"/>
          <w:highlight w:val="yellow"/>
          <w:lang w:val="en-US" w:eastAsia="zh-CN"/>
        </w:rPr>
        <w:t>自然资源局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年度一般公共预算财政拨款“三公”经费支出情况说明</w:t>
      </w:r>
    </w:p>
    <w:p w14:paraId="32E00B23">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年“三公”经费财政拨款支出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元。其中：因公出国（境）费支出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万元；公务用车购置及运行费支出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万元（其中：公务用车购置</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万元，公务用车运行维护费</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万元）；公务接待费支出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rPr>
        <w:t>。</w:t>
      </w:r>
    </w:p>
    <w:p w14:paraId="43768E39">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年“三公”经费财政拨款支出预算数比202</w:t>
      </w:r>
      <w:r>
        <w:rPr>
          <w:rFonts w:hint="eastAsia" w:eastAsia="仿宋" w:cs="Times New Roman"/>
          <w:sz w:val="32"/>
          <w:szCs w:val="30"/>
          <w:lang w:val="en-US" w:eastAsia="zh-CN"/>
        </w:rPr>
        <w:t>5</w:t>
      </w:r>
      <w:r>
        <w:rPr>
          <w:rFonts w:hint="default" w:ascii="Times New Roman" w:hAnsi="Times New Roman" w:eastAsia="仿宋" w:cs="Times New Roman"/>
          <w:sz w:val="32"/>
          <w:szCs w:val="30"/>
        </w:rPr>
        <w:t>年</w:t>
      </w:r>
      <w:r>
        <w:rPr>
          <w:rFonts w:hint="default" w:ascii="Times New Roman" w:hAnsi="Times New Roman" w:eastAsia="仿宋" w:cs="Times New Roman"/>
          <w:sz w:val="32"/>
          <w:szCs w:val="30"/>
          <w:highlight w:val="yellow"/>
        </w:rPr>
        <w:t>增加（减少）</w:t>
      </w:r>
      <w:r>
        <w:rPr>
          <w:rFonts w:hint="eastAsia"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rPr>
        <w:t>%。其中：因公出国（境）费支出</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rPr>
        <w:t>%；公务用车购置及运行费支出</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；公务接待费支出</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lang w:val="en-US" w:eastAsia="zh-CN"/>
        </w:rPr>
        <w:t xml:space="preserve"> </w:t>
      </w:r>
      <w:r>
        <w:rPr>
          <w:rFonts w:hint="default" w:ascii="Times New Roman" w:hAnsi="Times New Roman" w:eastAsia="仿宋" w:cs="Times New Roman"/>
          <w:sz w:val="32"/>
          <w:szCs w:val="30"/>
        </w:rPr>
        <w:t>%。主要原因</w:t>
      </w:r>
      <w:r>
        <w:rPr>
          <w:rFonts w:hint="default" w:ascii="Times New Roman" w:hAnsi="Times New Roman" w:eastAsia="仿宋" w:cs="Times New Roman"/>
          <w:sz w:val="32"/>
          <w:szCs w:val="30"/>
          <w:lang w:eastAsia="zh-CN"/>
        </w:rPr>
        <w:t>：</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rPr>
        <w:t>。</w:t>
      </w:r>
    </w:p>
    <w:p w14:paraId="64E59672">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八、</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30"/>
          <w:szCs w:val="30"/>
          <w:highlight w:val="yellow"/>
          <w:lang w:eastAsia="zh-CN"/>
        </w:rPr>
        <w:t>边合区</w:t>
      </w:r>
      <w:r>
        <w:rPr>
          <w:rFonts w:hint="eastAsia" w:eastAsia="方正小标宋简体" w:cs="Times New Roman"/>
          <w:sz w:val="30"/>
          <w:szCs w:val="30"/>
          <w:highlight w:val="yellow"/>
          <w:lang w:val="en-US" w:eastAsia="zh-CN"/>
        </w:rPr>
        <w:t>自然资源局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年度政府性基金支出情况说明</w:t>
      </w:r>
    </w:p>
    <w:p w14:paraId="126D3ED1">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年政府性基金</w:t>
      </w:r>
      <w:r>
        <w:rPr>
          <w:rFonts w:hint="default" w:ascii="Times New Roman" w:hAnsi="Times New Roman" w:eastAsia="仿宋" w:cs="Times New Roman"/>
          <w:sz w:val="32"/>
          <w:szCs w:val="30"/>
          <w:highlight w:val="none"/>
        </w:rPr>
        <w:t>本年支出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万元，其中：基本支出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none"/>
          <w:lang w:eastAsia="zh-CN"/>
        </w:rPr>
        <w:t>；</w:t>
      </w:r>
      <w:r>
        <w:rPr>
          <w:rFonts w:hint="default" w:ascii="Times New Roman" w:hAnsi="Times New Roman" w:eastAsia="仿宋" w:cs="Times New Roman"/>
          <w:sz w:val="32"/>
          <w:szCs w:val="30"/>
          <w:highlight w:val="none"/>
        </w:rPr>
        <w:t>项目支出</w:t>
      </w:r>
      <w:r>
        <w:rPr>
          <w:rFonts w:hint="default" w:ascii="Times New Roman" w:hAnsi="Times New Roman" w:eastAsia="仿宋" w:cs="Times New Roman"/>
          <w:sz w:val="32"/>
          <w:szCs w:val="30"/>
          <w:highlight w:val="yellow"/>
          <w:lang w:val="en-US" w:eastAsia="zh-CN"/>
        </w:rPr>
        <w:t xml:space="preserve">  </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none"/>
          <w:lang w:eastAsia="zh-CN"/>
        </w:rPr>
        <w:t>。</w:t>
      </w:r>
    </w:p>
    <w:p w14:paraId="79BBFE90">
      <w:pPr>
        <w:keepNext w:val="0"/>
        <w:keepLines w:val="0"/>
        <w:pageBreakBefore w:val="0"/>
        <w:widowControl w:val="0"/>
        <w:kinsoku/>
        <w:wordWrap/>
        <w:overflowPunct/>
        <w:topLinePunct w:val="0"/>
        <w:autoSpaceDE/>
        <w:bidi w:val="0"/>
        <w:adjustRightInd/>
        <w:snapToGrid/>
        <w:spacing w:line="580" w:lineRule="exact"/>
        <w:ind w:firstLine="64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九、</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30"/>
          <w:szCs w:val="30"/>
          <w:highlight w:val="yellow"/>
          <w:lang w:eastAsia="zh-CN"/>
        </w:rPr>
        <w:t>边合区</w:t>
      </w:r>
      <w:r>
        <w:rPr>
          <w:rFonts w:hint="eastAsia" w:eastAsia="方正小标宋简体" w:cs="Times New Roman"/>
          <w:sz w:val="30"/>
          <w:szCs w:val="30"/>
          <w:highlight w:val="yellow"/>
          <w:lang w:val="en-US" w:eastAsia="zh-CN"/>
        </w:rPr>
        <w:t>自然资源局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szCs w:val="30"/>
          <w:lang w:val="en-US" w:eastAsia="zh-CN"/>
        </w:rPr>
        <w:t>项目</w:t>
      </w:r>
      <w:r>
        <w:rPr>
          <w:rFonts w:hint="default" w:ascii="Times New Roman" w:hAnsi="Times New Roman" w:eastAsia="黑体" w:cs="Times New Roman"/>
          <w:sz w:val="32"/>
          <w:szCs w:val="30"/>
        </w:rPr>
        <w:t>支出情况说明</w:t>
      </w:r>
    </w:p>
    <w:p w14:paraId="38CB828C">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lang w:eastAsia="zh-CN"/>
        </w:rPr>
      </w:pPr>
      <w:r>
        <w:rPr>
          <w:rFonts w:hint="default" w:ascii="Times New Roman" w:hAnsi="Times New Roman" w:eastAsia="仿宋" w:cs="Times New Roman"/>
          <w:sz w:val="32"/>
          <w:highlight w:val="none"/>
        </w:rPr>
        <w:t>202</w:t>
      </w:r>
      <w:r>
        <w:rPr>
          <w:rFonts w:hint="eastAsia" w:eastAsia="仿宋" w:cs="Times New Roman"/>
          <w:sz w:val="32"/>
          <w:highlight w:val="none"/>
          <w:lang w:val="en-US" w:eastAsia="zh-CN"/>
        </w:rPr>
        <w:t>6</w:t>
      </w:r>
      <w:r>
        <w:rPr>
          <w:rFonts w:hint="default" w:ascii="Times New Roman" w:hAnsi="Times New Roman" w:eastAsia="仿宋" w:cs="Times New Roman"/>
          <w:sz w:val="32"/>
          <w:highlight w:val="none"/>
          <w:lang w:val="en-US" w:eastAsia="zh-CN"/>
        </w:rPr>
        <w:t>年项目支出</w:t>
      </w:r>
      <w:r>
        <w:rPr>
          <w:rFonts w:hint="eastAsia"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lang w:val="en-US" w:eastAsia="zh-CN"/>
        </w:rPr>
        <w:t>其中：一般公共预算财政拨款项目支出</w:t>
      </w:r>
      <w:r>
        <w:rPr>
          <w:rFonts w:hint="eastAsia"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rPr>
        <w:t>，政府性基金预算</w:t>
      </w:r>
      <w:r>
        <w:rPr>
          <w:rFonts w:hint="default" w:ascii="Times New Roman" w:hAnsi="Times New Roman" w:eastAsia="仿宋" w:cs="Times New Roman"/>
          <w:sz w:val="32"/>
          <w:highlight w:val="none"/>
          <w:lang w:val="en-US" w:eastAsia="zh-CN"/>
        </w:rPr>
        <w:t>财政拨款项目支出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国有资本经营预算</w:t>
      </w:r>
      <w:r>
        <w:rPr>
          <w:rFonts w:hint="default" w:ascii="Times New Roman" w:hAnsi="Times New Roman" w:eastAsia="仿宋" w:cs="Times New Roman"/>
          <w:sz w:val="32"/>
          <w:highlight w:val="none"/>
          <w:lang w:val="en-US" w:eastAsia="zh-CN"/>
        </w:rPr>
        <w:t>财政拨款项目支出</w:t>
      </w:r>
      <w:r>
        <w:rPr>
          <w:rFonts w:hint="default" w:ascii="Times New Roman" w:hAnsi="Times New Roman" w:eastAsia="仿宋" w:cs="Times New Roman"/>
          <w:sz w:val="32"/>
          <w:highlight w:val="yellow"/>
        </w:rPr>
        <w:t xml:space="preserve">  </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），财政专户管理资金</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，单位资金</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p>
    <w:p w14:paraId="2FB4F03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十、</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30"/>
          <w:szCs w:val="30"/>
          <w:highlight w:val="yellow"/>
          <w:lang w:eastAsia="zh-CN"/>
        </w:rPr>
        <w:t>边合区</w:t>
      </w:r>
      <w:r>
        <w:rPr>
          <w:rFonts w:hint="eastAsia" w:eastAsia="方正小标宋简体" w:cs="Times New Roman"/>
          <w:sz w:val="30"/>
          <w:szCs w:val="30"/>
          <w:highlight w:val="yellow"/>
          <w:lang w:val="en-US" w:eastAsia="zh-CN"/>
        </w:rPr>
        <w:t>自然资源局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rPr>
        <w:t>政府采购</w:t>
      </w:r>
      <w:r>
        <w:rPr>
          <w:rFonts w:hint="default" w:ascii="Times New Roman" w:hAnsi="Times New Roman" w:eastAsia="黑体" w:cs="Times New Roman"/>
          <w:sz w:val="32"/>
          <w:szCs w:val="30"/>
        </w:rPr>
        <w:t>支出情况说明</w:t>
      </w:r>
    </w:p>
    <w:p w14:paraId="00224BF2">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highlight w:val="none"/>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年政府采购支出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万元，其中：</w:t>
      </w:r>
      <w:r>
        <w:rPr>
          <w:rFonts w:hint="default" w:ascii="Times New Roman" w:hAnsi="Times New Roman" w:eastAsia="仿宋" w:cs="Times New Roman"/>
          <w:sz w:val="32"/>
          <w:highlight w:val="none"/>
          <w:lang w:val="en-US" w:eastAsia="zh-CN"/>
        </w:rPr>
        <w:t>财政拨款</w:t>
      </w:r>
      <w:r>
        <w:rPr>
          <w:rFonts w:hint="default" w:ascii="Times New Roman" w:hAnsi="Times New Roman" w:eastAsia="仿宋" w:cs="Times New Roman"/>
          <w:sz w:val="32"/>
          <w:highlight w:val="none"/>
        </w:rPr>
        <w:t>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财政专户管理资金支出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单位资金支出</w:t>
      </w:r>
      <w:r>
        <w:rPr>
          <w:rFonts w:hint="default" w:ascii="Times New Roman" w:hAnsi="Times New Roman" w:eastAsia="仿宋" w:cs="Times New Roman"/>
          <w:sz w:val="32"/>
          <w:highlight w:val="yellow"/>
        </w:rPr>
        <w:t xml:space="preserve">  </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中小企业预留份额支出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p>
    <w:p w14:paraId="1FE82DA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十一、</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30"/>
          <w:szCs w:val="30"/>
          <w:highlight w:val="yellow"/>
          <w:lang w:eastAsia="zh-CN"/>
        </w:rPr>
        <w:t>边合区</w:t>
      </w:r>
      <w:r>
        <w:rPr>
          <w:rFonts w:hint="eastAsia" w:eastAsia="方正小标宋简体" w:cs="Times New Roman"/>
          <w:sz w:val="30"/>
          <w:szCs w:val="30"/>
          <w:highlight w:val="yellow"/>
          <w:lang w:val="en-US" w:eastAsia="zh-CN"/>
        </w:rPr>
        <w:t>自然资源局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rPr>
        <w:t>政府</w:t>
      </w:r>
      <w:r>
        <w:rPr>
          <w:rFonts w:hint="default" w:ascii="Times New Roman" w:hAnsi="Times New Roman" w:eastAsia="黑体" w:cs="Times New Roman"/>
          <w:sz w:val="32"/>
          <w:lang w:val="en-US" w:eastAsia="zh-CN"/>
        </w:rPr>
        <w:t>购买服务</w:t>
      </w:r>
      <w:r>
        <w:rPr>
          <w:rFonts w:hint="default" w:ascii="Times New Roman" w:hAnsi="Times New Roman" w:eastAsia="黑体" w:cs="Times New Roman"/>
          <w:sz w:val="32"/>
          <w:szCs w:val="30"/>
        </w:rPr>
        <w:t>支出情况说明</w:t>
      </w:r>
    </w:p>
    <w:p w14:paraId="1BA6AE8E">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highlight w:val="none"/>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年政府</w:t>
      </w:r>
      <w:r>
        <w:rPr>
          <w:rFonts w:hint="default" w:ascii="Times New Roman" w:hAnsi="Times New Roman" w:eastAsia="仿宋" w:cs="Times New Roman"/>
          <w:sz w:val="32"/>
          <w:lang w:val="en-US" w:eastAsia="zh-CN"/>
        </w:rPr>
        <w:t>购买服务</w:t>
      </w:r>
      <w:r>
        <w:rPr>
          <w:rFonts w:hint="default" w:ascii="Times New Roman" w:hAnsi="Times New Roman" w:eastAsia="仿宋" w:cs="Times New Roman"/>
          <w:sz w:val="32"/>
        </w:rPr>
        <w:t>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万元，其中：</w:t>
      </w:r>
      <w:r>
        <w:rPr>
          <w:rFonts w:hint="default" w:ascii="Times New Roman" w:hAnsi="Times New Roman" w:eastAsia="仿宋" w:cs="Times New Roman"/>
          <w:sz w:val="32"/>
          <w:highlight w:val="none"/>
          <w:lang w:val="en-US" w:eastAsia="zh-CN"/>
        </w:rPr>
        <w:t>财政拨款</w:t>
      </w:r>
      <w:r>
        <w:rPr>
          <w:rFonts w:hint="default" w:ascii="Times New Roman" w:hAnsi="Times New Roman" w:eastAsia="仿宋" w:cs="Times New Roman"/>
          <w:sz w:val="32"/>
          <w:highlight w:val="none"/>
        </w:rPr>
        <w:t>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财政专户管理资金支出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单位资金支出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p>
    <w:p w14:paraId="4499C089">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楷体" w:cs="Times New Roman"/>
          <w:sz w:val="32"/>
        </w:rPr>
        <w:t xml:space="preserve">   </w:t>
      </w:r>
      <w:r>
        <w:rPr>
          <w:rFonts w:hint="default" w:ascii="Times New Roman" w:hAnsi="Times New Roman" w:eastAsia="楷体" w:cs="Times New Roman"/>
          <w:sz w:val="32"/>
          <w:lang w:val="en-US" w:eastAsia="zh-CN"/>
        </w:rPr>
        <w:t xml:space="preserve"> </w:t>
      </w:r>
      <w:r>
        <w:rPr>
          <w:rFonts w:hint="default" w:ascii="Times New Roman" w:hAnsi="Times New Roman" w:eastAsia="黑体" w:cs="Times New Roman"/>
          <w:sz w:val="32"/>
        </w:rPr>
        <w:t>十</w:t>
      </w:r>
      <w:r>
        <w:rPr>
          <w:rFonts w:hint="default" w:ascii="Times New Roman" w:hAnsi="Times New Roman" w:eastAsia="黑体" w:cs="Times New Roman"/>
          <w:sz w:val="32"/>
          <w:lang w:val="en-US" w:eastAsia="zh-CN"/>
        </w:rPr>
        <w:t>二</w:t>
      </w:r>
      <w:r>
        <w:rPr>
          <w:rFonts w:hint="default" w:ascii="Times New Roman" w:hAnsi="Times New Roman" w:eastAsia="黑体" w:cs="Times New Roman"/>
          <w:sz w:val="32"/>
        </w:rPr>
        <w:t>、</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30"/>
          <w:szCs w:val="30"/>
          <w:highlight w:val="yellow"/>
          <w:lang w:eastAsia="zh-CN"/>
        </w:rPr>
        <w:t>边合区</w:t>
      </w:r>
      <w:r>
        <w:rPr>
          <w:rFonts w:hint="eastAsia" w:eastAsia="方正小标宋简体" w:cs="Times New Roman"/>
          <w:sz w:val="30"/>
          <w:szCs w:val="30"/>
          <w:highlight w:val="yellow"/>
          <w:lang w:val="en-US" w:eastAsia="zh-CN"/>
        </w:rPr>
        <w:t>自然资源局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rPr>
        <w:t>国有资产占用情况</w:t>
      </w:r>
      <w:r>
        <w:rPr>
          <w:rFonts w:hint="default" w:ascii="Times New Roman" w:hAnsi="Times New Roman" w:eastAsia="黑体" w:cs="Times New Roman"/>
          <w:sz w:val="32"/>
          <w:szCs w:val="30"/>
        </w:rPr>
        <w:t>说明</w:t>
      </w:r>
    </w:p>
    <w:p w14:paraId="7C47CA39">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highlight w:val="none"/>
          <w:lang w:eastAsia="zh-CN"/>
        </w:rPr>
      </w:pPr>
      <w:r>
        <w:rPr>
          <w:rFonts w:hint="default" w:ascii="Times New Roman" w:hAnsi="Times New Roman" w:eastAsia="仿宋" w:cs="Times New Roman"/>
          <w:sz w:val="32"/>
          <w:highlight w:val="none"/>
          <w:lang w:val="en-US" w:eastAsia="zh-CN"/>
        </w:rPr>
        <w:t>202</w:t>
      </w:r>
      <w:r>
        <w:rPr>
          <w:rFonts w:hint="eastAsia" w:eastAsia="仿宋" w:cs="Times New Roman"/>
          <w:sz w:val="32"/>
          <w:highlight w:val="none"/>
          <w:lang w:val="en-US" w:eastAsia="zh-CN"/>
        </w:rPr>
        <w:t>6</w:t>
      </w:r>
      <w:r>
        <w:rPr>
          <w:rFonts w:hint="default" w:ascii="Times New Roman" w:hAnsi="Times New Roman" w:eastAsia="仿宋" w:cs="Times New Roman"/>
          <w:sz w:val="32"/>
          <w:highlight w:val="none"/>
          <w:lang w:val="en-US" w:eastAsia="zh-CN"/>
        </w:rPr>
        <w:t>年</w:t>
      </w:r>
      <w:r>
        <w:rPr>
          <w:rFonts w:hint="default" w:ascii="Times New Roman" w:hAnsi="Times New Roman" w:eastAsia="仿宋" w:cs="Times New Roman"/>
          <w:sz w:val="32"/>
          <w:highlight w:val="none"/>
        </w:rPr>
        <w:t>共有车辆</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辆</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szCs w:val="30"/>
          <w:highlight w:val="none"/>
        </w:rPr>
        <w:t>其中</w:t>
      </w:r>
      <w:r>
        <w:rPr>
          <w:rFonts w:hint="default" w:ascii="Times New Roman" w:hAnsi="Times New Roman" w:eastAsia="仿宋" w:cs="Times New Roman"/>
          <w:sz w:val="32"/>
          <w:szCs w:val="30"/>
          <w:highlight w:val="none"/>
          <w:lang w:eastAsia="zh-CN"/>
        </w:rPr>
        <w:t>：</w:t>
      </w:r>
      <w:r>
        <w:rPr>
          <w:rFonts w:hint="default" w:ascii="Times New Roman" w:hAnsi="Times New Roman" w:eastAsia="仿宋" w:cs="Times New Roman"/>
          <w:sz w:val="32"/>
          <w:szCs w:val="30"/>
          <w:highlight w:val="none"/>
        </w:rPr>
        <w:t>副省级以上领导用车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辆、一般公务用车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辆、一般执法执勤用车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辆、特种专业技术用车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辆、其他用车</w:t>
      </w:r>
      <w:r>
        <w:rPr>
          <w:rFonts w:hint="default" w:ascii="Times New Roman" w:hAnsi="Times New Roman" w:eastAsia="仿宋" w:cs="Times New Roman"/>
          <w:sz w:val="32"/>
          <w:szCs w:val="30"/>
          <w:highlight w:val="yellow"/>
          <w:lang w:val="en-US" w:eastAsia="zh-CN"/>
        </w:rPr>
        <w:t xml:space="preserve"> </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辆，其他用车</w:t>
      </w:r>
      <w:r>
        <w:rPr>
          <w:rFonts w:hint="default" w:ascii="Times New Roman" w:hAnsi="Times New Roman" w:eastAsia="仿宋" w:cs="Times New Roman"/>
          <w:sz w:val="32"/>
          <w:szCs w:val="30"/>
          <w:highlight w:val="yellow"/>
          <w:lang w:val="en-US" w:eastAsia="zh-CN"/>
        </w:rPr>
        <w:t xml:space="preserve"> </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lang w:val="en-US" w:eastAsia="zh-CN"/>
        </w:rPr>
        <w:t xml:space="preserve"> </w:t>
      </w:r>
      <w:r>
        <w:rPr>
          <w:rFonts w:hint="default" w:ascii="Times New Roman" w:hAnsi="Times New Roman" w:eastAsia="仿宋" w:cs="Times New Roman"/>
          <w:sz w:val="32"/>
          <w:szCs w:val="30"/>
          <w:highlight w:val="none"/>
        </w:rPr>
        <w:t>辆</w:t>
      </w:r>
      <w:r>
        <w:rPr>
          <w:rFonts w:hint="default" w:ascii="Times New Roman" w:hAnsi="Times New Roman" w:eastAsia="仿宋" w:cs="Times New Roman"/>
          <w:sz w:val="32"/>
          <w:szCs w:val="30"/>
          <w:highlight w:val="none"/>
          <w:lang w:eastAsia="zh-CN"/>
        </w:rPr>
        <w:t>，</w:t>
      </w:r>
      <w:r>
        <w:rPr>
          <w:rFonts w:hint="default" w:ascii="Times New Roman" w:hAnsi="Times New Roman" w:eastAsia="仿宋" w:cs="Times New Roman"/>
          <w:sz w:val="32"/>
          <w:szCs w:val="30"/>
          <w:highlight w:val="none"/>
        </w:rPr>
        <w:t>主要是</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highlight w:val="none"/>
          <w:lang w:eastAsia="zh-CN"/>
        </w:rPr>
        <w:t>。）</w:t>
      </w:r>
    </w:p>
    <w:p w14:paraId="444FACAE">
      <w:pPr>
        <w:keepNext w:val="0"/>
        <w:keepLines w:val="0"/>
        <w:pageBreakBefore w:val="0"/>
        <w:widowControl w:val="0"/>
        <w:kinsoku/>
        <w:wordWrap/>
        <w:overflowPunct/>
        <w:topLinePunct w:val="0"/>
        <w:autoSpaceDE/>
        <w:bidi w:val="0"/>
        <w:adjustRightInd/>
        <w:snapToGrid/>
        <w:spacing w:line="580" w:lineRule="exact"/>
        <w:ind w:firstLine="602"/>
        <w:textAlignment w:val="auto"/>
        <w:rPr>
          <w:rFonts w:hint="default" w:ascii="Times New Roman" w:hAnsi="Times New Roman" w:eastAsia="仿宋" w:cs="Times New Roman"/>
          <w:sz w:val="32"/>
          <w:szCs w:val="30"/>
        </w:rPr>
      </w:pPr>
    </w:p>
    <w:p w14:paraId="206BC6A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2F7EA38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54BB07DA">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CDC58E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72D1E733">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367E189B">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0E99A30F">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初审：王丽   复审：张琳   终审：仇宝帝</w:t>
      </w:r>
    </w:p>
    <w:p w14:paraId="615048AB">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3546E78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default" w:ascii="Times New Roman" w:hAnsi="Times New Roman" w:eastAsia="方正小标宋简体" w:cs="Times New Roman"/>
          <w:sz w:val="44"/>
        </w:rPr>
        <w:t>第三部分  名词解释</w:t>
      </w:r>
    </w:p>
    <w:p w14:paraId="6D12B00D">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b/>
          <w:bCs/>
          <w:sz w:val="32"/>
        </w:rPr>
      </w:pPr>
    </w:p>
    <w:p w14:paraId="660F797E">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一、财政拨款收入：</w:t>
      </w:r>
      <w:r>
        <w:rPr>
          <w:rFonts w:hint="default" w:ascii="Times New Roman" w:hAnsi="Times New Roman" w:eastAsia="仿宋" w:cs="Times New Roman"/>
          <w:sz w:val="32"/>
        </w:rPr>
        <w:t>指省级财政当年拨付的资金。</w:t>
      </w:r>
    </w:p>
    <w:p w14:paraId="32EAB721">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二、上级补助收入：</w:t>
      </w:r>
      <w:r>
        <w:rPr>
          <w:rFonts w:hint="default" w:ascii="Times New Roman" w:hAnsi="Times New Roman" w:eastAsia="仿宋" w:cs="Times New Roman"/>
          <w:sz w:val="32"/>
        </w:rPr>
        <w:t>指从</w:t>
      </w:r>
      <w:r>
        <w:rPr>
          <w:rFonts w:hint="default" w:ascii="Times New Roman" w:hAnsi="Times New Roman" w:eastAsia="仿宋" w:cs="Times New Roman"/>
          <w:sz w:val="32"/>
          <w:highlight w:val="yellow"/>
        </w:rPr>
        <w:t>（主管部门）</w:t>
      </w:r>
      <w:r>
        <w:rPr>
          <w:rFonts w:hint="default" w:ascii="Times New Roman" w:hAnsi="Times New Roman" w:eastAsia="仿宋" w:cs="Times New Roman"/>
          <w:sz w:val="32"/>
        </w:rPr>
        <w:t>和</w:t>
      </w:r>
      <w:r>
        <w:rPr>
          <w:rFonts w:hint="default" w:ascii="Times New Roman" w:hAnsi="Times New Roman" w:eastAsia="仿宋" w:cs="Times New Roman"/>
          <w:sz w:val="32"/>
          <w:highlight w:val="yellow"/>
        </w:rPr>
        <w:t>（上级单位）</w:t>
      </w:r>
      <w:r>
        <w:rPr>
          <w:rFonts w:hint="default" w:ascii="Times New Roman" w:hAnsi="Times New Roman" w:eastAsia="仿宋" w:cs="Times New Roman"/>
          <w:sz w:val="32"/>
        </w:rPr>
        <w:t>取得的非财政补助收入。</w:t>
      </w:r>
    </w:p>
    <w:p w14:paraId="3DAEB6BC">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三、事业收入：</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部门预算的事业</w:t>
      </w:r>
      <w:r>
        <w:rPr>
          <w:rFonts w:hint="default" w:ascii="Times New Roman" w:hAnsi="Times New Roman" w:eastAsia="仿宋" w:cs="Times New Roman"/>
          <w:sz w:val="32"/>
        </w:rPr>
        <w:t>单位开展专业业务活动及其辅助活动取得的收入；包括</w:t>
      </w:r>
      <w:r>
        <w:rPr>
          <w:rFonts w:hint="default" w:ascii="Times New Roman" w:hAnsi="Times New Roman" w:eastAsia="仿宋" w:cs="Times New Roman"/>
          <w:sz w:val="32"/>
          <w:highlight w:val="yellow"/>
        </w:rPr>
        <w:t>（学校等单位）</w:t>
      </w:r>
      <w:r>
        <w:rPr>
          <w:rFonts w:hint="default" w:ascii="Times New Roman" w:hAnsi="Times New Roman" w:eastAsia="仿宋" w:cs="Times New Roman"/>
          <w:sz w:val="32"/>
        </w:rPr>
        <w:t>收到的财政专户实际核拨的教育收费等资金。</w:t>
      </w:r>
    </w:p>
    <w:p w14:paraId="093BF3E4">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四、经营收入：</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w:t>
      </w:r>
      <w:r>
        <w:rPr>
          <w:rFonts w:hint="default" w:ascii="Times New Roman" w:hAnsi="Times New Roman" w:eastAsia="仿宋" w:cs="Times New Roman"/>
          <w:sz w:val="32"/>
        </w:rPr>
        <w:t>事业单位在专业业务活动及其辅助活动之外开展非独立核算经营活动取得的收入。</w:t>
      </w:r>
    </w:p>
    <w:p w14:paraId="09B3B448">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五、附属单位上缴收入：</w:t>
      </w:r>
      <w:r>
        <w:rPr>
          <w:rFonts w:hint="default" w:ascii="Times New Roman" w:hAnsi="Times New Roman" w:eastAsia="仿宋" w:cs="Times New Roman"/>
          <w:sz w:val="32"/>
        </w:rPr>
        <w:t>指事业单位附属独立核算单位按照有关规定上缴的收入。</w:t>
      </w:r>
    </w:p>
    <w:p w14:paraId="6229BF8C">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六、其他收入：</w:t>
      </w:r>
      <w:r>
        <w:rPr>
          <w:rFonts w:hint="default" w:ascii="Times New Roman" w:hAnsi="Times New Roman" w:eastAsia="仿宋" w:cs="Times New Roman"/>
          <w:sz w:val="32"/>
        </w:rPr>
        <w:t>指除上述收入以外的各项收入。</w:t>
      </w:r>
      <w:r>
        <w:rPr>
          <w:rFonts w:hint="default" w:ascii="Times New Roman" w:hAnsi="Times New Roman" w:eastAsia="仿宋" w:cs="Times New Roman"/>
          <w:sz w:val="32"/>
          <w:highlight w:val="yellow"/>
        </w:rPr>
        <w:t>包括未纳入财政预算或财政专户管理的投资收益、银行存款利息收入、租金收入、捐赠收入，现金盘盈收入、存货盘盈收入、收回已核销应收及预付款项、无法偿付的应付及预收款项，从省财政以外的同级单位取得的经费、从非省财政取得的经费，以及行政单位收到的财政专户管理资金等。</w:t>
      </w:r>
    </w:p>
    <w:p w14:paraId="4BE975AD">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七、基本支出：</w:t>
      </w:r>
      <w:r>
        <w:rPr>
          <w:rFonts w:hint="default" w:ascii="Times New Roman" w:hAnsi="Times New Roman" w:eastAsia="仿宋" w:cs="Times New Roman"/>
          <w:sz w:val="32"/>
        </w:rPr>
        <w:t>指为保障机构正常运转、完成日常工作任务而发生的人员支出和公用支出等各项支出。</w:t>
      </w:r>
    </w:p>
    <w:p w14:paraId="53755280">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八、项目支出：</w:t>
      </w:r>
      <w:r>
        <w:rPr>
          <w:rFonts w:hint="default" w:ascii="Times New Roman" w:hAnsi="Times New Roman" w:eastAsia="仿宋" w:cs="Times New Roman"/>
          <w:sz w:val="32"/>
        </w:rPr>
        <w:t>指在基本支出之外为完成特定行政工作任务和事业发展目标所发生的各项支出。</w:t>
      </w:r>
    </w:p>
    <w:p w14:paraId="693F764F">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九、上缴上级支出：</w:t>
      </w:r>
      <w:r>
        <w:rPr>
          <w:rFonts w:hint="default" w:ascii="Times New Roman" w:hAnsi="Times New Roman" w:eastAsia="仿宋" w:cs="Times New Roman"/>
          <w:sz w:val="32"/>
        </w:rPr>
        <w:t>指按照有关规定上缴上级单位的支出。主要是</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rPr>
        <w:t>上缴给</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rPr>
        <w:t>的</w:t>
      </w:r>
      <w:r>
        <w:rPr>
          <w:rFonts w:hint="default" w:ascii="Times New Roman" w:hAnsi="Times New Roman" w:eastAsia="仿宋" w:cs="Times New Roman"/>
          <w:sz w:val="32"/>
          <w:highlight w:val="yellow"/>
        </w:rPr>
        <w:t>（资金名称）</w:t>
      </w:r>
      <w:r>
        <w:rPr>
          <w:rFonts w:hint="default" w:ascii="Times New Roman" w:hAnsi="Times New Roman" w:eastAsia="仿宋" w:cs="Times New Roman"/>
          <w:sz w:val="32"/>
        </w:rPr>
        <w:t>资金。</w:t>
      </w:r>
    </w:p>
    <w:p w14:paraId="41D20246">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十、经营支出：</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w:t>
      </w:r>
      <w:r>
        <w:rPr>
          <w:rFonts w:hint="default" w:ascii="Times New Roman" w:hAnsi="Times New Roman" w:eastAsia="仿宋" w:cs="Times New Roman"/>
          <w:sz w:val="32"/>
        </w:rPr>
        <w:t>事业单位在专业活动及辅助活动之外开展非独立核算经营活动发生的支出。</w:t>
      </w:r>
    </w:p>
    <w:p w14:paraId="2CE7BA18">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十一、对附属单位补助支出：</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w:t>
      </w:r>
      <w:r>
        <w:rPr>
          <w:rFonts w:hint="default" w:ascii="Times New Roman" w:hAnsi="Times New Roman" w:eastAsia="仿宋" w:cs="Times New Roman"/>
          <w:sz w:val="32"/>
        </w:rPr>
        <w:t>事业单位用财政补助收入之外的收入对附属单位补助发生的支出。</w:t>
      </w:r>
    </w:p>
    <w:p w14:paraId="0486CC71">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十二、用事业基金弥补收支差额：</w:t>
      </w:r>
      <w:r>
        <w:rPr>
          <w:rFonts w:hint="default" w:ascii="Times New Roman" w:hAnsi="Times New Roman" w:eastAsia="仿宋" w:cs="Times New Roman"/>
          <w:sz w:val="32"/>
        </w:rPr>
        <w:t>指事业单位在用当年的财政拨款收入、财政拨款结转和结余资金、事业收入和其他收入不足以安排当年支出的情况下，使用以前年度积累的事业基金（事业单位当年收支相抵后分配用于弥补以后年度收支差额的基金）弥补本年度收支缺口的资金。</w:t>
      </w:r>
    </w:p>
    <w:p w14:paraId="0D849FDC">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十三、年初结转和结余：</w:t>
      </w:r>
      <w:r>
        <w:rPr>
          <w:rFonts w:hint="default" w:ascii="Times New Roman" w:hAnsi="Times New Roman" w:eastAsia="仿宋" w:cs="Times New Roman"/>
          <w:sz w:val="32"/>
        </w:rPr>
        <w:t>指以前年度尚未完成、结转到本年仍按原规定用途继续使用的资金，或项目已完成等产生的结余资金。</w:t>
      </w:r>
    </w:p>
    <w:p w14:paraId="7AF2F586">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十四、结余分配：</w:t>
      </w:r>
      <w:r>
        <w:rPr>
          <w:rFonts w:hint="default" w:ascii="Times New Roman" w:hAnsi="Times New Roman" w:eastAsia="仿宋" w:cs="Times New Roman"/>
          <w:sz w:val="32"/>
        </w:rPr>
        <w:t>指事业单位按照事业单位会计制度规定，从非财政补助结余中分配的事业基金和职工福利基金等。</w:t>
      </w:r>
    </w:p>
    <w:p w14:paraId="4AA5EEC9">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十五、年末结转和结余：</w:t>
      </w:r>
      <w:r>
        <w:rPr>
          <w:rFonts w:hint="default" w:ascii="Times New Roman" w:hAnsi="Times New Roman" w:eastAsia="仿宋" w:cs="Times New Roman"/>
          <w:sz w:val="32"/>
        </w:rPr>
        <w:t>指事业单位按有关规定结转到下年或以后年度继续使用的资金，或项目已完成等产生的结余资金。</w:t>
      </w:r>
    </w:p>
    <w:p w14:paraId="37DE738A">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十六、“三公”经费财政拨款支出：</w:t>
      </w:r>
      <w:r>
        <w:rPr>
          <w:rFonts w:hint="default" w:ascii="Times New Roman" w:hAnsi="Times New Roman" w:eastAsia="仿宋" w:cs="Times New Roman"/>
          <w:sz w:val="32"/>
        </w:rPr>
        <w:t>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含车辆购置税）及公务用车使用过程中所发生的租用费、燃料费、维修费、过桥过路费、保险费、安全奖励费等支出；公务接待费指单位按规定开支的各类公务接待（含外宾接待）支出。</w:t>
      </w:r>
    </w:p>
    <w:p w14:paraId="5AEA826E">
      <w:pPr>
        <w:keepNext w:val="0"/>
        <w:keepLines w:val="0"/>
        <w:pageBreakBefore w:val="0"/>
        <w:widowControl w:val="0"/>
        <w:kinsoku/>
        <w:wordWrap/>
        <w:overflowPunct/>
        <w:topLinePunct w:val="0"/>
        <w:autoSpaceDE/>
        <w:autoSpaceDN w:val="0"/>
        <w:bidi w:val="0"/>
        <w:adjustRightInd/>
        <w:snapToGrid/>
        <w:spacing w:line="580" w:lineRule="exact"/>
        <w:ind w:firstLine="640" w:firstLineChars="200"/>
        <w:textAlignment w:val="auto"/>
        <w:rPr>
          <w:rFonts w:hint="eastAsia" w:ascii="仿宋" w:hAnsi="仿宋" w:eastAsia="仿宋"/>
          <w:sz w:val="32"/>
          <w:highlight w:val="yellow"/>
        </w:rPr>
      </w:pPr>
      <w:r>
        <w:rPr>
          <w:rFonts w:hint="default" w:ascii="Times New Roman" w:hAnsi="Times New Roman" w:eastAsia="仿宋" w:cs="Times New Roman"/>
          <w:sz w:val="32"/>
          <w:highlight w:val="yellow"/>
        </w:rPr>
        <w:t>【</w:t>
      </w:r>
      <w:r>
        <w:rPr>
          <w:rFonts w:hint="default" w:ascii="Times New Roman" w:hAnsi="Times New Roman" w:eastAsia="仿宋" w:cs="Times New Roman"/>
          <w:b/>
          <w:bCs/>
          <w:sz w:val="32"/>
          <w:highlight w:val="yellow"/>
        </w:rPr>
        <w:t>各部门在公开时一定要做好文档编辑，将无关内容删除</w:t>
      </w:r>
      <w:r>
        <w:rPr>
          <w:rFonts w:hint="default" w:ascii="Times New Roman" w:hAnsi="Times New Roman" w:eastAsia="仿宋" w:cs="Times New Roman"/>
          <w:sz w:val="32"/>
          <w:highlight w:val="yellow"/>
        </w:rPr>
        <w:t>】</w:t>
      </w:r>
    </w:p>
    <w:sectPr>
      <w:headerReference r:id="rId3" w:type="default"/>
      <w:footerReference r:id="rId4" w:type="default"/>
      <w:pgSz w:w="11906" w:h="16838"/>
      <w:pgMar w:top="2211" w:right="1531" w:bottom="1417" w:left="1531"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84A4E5">
    <w:pPr>
      <w:pStyle w:val="3"/>
      <w:framePr w:wrap="around" w:vAnchor="text" w:hAnchor="margin" w:xAlign="center" w:yAlign="top"/>
      <w:pBdr>
        <w:between w:val="none" w:color="auto" w:sz="0" w:space="0"/>
      </w:pBdr>
      <w:rPr>
        <w:sz w:val="28"/>
        <w:szCs w:val="28"/>
      </w:rPr>
    </w:pPr>
    <w:r>
      <w:rPr>
        <w:sz w:val="28"/>
        <w:szCs w:val="28"/>
      </w:rPr>
      <w:fldChar w:fldCharType="begin"/>
    </w:r>
    <w:r>
      <w:rPr>
        <w:rStyle w:val="7"/>
        <w:sz w:val="28"/>
        <w:szCs w:val="28"/>
      </w:rPr>
      <w:instrText xml:space="preserve"> PAGE  </w:instrText>
    </w:r>
    <w:r>
      <w:rPr>
        <w:sz w:val="28"/>
        <w:szCs w:val="28"/>
      </w:rPr>
      <w:fldChar w:fldCharType="separate"/>
    </w:r>
    <w:r>
      <w:rPr>
        <w:rStyle w:val="7"/>
        <w:sz w:val="28"/>
        <w:szCs w:val="28"/>
      </w:rPr>
      <w:t>1</w:t>
    </w:r>
    <w:r>
      <w:rPr>
        <w:sz w:val="28"/>
        <w:szCs w:val="28"/>
      </w:rPr>
      <w:fldChar w:fldCharType="end"/>
    </w:r>
  </w:p>
  <w:p w14:paraId="0A73922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FC2A4C">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81A2F5"/>
    <w:multiLevelType w:val="singleLevel"/>
    <w:tmpl w:val="5981A2F5"/>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wZjMwZjRkNzRmMzY4Y2YzNTMxM2IxYWU1Y2IxNzMifQ=="/>
  </w:docVars>
  <w:rsids>
    <w:rsidRoot w:val="00172A27"/>
    <w:rsid w:val="00041820"/>
    <w:rsid w:val="00060B48"/>
    <w:rsid w:val="0006632A"/>
    <w:rsid w:val="000744A4"/>
    <w:rsid w:val="00074567"/>
    <w:rsid w:val="00182F55"/>
    <w:rsid w:val="001B3457"/>
    <w:rsid w:val="001D723E"/>
    <w:rsid w:val="002A614A"/>
    <w:rsid w:val="0030238A"/>
    <w:rsid w:val="00305FC6"/>
    <w:rsid w:val="003139AA"/>
    <w:rsid w:val="003D567D"/>
    <w:rsid w:val="003D7151"/>
    <w:rsid w:val="004C1D40"/>
    <w:rsid w:val="00567AEB"/>
    <w:rsid w:val="005B7B0D"/>
    <w:rsid w:val="005D4EA0"/>
    <w:rsid w:val="005F76B5"/>
    <w:rsid w:val="00661293"/>
    <w:rsid w:val="006673D0"/>
    <w:rsid w:val="00694A3D"/>
    <w:rsid w:val="007573AC"/>
    <w:rsid w:val="00846256"/>
    <w:rsid w:val="008A33E9"/>
    <w:rsid w:val="009315F7"/>
    <w:rsid w:val="009D0204"/>
    <w:rsid w:val="00A233BF"/>
    <w:rsid w:val="00AA5B3A"/>
    <w:rsid w:val="00AD033A"/>
    <w:rsid w:val="00AF3139"/>
    <w:rsid w:val="00B92C7E"/>
    <w:rsid w:val="00B9595E"/>
    <w:rsid w:val="00B97F18"/>
    <w:rsid w:val="00C55085"/>
    <w:rsid w:val="00C7147D"/>
    <w:rsid w:val="00DF0A12"/>
    <w:rsid w:val="00DF589E"/>
    <w:rsid w:val="00E57F91"/>
    <w:rsid w:val="00EE4B68"/>
    <w:rsid w:val="00FE323E"/>
    <w:rsid w:val="01291CF3"/>
    <w:rsid w:val="01C17C29"/>
    <w:rsid w:val="01D25F7D"/>
    <w:rsid w:val="02935584"/>
    <w:rsid w:val="03AF0195"/>
    <w:rsid w:val="03EB5A73"/>
    <w:rsid w:val="04194303"/>
    <w:rsid w:val="045B3430"/>
    <w:rsid w:val="051B5087"/>
    <w:rsid w:val="056D7D0D"/>
    <w:rsid w:val="07BA0FF2"/>
    <w:rsid w:val="082B1420"/>
    <w:rsid w:val="09FC0338"/>
    <w:rsid w:val="0DA93E4C"/>
    <w:rsid w:val="0E82019F"/>
    <w:rsid w:val="0E913F8C"/>
    <w:rsid w:val="0EC042D8"/>
    <w:rsid w:val="0FD54E0B"/>
    <w:rsid w:val="0FEC5D88"/>
    <w:rsid w:val="10DE2F25"/>
    <w:rsid w:val="115F0793"/>
    <w:rsid w:val="11E8486E"/>
    <w:rsid w:val="12277E38"/>
    <w:rsid w:val="12A612BB"/>
    <w:rsid w:val="12B83979"/>
    <w:rsid w:val="14424B64"/>
    <w:rsid w:val="149A7217"/>
    <w:rsid w:val="153E273F"/>
    <w:rsid w:val="158208D0"/>
    <w:rsid w:val="16BA16A6"/>
    <w:rsid w:val="17A9728B"/>
    <w:rsid w:val="17B3432A"/>
    <w:rsid w:val="18BD2904"/>
    <w:rsid w:val="19503578"/>
    <w:rsid w:val="19FB6DA2"/>
    <w:rsid w:val="1A3056D8"/>
    <w:rsid w:val="1ABD4924"/>
    <w:rsid w:val="1B6A01A5"/>
    <w:rsid w:val="1B704521"/>
    <w:rsid w:val="1BBD09F3"/>
    <w:rsid w:val="1C811E8C"/>
    <w:rsid w:val="1C833AB3"/>
    <w:rsid w:val="1CE741A3"/>
    <w:rsid w:val="1CF35D0C"/>
    <w:rsid w:val="1DCC0726"/>
    <w:rsid w:val="1DF24545"/>
    <w:rsid w:val="1E1160FD"/>
    <w:rsid w:val="1EA81C47"/>
    <w:rsid w:val="1ED7600F"/>
    <w:rsid w:val="1F480D66"/>
    <w:rsid w:val="1F7A571D"/>
    <w:rsid w:val="208A259E"/>
    <w:rsid w:val="22382A16"/>
    <w:rsid w:val="22685619"/>
    <w:rsid w:val="229C72C4"/>
    <w:rsid w:val="22A9011F"/>
    <w:rsid w:val="22E64C02"/>
    <w:rsid w:val="235A30FF"/>
    <w:rsid w:val="235A39D9"/>
    <w:rsid w:val="242878FE"/>
    <w:rsid w:val="24AA776D"/>
    <w:rsid w:val="24B66733"/>
    <w:rsid w:val="24DE2AB2"/>
    <w:rsid w:val="24EB7A4C"/>
    <w:rsid w:val="25390094"/>
    <w:rsid w:val="254C4636"/>
    <w:rsid w:val="267C3C0F"/>
    <w:rsid w:val="26CA1E67"/>
    <w:rsid w:val="26D9681D"/>
    <w:rsid w:val="27615C36"/>
    <w:rsid w:val="276A0F6E"/>
    <w:rsid w:val="27A9420C"/>
    <w:rsid w:val="27F60471"/>
    <w:rsid w:val="28CB487D"/>
    <w:rsid w:val="29A34F43"/>
    <w:rsid w:val="29B215CF"/>
    <w:rsid w:val="2A345118"/>
    <w:rsid w:val="2B687DF3"/>
    <w:rsid w:val="2BD56AA4"/>
    <w:rsid w:val="2C740706"/>
    <w:rsid w:val="2CD54307"/>
    <w:rsid w:val="2CF649E8"/>
    <w:rsid w:val="2E4733B9"/>
    <w:rsid w:val="2E663CE3"/>
    <w:rsid w:val="2E8E4319"/>
    <w:rsid w:val="2E973096"/>
    <w:rsid w:val="2FC570FF"/>
    <w:rsid w:val="2FDC43A0"/>
    <w:rsid w:val="2FE41633"/>
    <w:rsid w:val="303B6D52"/>
    <w:rsid w:val="30404DA3"/>
    <w:rsid w:val="311B2DB5"/>
    <w:rsid w:val="31200E48"/>
    <w:rsid w:val="312F40AC"/>
    <w:rsid w:val="31696AB3"/>
    <w:rsid w:val="33D2753F"/>
    <w:rsid w:val="33D5291B"/>
    <w:rsid w:val="343A070C"/>
    <w:rsid w:val="34B67240"/>
    <w:rsid w:val="34DE5E1D"/>
    <w:rsid w:val="35A61CEB"/>
    <w:rsid w:val="36447551"/>
    <w:rsid w:val="368A773C"/>
    <w:rsid w:val="36EE7B2A"/>
    <w:rsid w:val="38D416BA"/>
    <w:rsid w:val="3922614F"/>
    <w:rsid w:val="39B56C70"/>
    <w:rsid w:val="3A207555"/>
    <w:rsid w:val="3ABA6DAF"/>
    <w:rsid w:val="3B4B5691"/>
    <w:rsid w:val="3B60095D"/>
    <w:rsid w:val="3BF86E47"/>
    <w:rsid w:val="3C1C2D73"/>
    <w:rsid w:val="3CBA7FA6"/>
    <w:rsid w:val="3D561BE0"/>
    <w:rsid w:val="3F847C6B"/>
    <w:rsid w:val="3F8A54A4"/>
    <w:rsid w:val="3FFA71C8"/>
    <w:rsid w:val="404207E8"/>
    <w:rsid w:val="40B71CA9"/>
    <w:rsid w:val="40DA3D22"/>
    <w:rsid w:val="417267DD"/>
    <w:rsid w:val="41BE4B11"/>
    <w:rsid w:val="42161774"/>
    <w:rsid w:val="4244364D"/>
    <w:rsid w:val="42543E02"/>
    <w:rsid w:val="42812842"/>
    <w:rsid w:val="42E32929"/>
    <w:rsid w:val="44840D0E"/>
    <w:rsid w:val="44A85C75"/>
    <w:rsid w:val="44C9341E"/>
    <w:rsid w:val="46952593"/>
    <w:rsid w:val="46D949EB"/>
    <w:rsid w:val="475F4668"/>
    <w:rsid w:val="476B12D0"/>
    <w:rsid w:val="47E07977"/>
    <w:rsid w:val="484B52B5"/>
    <w:rsid w:val="48626CF9"/>
    <w:rsid w:val="48D37C5D"/>
    <w:rsid w:val="48F83675"/>
    <w:rsid w:val="4B6A1F48"/>
    <w:rsid w:val="4B8240C1"/>
    <w:rsid w:val="4BF042B3"/>
    <w:rsid w:val="4C4D6C9D"/>
    <w:rsid w:val="4C835077"/>
    <w:rsid w:val="4CF54679"/>
    <w:rsid w:val="4D0E758C"/>
    <w:rsid w:val="4D38183D"/>
    <w:rsid w:val="4D90277D"/>
    <w:rsid w:val="4D967D9A"/>
    <w:rsid w:val="4DB43E71"/>
    <w:rsid w:val="4DED1B7E"/>
    <w:rsid w:val="4DEF6D1B"/>
    <w:rsid w:val="4E8C724B"/>
    <w:rsid w:val="4E945B07"/>
    <w:rsid w:val="4F4F0196"/>
    <w:rsid w:val="4F7030A6"/>
    <w:rsid w:val="51595B90"/>
    <w:rsid w:val="524B622E"/>
    <w:rsid w:val="525C2AAA"/>
    <w:rsid w:val="527F60E4"/>
    <w:rsid w:val="52DE564C"/>
    <w:rsid w:val="53B51A78"/>
    <w:rsid w:val="5433756D"/>
    <w:rsid w:val="544B604C"/>
    <w:rsid w:val="56030B2C"/>
    <w:rsid w:val="56276642"/>
    <w:rsid w:val="565E2966"/>
    <w:rsid w:val="589A0729"/>
    <w:rsid w:val="58AC562C"/>
    <w:rsid w:val="5919472F"/>
    <w:rsid w:val="598C5E68"/>
    <w:rsid w:val="59B913DD"/>
    <w:rsid w:val="59C15939"/>
    <w:rsid w:val="59E34416"/>
    <w:rsid w:val="5B594BDF"/>
    <w:rsid w:val="5B67293C"/>
    <w:rsid w:val="5BC1770A"/>
    <w:rsid w:val="5C824D18"/>
    <w:rsid w:val="5D0A0268"/>
    <w:rsid w:val="5DBF1EE1"/>
    <w:rsid w:val="5DCB486F"/>
    <w:rsid w:val="5DE51A21"/>
    <w:rsid w:val="5ECE5F09"/>
    <w:rsid w:val="5EF3424E"/>
    <w:rsid w:val="5EF65BE6"/>
    <w:rsid w:val="5F636D4B"/>
    <w:rsid w:val="5FF75A67"/>
    <w:rsid w:val="5FFA5D93"/>
    <w:rsid w:val="609A0319"/>
    <w:rsid w:val="60A43501"/>
    <w:rsid w:val="60EB57EC"/>
    <w:rsid w:val="60EE7D2A"/>
    <w:rsid w:val="61342421"/>
    <w:rsid w:val="63647DB9"/>
    <w:rsid w:val="637C576C"/>
    <w:rsid w:val="639A23F6"/>
    <w:rsid w:val="640259CE"/>
    <w:rsid w:val="64617F46"/>
    <w:rsid w:val="661A28ED"/>
    <w:rsid w:val="675454F2"/>
    <w:rsid w:val="6993314E"/>
    <w:rsid w:val="6A442FBD"/>
    <w:rsid w:val="6A752D10"/>
    <w:rsid w:val="6AE30D66"/>
    <w:rsid w:val="6B4179B1"/>
    <w:rsid w:val="6C252800"/>
    <w:rsid w:val="6CC84C24"/>
    <w:rsid w:val="6D31535F"/>
    <w:rsid w:val="6D42284E"/>
    <w:rsid w:val="6E5F0718"/>
    <w:rsid w:val="6F92352B"/>
    <w:rsid w:val="6FC1378E"/>
    <w:rsid w:val="702E5BFE"/>
    <w:rsid w:val="704065EA"/>
    <w:rsid w:val="709A3939"/>
    <w:rsid w:val="71117BB3"/>
    <w:rsid w:val="712B0162"/>
    <w:rsid w:val="713D0D36"/>
    <w:rsid w:val="72707695"/>
    <w:rsid w:val="72770FA2"/>
    <w:rsid w:val="73BB3104"/>
    <w:rsid w:val="73E25BA7"/>
    <w:rsid w:val="75371AAF"/>
    <w:rsid w:val="75781388"/>
    <w:rsid w:val="75E90F54"/>
    <w:rsid w:val="76D014C1"/>
    <w:rsid w:val="76E05FD5"/>
    <w:rsid w:val="76EB228A"/>
    <w:rsid w:val="777504D5"/>
    <w:rsid w:val="78060FB9"/>
    <w:rsid w:val="79865DC4"/>
    <w:rsid w:val="79AB7861"/>
    <w:rsid w:val="79D44C66"/>
    <w:rsid w:val="7BBD7DA4"/>
    <w:rsid w:val="7BD77EDE"/>
    <w:rsid w:val="7BEC3F2B"/>
    <w:rsid w:val="7C31086D"/>
    <w:rsid w:val="7C394457"/>
    <w:rsid w:val="7C4E2AAA"/>
    <w:rsid w:val="7CD44B80"/>
    <w:rsid w:val="7D2A758A"/>
    <w:rsid w:val="7DF5646B"/>
    <w:rsid w:val="7DFC3DA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link w:val="8"/>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7">
    <w:name w:val="page number"/>
    <w:basedOn w:val="6"/>
    <w:qFormat/>
    <w:uiPriority w:val="0"/>
  </w:style>
  <w:style w:type="character" w:customStyle="1" w:styleId="8">
    <w:name w:val="批注框文本 Char"/>
    <w:link w:val="2"/>
    <w:qFormat/>
    <w:uiPriority w:val="0"/>
    <w:rPr>
      <w:kern w:val="2"/>
      <w:sz w:val="18"/>
      <w:szCs w:val="18"/>
    </w:rPr>
  </w:style>
  <w:style w:type="character" w:customStyle="1" w:styleId="9">
    <w:name w:val="页码 New New"/>
    <w:basedOn w:val="6"/>
    <w:uiPriority w:val="0"/>
  </w:style>
  <w:style w:type="character" w:customStyle="1" w:styleId="10">
    <w:name w:val="页码 New New New New New"/>
    <w:basedOn w:val="6"/>
    <w:qFormat/>
    <w:uiPriority w:val="0"/>
  </w:style>
  <w:style w:type="character" w:customStyle="1" w:styleId="11">
    <w:name w:val="页码 New New New New"/>
    <w:basedOn w:val="6"/>
    <w:uiPriority w:val="0"/>
  </w:style>
  <w:style w:type="character" w:customStyle="1" w:styleId="12">
    <w:name w:val="页码 New New New"/>
    <w:basedOn w:val="6"/>
    <w:qFormat/>
    <w:uiPriority w:val="0"/>
  </w:style>
  <w:style w:type="character" w:customStyle="1" w:styleId="13">
    <w:name w:val="页码 New"/>
    <w:basedOn w:val="6"/>
    <w:qFormat/>
    <w:uiPriority w:val="0"/>
  </w:style>
  <w:style w:type="character" w:customStyle="1" w:styleId="14">
    <w:name w:val="页码 New New New New New New"/>
    <w:basedOn w:val="6"/>
    <w:qFormat/>
    <w:uiPriority w:val="0"/>
  </w:style>
  <w:style w:type="paragraph" w:customStyle="1" w:styleId="15">
    <w:name w:val="p0"/>
    <w:basedOn w:val="16"/>
    <w:qFormat/>
    <w:uiPriority w:val="0"/>
    <w:pPr>
      <w:widowControl/>
    </w:pPr>
    <w:rPr>
      <w:rFonts w:eastAsia="宋体"/>
      <w:kern w:val="0"/>
      <w:szCs w:val="32"/>
    </w:rPr>
  </w:style>
  <w:style w:type="paragraph" w:customStyle="1" w:styleId="16">
    <w:name w:val="正文 New New New New"/>
    <w:uiPriority w:val="0"/>
    <w:pPr>
      <w:widowControl w:val="0"/>
      <w:jc w:val="both"/>
    </w:pPr>
    <w:rPr>
      <w:rFonts w:ascii="Times New Roman" w:hAnsi="Times New Roman" w:eastAsia="仿宋_GB2312" w:cs="Times New Roman"/>
      <w:kern w:val="2"/>
      <w:sz w:val="32"/>
      <w:lang w:val="en-US" w:eastAsia="zh-CN" w:bidi="ar-SA"/>
    </w:rPr>
  </w:style>
  <w:style w:type="paragraph" w:customStyle="1" w:styleId="17">
    <w:name w:val="页脚 New New New New New New New New New New New"/>
    <w:basedOn w:val="18"/>
    <w:qFormat/>
    <w:uiPriority w:val="0"/>
    <w:pPr>
      <w:tabs>
        <w:tab w:val="center" w:pos="4153"/>
        <w:tab w:val="right" w:pos="8306"/>
      </w:tabs>
      <w:snapToGrid w:val="0"/>
      <w:jc w:val="left"/>
    </w:pPr>
    <w:rPr>
      <w:sz w:val="18"/>
      <w:szCs w:val="18"/>
    </w:rPr>
  </w:style>
  <w:style w:type="paragraph" w:customStyle="1" w:styleId="18">
    <w:name w:val="正文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19">
    <w:name w:val="正文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0">
    <w:name w:val="正文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1">
    <w:name w:val="正文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2">
    <w:name w:val="页脚 New New New New New New New New New New New New New New New New New New New New New New New New"/>
    <w:basedOn w:val="23"/>
    <w:qFormat/>
    <w:uiPriority w:val="0"/>
    <w:pPr>
      <w:tabs>
        <w:tab w:val="center" w:pos="4153"/>
        <w:tab w:val="right" w:pos="8306"/>
      </w:tabs>
      <w:snapToGrid w:val="0"/>
      <w:jc w:val="left"/>
    </w:pPr>
    <w:rPr>
      <w:sz w:val="18"/>
      <w:szCs w:val="18"/>
    </w:rPr>
  </w:style>
  <w:style w:type="paragraph" w:customStyle="1" w:styleId="23">
    <w:name w:val="正文 New New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4">
    <w:name w:val="页眉 New New New New New New New New New New New New New New New New New New New New New New"/>
    <w:basedOn w:val="25"/>
    <w:qFormat/>
    <w:uiPriority w:val="0"/>
    <w:pPr>
      <w:pBdr>
        <w:bottom w:val="single" w:color="auto" w:sz="6" w:space="1"/>
      </w:pBdr>
      <w:tabs>
        <w:tab w:val="center" w:pos="4153"/>
        <w:tab w:val="right" w:pos="8306"/>
      </w:tabs>
      <w:snapToGrid w:val="0"/>
      <w:jc w:val="center"/>
    </w:pPr>
    <w:rPr>
      <w:sz w:val="18"/>
      <w:szCs w:val="18"/>
    </w:rPr>
  </w:style>
  <w:style w:type="paragraph" w:customStyle="1" w:styleId="25">
    <w:name w:val="正文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6">
    <w:name w:val="正文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7">
    <w:name w:val="正文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8">
    <w:name w:val="页眉 New New New New New New New New New New New New New New New New"/>
    <w:basedOn w:val="29"/>
    <w:qFormat/>
    <w:uiPriority w:val="0"/>
    <w:pPr>
      <w:pBdr>
        <w:bottom w:val="single" w:color="auto" w:sz="6" w:space="1"/>
      </w:pBdr>
      <w:tabs>
        <w:tab w:val="center" w:pos="4153"/>
        <w:tab w:val="right" w:pos="8306"/>
      </w:tabs>
      <w:snapToGrid w:val="0"/>
      <w:jc w:val="center"/>
    </w:pPr>
    <w:rPr>
      <w:sz w:val="18"/>
      <w:szCs w:val="18"/>
    </w:rPr>
  </w:style>
  <w:style w:type="paragraph" w:customStyle="1" w:styleId="29">
    <w:name w:val="正文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30">
    <w:name w:val="页脚 New New New New New New New New New New New New New New New New"/>
    <w:basedOn w:val="29"/>
    <w:qFormat/>
    <w:uiPriority w:val="0"/>
    <w:pPr>
      <w:tabs>
        <w:tab w:val="center" w:pos="4153"/>
        <w:tab w:val="right" w:pos="8306"/>
      </w:tabs>
      <w:snapToGrid w:val="0"/>
      <w:jc w:val="left"/>
    </w:pPr>
    <w:rPr>
      <w:sz w:val="18"/>
      <w:szCs w:val="18"/>
    </w:rPr>
  </w:style>
  <w:style w:type="paragraph" w:customStyle="1" w:styleId="31">
    <w:name w:val="页脚 New New New New New New New New New New New New New New New New New New New New New New New New New New"/>
    <w:basedOn w:val="32"/>
    <w:qFormat/>
    <w:uiPriority w:val="0"/>
    <w:pPr>
      <w:tabs>
        <w:tab w:val="center" w:pos="4153"/>
        <w:tab w:val="right" w:pos="8306"/>
      </w:tabs>
      <w:snapToGrid w:val="0"/>
      <w:jc w:val="left"/>
    </w:pPr>
    <w:rPr>
      <w:sz w:val="18"/>
      <w:szCs w:val="18"/>
    </w:rPr>
  </w:style>
  <w:style w:type="paragraph" w:customStyle="1" w:styleId="32">
    <w:name w:val="正文 New New New New New New New New New New New New New New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33">
    <w:name w:val="页眉 New New New New"/>
    <w:basedOn w:val="16"/>
    <w:uiPriority w:val="0"/>
    <w:pPr>
      <w:pBdr>
        <w:bottom w:val="single" w:color="auto" w:sz="6" w:space="1"/>
      </w:pBdr>
      <w:tabs>
        <w:tab w:val="center" w:pos="4153"/>
        <w:tab w:val="right" w:pos="8306"/>
      </w:tabs>
      <w:snapToGrid w:val="0"/>
      <w:jc w:val="center"/>
    </w:pPr>
    <w:rPr>
      <w:sz w:val="18"/>
      <w:szCs w:val="18"/>
    </w:rPr>
  </w:style>
  <w:style w:type="paragraph" w:customStyle="1" w:styleId="34">
    <w:name w:val="页脚 New New New"/>
    <w:basedOn w:val="35"/>
    <w:qFormat/>
    <w:uiPriority w:val="0"/>
    <w:pPr>
      <w:tabs>
        <w:tab w:val="center" w:pos="4153"/>
        <w:tab w:val="right" w:pos="8306"/>
      </w:tabs>
      <w:snapToGrid w:val="0"/>
      <w:jc w:val="left"/>
    </w:pPr>
    <w:rPr>
      <w:rFonts w:eastAsia="仿宋_GB2312"/>
      <w:kern w:val="2"/>
      <w:sz w:val="18"/>
    </w:rPr>
  </w:style>
  <w:style w:type="paragraph" w:customStyle="1" w:styleId="35">
    <w:name w:val="正文 New New New"/>
    <w:uiPriority w:val="0"/>
    <w:pPr>
      <w:widowControl w:val="0"/>
      <w:jc w:val="both"/>
    </w:pPr>
    <w:rPr>
      <w:rFonts w:ascii="Times New Roman" w:hAnsi="Times New Roman" w:eastAsia="仿宋_GB2312" w:cs="Times New Roman"/>
      <w:kern w:val="2"/>
      <w:sz w:val="32"/>
      <w:lang w:val="en-US" w:eastAsia="zh-CN" w:bidi="ar-SA"/>
    </w:rPr>
  </w:style>
  <w:style w:type="paragraph" w:customStyle="1" w:styleId="36">
    <w:name w:val="页眉 New New New New New New New New New New New New New New New New New New New"/>
    <w:basedOn w:val="27"/>
    <w:qFormat/>
    <w:uiPriority w:val="0"/>
    <w:pPr>
      <w:pBdr>
        <w:bottom w:val="single" w:color="auto" w:sz="6" w:space="1"/>
      </w:pBdr>
      <w:tabs>
        <w:tab w:val="center" w:pos="4153"/>
        <w:tab w:val="right" w:pos="8306"/>
      </w:tabs>
      <w:snapToGrid w:val="0"/>
      <w:jc w:val="center"/>
    </w:pPr>
    <w:rPr>
      <w:sz w:val="18"/>
      <w:szCs w:val="18"/>
    </w:rPr>
  </w:style>
  <w:style w:type="paragraph" w:customStyle="1" w:styleId="37">
    <w:name w:val="页脚 New New New New New New New New New New New New New New New New New New New New New New New New New"/>
    <w:basedOn w:val="38"/>
    <w:qFormat/>
    <w:uiPriority w:val="0"/>
    <w:pPr>
      <w:tabs>
        <w:tab w:val="center" w:pos="4153"/>
        <w:tab w:val="right" w:pos="8306"/>
      </w:tabs>
      <w:snapToGrid w:val="0"/>
      <w:jc w:val="left"/>
    </w:pPr>
    <w:rPr>
      <w:rFonts w:eastAsia="仿宋_GB2312"/>
      <w:kern w:val="2"/>
      <w:sz w:val="18"/>
    </w:rPr>
  </w:style>
  <w:style w:type="paragraph" w:customStyle="1" w:styleId="38">
    <w:name w:val="正文 New New New New New New New New New New New New New New New New New New New New New New New New New"/>
    <w:uiPriority w:val="0"/>
    <w:pPr>
      <w:widowControl w:val="0"/>
      <w:jc w:val="both"/>
    </w:pPr>
    <w:rPr>
      <w:rFonts w:ascii="Times New Roman" w:hAnsi="Times New Roman" w:eastAsia="仿宋_GB2312" w:cs="Times New Roman"/>
      <w:kern w:val="2"/>
      <w:sz w:val="32"/>
      <w:lang w:val="en-US" w:eastAsia="zh-CN" w:bidi="ar-SA"/>
    </w:rPr>
  </w:style>
  <w:style w:type="paragraph" w:customStyle="1" w:styleId="39">
    <w:name w:val="页眉 New New New New New New New New New New New New New New New New New"/>
    <w:basedOn w:val="19"/>
    <w:uiPriority w:val="0"/>
    <w:pPr>
      <w:pBdr>
        <w:bottom w:val="single" w:color="auto" w:sz="6" w:space="1"/>
      </w:pBdr>
      <w:tabs>
        <w:tab w:val="center" w:pos="4153"/>
        <w:tab w:val="right" w:pos="8306"/>
      </w:tabs>
      <w:snapToGrid w:val="0"/>
      <w:jc w:val="center"/>
    </w:pPr>
    <w:rPr>
      <w:sz w:val="18"/>
      <w:szCs w:val="18"/>
    </w:rPr>
  </w:style>
  <w:style w:type="paragraph" w:customStyle="1" w:styleId="40">
    <w:name w:val="页眉 New New New New New New New New New New New New New New New New New New"/>
    <w:basedOn w:val="41"/>
    <w:uiPriority w:val="0"/>
    <w:pPr>
      <w:pBdr>
        <w:bottom w:val="single" w:color="auto" w:sz="6" w:space="1"/>
      </w:pBdr>
      <w:tabs>
        <w:tab w:val="center" w:pos="4153"/>
        <w:tab w:val="right" w:pos="8306"/>
      </w:tabs>
      <w:snapToGrid w:val="0"/>
      <w:jc w:val="center"/>
    </w:pPr>
    <w:rPr>
      <w:sz w:val="18"/>
      <w:szCs w:val="18"/>
    </w:rPr>
  </w:style>
  <w:style w:type="paragraph" w:customStyle="1" w:styleId="41">
    <w:name w:val="正文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2">
    <w:name w:val="页脚 New New New New New New New New New New New New New New New New New"/>
    <w:basedOn w:val="19"/>
    <w:uiPriority w:val="0"/>
    <w:pPr>
      <w:tabs>
        <w:tab w:val="center" w:pos="4153"/>
        <w:tab w:val="right" w:pos="8306"/>
      </w:tabs>
      <w:snapToGrid w:val="0"/>
      <w:jc w:val="left"/>
    </w:pPr>
    <w:rPr>
      <w:sz w:val="18"/>
      <w:szCs w:val="18"/>
    </w:rPr>
  </w:style>
  <w:style w:type="paragraph" w:customStyle="1" w:styleId="43">
    <w:name w:val="页脚 New New New New New New New New New New New New New New New New New New New New New New"/>
    <w:basedOn w:val="25"/>
    <w:qFormat/>
    <w:uiPriority w:val="0"/>
    <w:pPr>
      <w:tabs>
        <w:tab w:val="center" w:pos="4153"/>
        <w:tab w:val="right" w:pos="8306"/>
      </w:tabs>
      <w:snapToGrid w:val="0"/>
      <w:jc w:val="left"/>
    </w:pPr>
    <w:rPr>
      <w:sz w:val="18"/>
      <w:szCs w:val="18"/>
    </w:rPr>
  </w:style>
  <w:style w:type="paragraph" w:customStyle="1" w:styleId="44">
    <w:name w:val="页脚 New New"/>
    <w:basedOn w:val="45"/>
    <w:uiPriority w:val="0"/>
    <w:pPr>
      <w:tabs>
        <w:tab w:val="center" w:pos="4153"/>
        <w:tab w:val="right" w:pos="8306"/>
      </w:tabs>
      <w:snapToGrid w:val="0"/>
      <w:jc w:val="left"/>
    </w:pPr>
    <w:rPr>
      <w:rFonts w:eastAsia="仿宋_GB2312"/>
      <w:kern w:val="2"/>
      <w:sz w:val="18"/>
    </w:rPr>
  </w:style>
  <w:style w:type="paragraph" w:customStyle="1" w:styleId="45">
    <w:name w:val="正文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46">
    <w:name w:val="正文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7">
    <w:name w:val="页脚 New New New New New New New New"/>
    <w:basedOn w:val="48"/>
    <w:uiPriority w:val="0"/>
    <w:pPr>
      <w:tabs>
        <w:tab w:val="center" w:pos="4153"/>
        <w:tab w:val="right" w:pos="8306"/>
      </w:tabs>
      <w:snapToGrid w:val="0"/>
      <w:jc w:val="left"/>
    </w:pPr>
    <w:rPr>
      <w:sz w:val="18"/>
      <w:szCs w:val="18"/>
    </w:rPr>
  </w:style>
  <w:style w:type="paragraph" w:customStyle="1" w:styleId="48">
    <w:name w:val="正文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9">
    <w:name w:val="页脚 New New New New New New New New New New New New New New New New New New New New"/>
    <w:basedOn w:val="20"/>
    <w:qFormat/>
    <w:uiPriority w:val="0"/>
    <w:pPr>
      <w:tabs>
        <w:tab w:val="center" w:pos="4153"/>
        <w:tab w:val="right" w:pos="8306"/>
      </w:tabs>
      <w:snapToGrid w:val="0"/>
      <w:jc w:val="left"/>
    </w:pPr>
    <w:rPr>
      <w:sz w:val="18"/>
      <w:szCs w:val="18"/>
    </w:rPr>
  </w:style>
  <w:style w:type="paragraph" w:customStyle="1" w:styleId="50">
    <w:name w:val="正文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1">
    <w:name w:val="页脚 New New New New New New New New New New New New New New New New New New New New New"/>
    <w:basedOn w:val="52"/>
    <w:qFormat/>
    <w:uiPriority w:val="0"/>
    <w:pPr>
      <w:tabs>
        <w:tab w:val="center" w:pos="4153"/>
        <w:tab w:val="right" w:pos="8306"/>
      </w:tabs>
      <w:snapToGrid w:val="0"/>
      <w:jc w:val="left"/>
    </w:pPr>
    <w:rPr>
      <w:sz w:val="18"/>
      <w:szCs w:val="18"/>
    </w:rPr>
  </w:style>
  <w:style w:type="paragraph" w:customStyle="1" w:styleId="52">
    <w:name w:val="正文 New New New New New New New New New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3">
    <w:name w:val="页眉 New New New New New New New New New New New New"/>
    <w:basedOn w:val="54"/>
    <w:qFormat/>
    <w:uiPriority w:val="0"/>
    <w:pPr>
      <w:pBdr>
        <w:bottom w:val="single" w:color="auto" w:sz="6" w:space="1"/>
      </w:pBdr>
      <w:tabs>
        <w:tab w:val="center" w:pos="4153"/>
        <w:tab w:val="right" w:pos="8306"/>
      </w:tabs>
      <w:snapToGrid w:val="0"/>
      <w:jc w:val="center"/>
    </w:pPr>
    <w:rPr>
      <w:sz w:val="18"/>
      <w:szCs w:val="18"/>
    </w:rPr>
  </w:style>
  <w:style w:type="paragraph" w:customStyle="1" w:styleId="54">
    <w:name w:val="正文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5">
    <w:name w:val="正文 New New New New New New New New New New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56">
    <w:name w:val="页眉 New New New New New New New New New"/>
    <w:basedOn w:val="50"/>
    <w:qFormat/>
    <w:uiPriority w:val="0"/>
    <w:pPr>
      <w:pBdr>
        <w:bottom w:val="single" w:color="auto" w:sz="6" w:space="1"/>
      </w:pBdr>
      <w:tabs>
        <w:tab w:val="center" w:pos="4153"/>
        <w:tab w:val="right" w:pos="8306"/>
      </w:tabs>
      <w:snapToGrid w:val="0"/>
      <w:jc w:val="center"/>
    </w:pPr>
    <w:rPr>
      <w:sz w:val="18"/>
      <w:szCs w:val="18"/>
    </w:rPr>
  </w:style>
  <w:style w:type="paragraph" w:customStyle="1" w:styleId="57">
    <w:name w:val="正文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8">
    <w:name w:val="正文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9">
    <w:name w:val="正文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60">
    <w:name w:val="页脚 New New New New New New New New New New New New"/>
    <w:basedOn w:val="54"/>
    <w:qFormat/>
    <w:uiPriority w:val="0"/>
    <w:pPr>
      <w:tabs>
        <w:tab w:val="center" w:pos="4153"/>
        <w:tab w:val="right" w:pos="8306"/>
      </w:tabs>
      <w:snapToGrid w:val="0"/>
      <w:jc w:val="left"/>
    </w:pPr>
    <w:rPr>
      <w:sz w:val="18"/>
      <w:szCs w:val="18"/>
    </w:rPr>
  </w:style>
  <w:style w:type="paragraph" w:customStyle="1" w:styleId="61">
    <w:name w:val="页脚 New"/>
    <w:basedOn w:val="62"/>
    <w:qFormat/>
    <w:uiPriority w:val="0"/>
    <w:pPr>
      <w:tabs>
        <w:tab w:val="center" w:pos="4153"/>
        <w:tab w:val="right" w:pos="8306"/>
      </w:tabs>
      <w:snapToGrid w:val="0"/>
      <w:jc w:val="left"/>
    </w:pPr>
    <w:rPr>
      <w:rFonts w:eastAsia="仿宋_GB2312"/>
      <w:kern w:val="2"/>
      <w:sz w:val="18"/>
    </w:rPr>
  </w:style>
  <w:style w:type="paragraph" w:customStyle="1" w:styleId="62">
    <w:name w:val="正文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63">
    <w:name w:val="页脚 New New New New New New"/>
    <w:basedOn w:val="59"/>
    <w:qFormat/>
    <w:uiPriority w:val="0"/>
    <w:pPr>
      <w:tabs>
        <w:tab w:val="center" w:pos="4153"/>
        <w:tab w:val="right" w:pos="8306"/>
      </w:tabs>
      <w:snapToGrid w:val="0"/>
      <w:jc w:val="left"/>
    </w:pPr>
    <w:rPr>
      <w:sz w:val="18"/>
      <w:szCs w:val="18"/>
    </w:rPr>
  </w:style>
  <w:style w:type="paragraph" w:customStyle="1" w:styleId="64">
    <w:name w:val="正文 New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65">
    <w:name w:val="页眉 New New New"/>
    <w:basedOn w:val="35"/>
    <w:qFormat/>
    <w:uiPriority w:val="0"/>
    <w:pPr>
      <w:pBdr>
        <w:bottom w:val="single" w:color="auto" w:sz="6" w:space="1"/>
      </w:pBdr>
      <w:tabs>
        <w:tab w:val="center" w:pos="4153"/>
        <w:tab w:val="right" w:pos="8306"/>
      </w:tabs>
      <w:snapToGrid w:val="0"/>
      <w:jc w:val="center"/>
    </w:pPr>
    <w:rPr>
      <w:sz w:val="18"/>
      <w:szCs w:val="18"/>
    </w:rPr>
  </w:style>
  <w:style w:type="paragraph" w:customStyle="1" w:styleId="66">
    <w:name w:val="页眉 New New New New New New New New New New New"/>
    <w:basedOn w:val="18"/>
    <w:qFormat/>
    <w:uiPriority w:val="0"/>
    <w:pPr>
      <w:pBdr>
        <w:bottom w:val="single" w:color="auto" w:sz="6" w:space="1"/>
      </w:pBdr>
      <w:tabs>
        <w:tab w:val="center" w:pos="4153"/>
        <w:tab w:val="right" w:pos="8306"/>
      </w:tabs>
      <w:snapToGrid w:val="0"/>
      <w:jc w:val="center"/>
    </w:pPr>
    <w:rPr>
      <w:sz w:val="18"/>
      <w:szCs w:val="18"/>
    </w:rPr>
  </w:style>
  <w:style w:type="paragraph" w:customStyle="1" w:styleId="67">
    <w:name w:val="页眉 New New New New New New New New New New New New New New"/>
    <w:basedOn w:val="55"/>
    <w:qFormat/>
    <w:uiPriority w:val="0"/>
    <w:pPr>
      <w:pBdr>
        <w:bottom w:val="single" w:color="auto" w:sz="6" w:space="1"/>
      </w:pBdr>
      <w:tabs>
        <w:tab w:val="center" w:pos="4153"/>
        <w:tab w:val="right" w:pos="8306"/>
      </w:tabs>
      <w:snapToGrid w:val="0"/>
      <w:jc w:val="center"/>
    </w:pPr>
    <w:rPr>
      <w:sz w:val="18"/>
      <w:szCs w:val="18"/>
    </w:rPr>
  </w:style>
  <w:style w:type="paragraph" w:customStyle="1" w:styleId="68">
    <w:name w:val="页脚 New New New New New New New New New New New New New New New"/>
    <w:basedOn w:val="21"/>
    <w:qFormat/>
    <w:uiPriority w:val="0"/>
    <w:pPr>
      <w:tabs>
        <w:tab w:val="center" w:pos="4153"/>
        <w:tab w:val="right" w:pos="8306"/>
      </w:tabs>
      <w:snapToGrid w:val="0"/>
      <w:jc w:val="left"/>
    </w:pPr>
    <w:rPr>
      <w:sz w:val="18"/>
      <w:szCs w:val="18"/>
    </w:rPr>
  </w:style>
  <w:style w:type="paragraph" w:customStyle="1" w:styleId="69">
    <w:name w:val="页眉 New New New New New New New New New New New New New New New New New New New New New New New New"/>
    <w:basedOn w:val="23"/>
    <w:qFormat/>
    <w:uiPriority w:val="0"/>
    <w:pPr>
      <w:pBdr>
        <w:bottom w:val="single" w:color="auto" w:sz="6" w:space="1"/>
      </w:pBdr>
      <w:tabs>
        <w:tab w:val="center" w:pos="4153"/>
        <w:tab w:val="right" w:pos="8306"/>
      </w:tabs>
      <w:snapToGrid w:val="0"/>
      <w:jc w:val="center"/>
    </w:pPr>
    <w:rPr>
      <w:sz w:val="18"/>
      <w:szCs w:val="18"/>
    </w:rPr>
  </w:style>
  <w:style w:type="paragraph" w:customStyle="1" w:styleId="70">
    <w:name w:val="页脚 New New New New New New New New New New New New New New"/>
    <w:basedOn w:val="55"/>
    <w:qFormat/>
    <w:uiPriority w:val="0"/>
    <w:pPr>
      <w:tabs>
        <w:tab w:val="center" w:pos="4153"/>
        <w:tab w:val="right" w:pos="8306"/>
      </w:tabs>
      <w:snapToGrid w:val="0"/>
      <w:jc w:val="left"/>
    </w:pPr>
    <w:rPr>
      <w:rFonts w:eastAsia="仿宋_GB2312"/>
      <w:kern w:val="2"/>
      <w:sz w:val="18"/>
    </w:rPr>
  </w:style>
  <w:style w:type="paragraph" w:customStyle="1" w:styleId="71">
    <w:name w:val="页眉 New New New New New New New New New New New New New New New"/>
    <w:basedOn w:val="21"/>
    <w:qFormat/>
    <w:uiPriority w:val="0"/>
    <w:pPr>
      <w:pBdr>
        <w:bottom w:val="single" w:color="auto" w:sz="6" w:space="1"/>
      </w:pBdr>
      <w:tabs>
        <w:tab w:val="center" w:pos="4153"/>
        <w:tab w:val="right" w:pos="8306"/>
      </w:tabs>
      <w:snapToGrid w:val="0"/>
      <w:jc w:val="center"/>
    </w:pPr>
    <w:rPr>
      <w:sz w:val="18"/>
      <w:szCs w:val="18"/>
    </w:rPr>
  </w:style>
  <w:style w:type="paragraph" w:customStyle="1" w:styleId="72">
    <w:name w:val="页眉 New New New New New New New New"/>
    <w:basedOn w:val="48"/>
    <w:qFormat/>
    <w:uiPriority w:val="0"/>
    <w:pPr>
      <w:pBdr>
        <w:bottom w:val="single" w:color="auto" w:sz="6" w:space="1"/>
      </w:pBdr>
      <w:tabs>
        <w:tab w:val="center" w:pos="4153"/>
        <w:tab w:val="right" w:pos="8306"/>
      </w:tabs>
      <w:snapToGrid w:val="0"/>
      <w:jc w:val="center"/>
    </w:pPr>
    <w:rPr>
      <w:sz w:val="18"/>
      <w:szCs w:val="18"/>
    </w:rPr>
  </w:style>
  <w:style w:type="paragraph" w:customStyle="1" w:styleId="73">
    <w:name w:val="页脚 New New New New"/>
    <w:basedOn w:val="16"/>
    <w:qFormat/>
    <w:uiPriority w:val="0"/>
    <w:pPr>
      <w:tabs>
        <w:tab w:val="center" w:pos="4153"/>
        <w:tab w:val="right" w:pos="8306"/>
      </w:tabs>
      <w:snapToGrid w:val="0"/>
      <w:jc w:val="left"/>
    </w:pPr>
    <w:rPr>
      <w:rFonts w:eastAsia="仿宋_GB2312"/>
      <w:kern w:val="2"/>
      <w:sz w:val="18"/>
    </w:rPr>
  </w:style>
  <w:style w:type="paragraph" w:customStyle="1" w:styleId="74">
    <w:name w:val="页眉 New New"/>
    <w:basedOn w:val="45"/>
    <w:qFormat/>
    <w:uiPriority w:val="0"/>
    <w:pPr>
      <w:pBdr>
        <w:bottom w:val="single" w:color="auto" w:sz="6" w:space="1"/>
      </w:pBdr>
      <w:tabs>
        <w:tab w:val="center" w:pos="4153"/>
        <w:tab w:val="right" w:pos="8306"/>
      </w:tabs>
      <w:snapToGrid w:val="0"/>
      <w:jc w:val="center"/>
    </w:pPr>
    <w:rPr>
      <w:sz w:val="18"/>
      <w:szCs w:val="18"/>
    </w:rPr>
  </w:style>
  <w:style w:type="paragraph" w:customStyle="1" w:styleId="75">
    <w:name w:val="页脚 New New New New New New New"/>
    <w:basedOn w:val="26"/>
    <w:qFormat/>
    <w:uiPriority w:val="0"/>
    <w:pPr>
      <w:tabs>
        <w:tab w:val="center" w:pos="4153"/>
        <w:tab w:val="right" w:pos="8306"/>
      </w:tabs>
      <w:snapToGrid w:val="0"/>
      <w:jc w:val="left"/>
    </w:pPr>
    <w:rPr>
      <w:sz w:val="18"/>
      <w:szCs w:val="18"/>
    </w:rPr>
  </w:style>
  <w:style w:type="paragraph" w:customStyle="1" w:styleId="76">
    <w:name w:val="页脚 New New New New New"/>
    <w:basedOn w:val="57"/>
    <w:qFormat/>
    <w:uiPriority w:val="0"/>
    <w:pPr>
      <w:tabs>
        <w:tab w:val="center" w:pos="4153"/>
        <w:tab w:val="right" w:pos="8306"/>
      </w:tabs>
      <w:snapToGrid w:val="0"/>
      <w:jc w:val="left"/>
    </w:pPr>
    <w:rPr>
      <w:sz w:val="18"/>
      <w:szCs w:val="18"/>
    </w:rPr>
  </w:style>
  <w:style w:type="paragraph" w:customStyle="1" w:styleId="77">
    <w:name w:val="页眉 New"/>
    <w:basedOn w:val="62"/>
    <w:qFormat/>
    <w:uiPriority w:val="0"/>
    <w:pPr>
      <w:pBdr>
        <w:bottom w:val="single" w:color="auto" w:sz="6" w:space="1"/>
      </w:pBdr>
      <w:tabs>
        <w:tab w:val="center" w:pos="4153"/>
        <w:tab w:val="right" w:pos="8306"/>
      </w:tabs>
      <w:snapToGrid w:val="0"/>
      <w:jc w:val="center"/>
    </w:pPr>
    <w:rPr>
      <w:sz w:val="18"/>
      <w:szCs w:val="18"/>
    </w:rPr>
  </w:style>
  <w:style w:type="paragraph" w:customStyle="1" w:styleId="78">
    <w:name w:val="页眉 New New New New New New New New New New New New New New New New New New New New New New New New New"/>
    <w:basedOn w:val="38"/>
    <w:qFormat/>
    <w:uiPriority w:val="0"/>
    <w:pPr>
      <w:pBdr>
        <w:bottom w:val="single" w:color="auto" w:sz="6" w:space="1"/>
      </w:pBdr>
      <w:tabs>
        <w:tab w:val="center" w:pos="4153"/>
        <w:tab w:val="right" w:pos="8306"/>
      </w:tabs>
      <w:snapToGrid w:val="0"/>
      <w:jc w:val="center"/>
    </w:pPr>
    <w:rPr>
      <w:sz w:val="18"/>
      <w:szCs w:val="18"/>
    </w:rPr>
  </w:style>
  <w:style w:type="paragraph" w:customStyle="1" w:styleId="79">
    <w:name w:val="页脚 New New New New New New New New New New New New New New New New New New New New New New New"/>
    <w:basedOn w:val="64"/>
    <w:qFormat/>
    <w:uiPriority w:val="0"/>
    <w:pPr>
      <w:tabs>
        <w:tab w:val="center" w:pos="4153"/>
        <w:tab w:val="right" w:pos="8306"/>
      </w:tabs>
      <w:snapToGrid w:val="0"/>
      <w:jc w:val="left"/>
    </w:pPr>
    <w:rPr>
      <w:sz w:val="18"/>
      <w:szCs w:val="18"/>
    </w:rPr>
  </w:style>
  <w:style w:type="paragraph" w:customStyle="1" w:styleId="80">
    <w:name w:val="页眉 New New New New New New New New New New New New New New New New New New New New New New New New New New"/>
    <w:basedOn w:val="32"/>
    <w:qFormat/>
    <w:uiPriority w:val="0"/>
    <w:pPr>
      <w:pBdr>
        <w:bottom w:val="single" w:color="auto" w:sz="6" w:space="1"/>
      </w:pBdr>
      <w:tabs>
        <w:tab w:val="center" w:pos="4153"/>
        <w:tab w:val="right" w:pos="8306"/>
      </w:tabs>
      <w:snapToGrid w:val="0"/>
      <w:jc w:val="center"/>
    </w:pPr>
    <w:rPr>
      <w:sz w:val="18"/>
      <w:szCs w:val="18"/>
    </w:rPr>
  </w:style>
  <w:style w:type="paragraph" w:customStyle="1" w:styleId="81">
    <w:name w:val="页脚 New New New New New New New New New New New New New New New New New New"/>
    <w:basedOn w:val="41"/>
    <w:qFormat/>
    <w:uiPriority w:val="0"/>
    <w:pPr>
      <w:tabs>
        <w:tab w:val="center" w:pos="4153"/>
        <w:tab w:val="right" w:pos="8306"/>
      </w:tabs>
      <w:snapToGrid w:val="0"/>
      <w:jc w:val="left"/>
    </w:pPr>
    <w:rPr>
      <w:sz w:val="18"/>
      <w:szCs w:val="18"/>
    </w:rPr>
  </w:style>
  <w:style w:type="paragraph" w:customStyle="1" w:styleId="82">
    <w:name w:val="页眉 New New New New New New New New New New New New New New New New New New New New"/>
    <w:basedOn w:val="20"/>
    <w:qFormat/>
    <w:uiPriority w:val="0"/>
    <w:pPr>
      <w:pBdr>
        <w:bottom w:val="single" w:color="auto" w:sz="6" w:space="1"/>
      </w:pBdr>
      <w:tabs>
        <w:tab w:val="center" w:pos="4153"/>
        <w:tab w:val="right" w:pos="8306"/>
      </w:tabs>
      <w:snapToGrid w:val="0"/>
      <w:jc w:val="center"/>
    </w:pPr>
    <w:rPr>
      <w:sz w:val="18"/>
      <w:szCs w:val="18"/>
    </w:rPr>
  </w:style>
  <w:style w:type="paragraph" w:customStyle="1" w:styleId="83">
    <w:name w:val="页脚 New New New New New New New New New New New New New"/>
    <w:basedOn w:val="46"/>
    <w:qFormat/>
    <w:uiPriority w:val="0"/>
    <w:pPr>
      <w:tabs>
        <w:tab w:val="center" w:pos="4153"/>
        <w:tab w:val="right" w:pos="8306"/>
      </w:tabs>
      <w:snapToGrid w:val="0"/>
      <w:jc w:val="left"/>
    </w:pPr>
    <w:rPr>
      <w:sz w:val="18"/>
      <w:szCs w:val="18"/>
    </w:rPr>
  </w:style>
  <w:style w:type="paragraph" w:customStyle="1" w:styleId="84">
    <w:name w:val="页眉 New New New New New New New New New New New New New New New New New New New New New New New"/>
    <w:basedOn w:val="64"/>
    <w:qFormat/>
    <w:uiPriority w:val="0"/>
    <w:pPr>
      <w:pBdr>
        <w:bottom w:val="single" w:color="auto" w:sz="6" w:space="1"/>
      </w:pBdr>
      <w:tabs>
        <w:tab w:val="center" w:pos="4153"/>
        <w:tab w:val="right" w:pos="8306"/>
      </w:tabs>
      <w:snapToGrid w:val="0"/>
      <w:jc w:val="center"/>
    </w:pPr>
    <w:rPr>
      <w:sz w:val="18"/>
      <w:szCs w:val="18"/>
    </w:rPr>
  </w:style>
  <w:style w:type="paragraph" w:customStyle="1" w:styleId="85">
    <w:name w:val="页眉 New New New New New New New New New New New New New"/>
    <w:basedOn w:val="46"/>
    <w:qFormat/>
    <w:uiPriority w:val="0"/>
    <w:pPr>
      <w:pBdr>
        <w:bottom w:val="single" w:color="auto" w:sz="6" w:space="1"/>
      </w:pBdr>
      <w:tabs>
        <w:tab w:val="center" w:pos="4153"/>
        <w:tab w:val="right" w:pos="8306"/>
      </w:tabs>
      <w:snapToGrid w:val="0"/>
      <w:jc w:val="center"/>
    </w:pPr>
    <w:rPr>
      <w:sz w:val="18"/>
      <w:szCs w:val="18"/>
    </w:rPr>
  </w:style>
  <w:style w:type="paragraph" w:customStyle="1" w:styleId="86">
    <w:name w:val="页脚 New New New New New New New New New"/>
    <w:basedOn w:val="50"/>
    <w:qFormat/>
    <w:uiPriority w:val="0"/>
    <w:pPr>
      <w:tabs>
        <w:tab w:val="center" w:pos="4153"/>
        <w:tab w:val="right" w:pos="8306"/>
      </w:tabs>
      <w:snapToGrid w:val="0"/>
      <w:jc w:val="left"/>
    </w:pPr>
    <w:rPr>
      <w:sz w:val="18"/>
      <w:szCs w:val="18"/>
    </w:rPr>
  </w:style>
  <w:style w:type="paragraph" w:customStyle="1" w:styleId="87">
    <w:name w:val="页眉 New New New New New New"/>
    <w:basedOn w:val="59"/>
    <w:qFormat/>
    <w:uiPriority w:val="0"/>
    <w:pPr>
      <w:pBdr>
        <w:bottom w:val="single" w:color="auto" w:sz="6" w:space="1"/>
      </w:pBdr>
      <w:tabs>
        <w:tab w:val="center" w:pos="4153"/>
        <w:tab w:val="right" w:pos="8306"/>
      </w:tabs>
      <w:snapToGrid w:val="0"/>
      <w:jc w:val="center"/>
    </w:pPr>
    <w:rPr>
      <w:sz w:val="18"/>
      <w:szCs w:val="18"/>
    </w:rPr>
  </w:style>
  <w:style w:type="paragraph" w:customStyle="1" w:styleId="88">
    <w:name w:val="页脚 New New New New New New New New New New"/>
    <w:basedOn w:val="58"/>
    <w:qFormat/>
    <w:uiPriority w:val="0"/>
    <w:pPr>
      <w:tabs>
        <w:tab w:val="center" w:pos="4153"/>
        <w:tab w:val="right" w:pos="8306"/>
      </w:tabs>
      <w:snapToGrid w:val="0"/>
      <w:jc w:val="left"/>
    </w:pPr>
    <w:rPr>
      <w:sz w:val="18"/>
      <w:szCs w:val="18"/>
    </w:rPr>
  </w:style>
  <w:style w:type="paragraph" w:customStyle="1" w:styleId="89">
    <w:name w:val="页眉 New New New New New New New New New New"/>
    <w:basedOn w:val="58"/>
    <w:qFormat/>
    <w:uiPriority w:val="0"/>
    <w:pPr>
      <w:pBdr>
        <w:bottom w:val="single" w:color="auto" w:sz="6" w:space="1"/>
      </w:pBdr>
      <w:tabs>
        <w:tab w:val="center" w:pos="4153"/>
        <w:tab w:val="right" w:pos="8306"/>
      </w:tabs>
      <w:snapToGrid w:val="0"/>
      <w:jc w:val="center"/>
    </w:pPr>
    <w:rPr>
      <w:sz w:val="18"/>
      <w:szCs w:val="18"/>
    </w:rPr>
  </w:style>
  <w:style w:type="paragraph" w:customStyle="1" w:styleId="90">
    <w:name w:val="页眉 New New New New New New New"/>
    <w:basedOn w:val="26"/>
    <w:qFormat/>
    <w:uiPriority w:val="0"/>
    <w:pPr>
      <w:pBdr>
        <w:bottom w:val="single" w:color="auto" w:sz="6" w:space="1"/>
      </w:pBdr>
      <w:tabs>
        <w:tab w:val="center" w:pos="4153"/>
        <w:tab w:val="right" w:pos="8306"/>
      </w:tabs>
      <w:snapToGrid w:val="0"/>
      <w:jc w:val="center"/>
    </w:pPr>
    <w:rPr>
      <w:sz w:val="18"/>
      <w:szCs w:val="18"/>
    </w:rPr>
  </w:style>
  <w:style w:type="paragraph" w:customStyle="1" w:styleId="91">
    <w:name w:val="页眉 New New New New New New New New New New New New New New New New New New New New New"/>
    <w:basedOn w:val="52"/>
    <w:qFormat/>
    <w:uiPriority w:val="0"/>
    <w:pPr>
      <w:pBdr>
        <w:bottom w:val="single" w:color="auto" w:sz="6" w:space="1"/>
      </w:pBdr>
      <w:tabs>
        <w:tab w:val="center" w:pos="4153"/>
        <w:tab w:val="right" w:pos="8306"/>
      </w:tabs>
      <w:snapToGrid w:val="0"/>
      <w:jc w:val="center"/>
    </w:pPr>
    <w:rPr>
      <w:sz w:val="18"/>
      <w:szCs w:val="18"/>
    </w:rPr>
  </w:style>
  <w:style w:type="paragraph" w:customStyle="1" w:styleId="92">
    <w:name w:val="页眉 New New New New New"/>
    <w:basedOn w:val="57"/>
    <w:qFormat/>
    <w:uiPriority w:val="0"/>
    <w:pPr>
      <w:pBdr>
        <w:bottom w:val="single" w:color="auto" w:sz="6" w:space="1"/>
      </w:pBdr>
      <w:tabs>
        <w:tab w:val="center" w:pos="4153"/>
        <w:tab w:val="right" w:pos="8306"/>
      </w:tabs>
      <w:snapToGrid w:val="0"/>
      <w:jc w:val="center"/>
    </w:pPr>
    <w:rPr>
      <w:sz w:val="18"/>
      <w:szCs w:val="18"/>
    </w:rPr>
  </w:style>
  <w:style w:type="paragraph" w:customStyle="1" w:styleId="93">
    <w:name w:val="页脚 New New New New New New New New New New New New New New New New New New New"/>
    <w:basedOn w:val="27"/>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Local\Kingsoft\WPS%20Office\12.1.0.20305\office6\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Normal.wpt</Template>
  <Company>Microsoft</Company>
  <Pages>10</Pages>
  <Words>3303</Words>
  <Characters>3451</Characters>
  <Lines>32</Lines>
  <Paragraphs>9</Paragraphs>
  <TotalTime>11</TotalTime>
  <ScaleCrop>false</ScaleCrop>
  <LinksUpToDate>false</LinksUpToDate>
  <CharactersWithSpaces>3541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2020-03-09T02:34:00Z</dcterms:created>
  <dc:creator>王志强</dc:creator>
  <cp:lastModifiedBy>郭松</cp:lastModifiedBy>
  <cp:lastPrinted>2022-03-21T06:33:00Z</cp:lastPrinted>
  <dcterms:modified xsi:type="dcterms:W3CDTF">2026-01-29T03:08:17Z</dcterms:modified>
  <dc:title>2015年度部门决算公开模板</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752B90C372394DAAB67E7C709F7656B3_13</vt:lpwstr>
  </property>
  <property fmtid="{D5CDD505-2E9C-101B-9397-08002B2CF9AE}" pid="4" name="KSOTemplateDocerSaveRecord">
    <vt:lpwstr>eyJoZGlkIjoiNWYzYjM1NTc2Nzg4ZjM3ZWM1NGVmNmEyZGVkN2FkNGMiLCJ1c2VySWQiOiIzMDk3MDc3OTUifQ==</vt:lpwstr>
  </property>
</Properties>
</file>