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DAEA3">
      <w:pPr>
        <w:spacing w:line="600" w:lineRule="exact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  <w:r>
        <w:rPr>
          <w:rFonts w:hint="eastAsia"/>
        </w:rPr>
        <w:t>申报</w:t>
      </w:r>
      <w:r>
        <w:rPr>
          <w:rFonts w:hint="eastAsia"/>
          <w:lang w:val="en-US" w:eastAsia="zh-CN"/>
        </w:rPr>
        <w:t>询价</w:t>
      </w:r>
      <w:r>
        <w:rPr>
          <w:rFonts w:hint="eastAsia"/>
        </w:rPr>
        <w:t>资料相关要求</w:t>
      </w:r>
    </w:p>
    <w:p w14:paraId="337EB586">
      <w:pPr>
        <w:spacing w:line="600" w:lineRule="exact"/>
        <w:rPr>
          <w:rFonts w:hint="eastAsia"/>
          <w:lang w:val="en-US" w:eastAsia="zh-CN"/>
        </w:rPr>
      </w:pPr>
    </w:p>
    <w:p w14:paraId="5F1AA780">
      <w:pPr>
        <w:pStyle w:val="5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一、单位基本情况</w:t>
      </w:r>
    </w:p>
    <w:p w14:paraId="5E3BD83F">
      <w:pPr>
        <w:pStyle w:val="5"/>
      </w:pPr>
    </w:p>
    <w:p w14:paraId="0327A0BB">
      <w:pPr>
        <w:pStyle w:val="5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营业执照；</w:t>
      </w:r>
    </w:p>
    <w:p w14:paraId="639664CC">
      <w:pPr>
        <w:spacing w:line="600" w:lineRule="exact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申报单位应具有经会计师事务所审计的202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年度财务审计报告或202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年1月1日至今任意月份的财务报表（财务报表包含但不限于资产负债表、现金流量表、利润表等）或基本银行账户开具的资信证明；</w:t>
      </w:r>
    </w:p>
    <w:p w14:paraId="4AFB90FD">
      <w:pPr>
        <w:spacing w:line="600" w:lineRule="exact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申报单位近三年（202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年1月1日至今）在经营活动中无重大违法记录、无严重失信记录。</w:t>
      </w:r>
    </w:p>
    <w:p w14:paraId="7397C9A2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51B0D9B6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14B0A3E2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4F06C0B0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21674158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18DAB89D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36D79BD2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6EBA6723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370DAEEB">
      <w:pPr>
        <w:tabs>
          <w:tab w:val="left" w:pos="2915"/>
          <w:tab w:val="center" w:pos="4533"/>
        </w:tabs>
        <w:jc w:val="left"/>
        <w:rPr>
          <w:rFonts w:hint="eastAsia"/>
          <w:sz w:val="32"/>
          <w:szCs w:val="40"/>
          <w:lang w:val="en-US" w:eastAsia="zh-CN"/>
        </w:rPr>
      </w:pPr>
    </w:p>
    <w:p w14:paraId="07CA2EF4">
      <w:pPr>
        <w:tabs>
          <w:tab w:val="left" w:pos="2915"/>
          <w:tab w:val="center" w:pos="4533"/>
        </w:tabs>
        <w:ind w:left="0" w:leftChars="0" w:firstLine="0" w:firstLineChars="0"/>
        <w:jc w:val="left"/>
        <w:rPr>
          <w:rFonts w:hint="eastAsia"/>
          <w:sz w:val="32"/>
          <w:szCs w:val="40"/>
          <w:lang w:val="en-US" w:eastAsia="zh-CN"/>
        </w:rPr>
      </w:pPr>
    </w:p>
    <w:p w14:paraId="262C313D">
      <w:pPr>
        <w:tabs>
          <w:tab w:val="left" w:pos="2915"/>
          <w:tab w:val="center" w:pos="4533"/>
        </w:tabs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</w:rPr>
        <w:t>报价单（范本）</w:t>
      </w:r>
    </w:p>
    <w:p w14:paraId="00419D58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sz w:val="28"/>
          <w:szCs w:val="36"/>
          <w:u w:val="single"/>
        </w:rPr>
        <w:t xml:space="preserve">    </w:t>
      </w:r>
      <w:r>
        <w:rPr>
          <w:rFonts w:ascii="宋体" w:hAnsi="宋体" w:cs="宋体"/>
          <w:sz w:val="28"/>
          <w:szCs w:val="36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：</w:t>
      </w:r>
    </w:p>
    <w:p w14:paraId="086B8E0F">
      <w:pPr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我单位在仔细研究了询价函后，现对询价响应报价如下：</w:t>
      </w:r>
    </w:p>
    <w:p w14:paraId="29F55E03">
      <w:pPr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1B36A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0"/>
        <w:rPr>
          <w:rFonts w:hint="eastAsia" w:ascii="仿宋" w:hAnsi="仿宋" w:eastAsia="仿宋" w:cs="楷体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/>
          <w:sz w:val="28"/>
          <w:szCs w:val="28"/>
        </w:rPr>
        <w:t>报价项目：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楷体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中国电商主播大赛·大健康兴边富民</w:t>
      </w:r>
      <w:r>
        <w:rPr>
          <w:rFonts w:hint="eastAsia" w:cs="楷体_GB2312"/>
          <w:b w:val="0"/>
          <w:bCs w:val="0"/>
          <w:kern w:val="2"/>
          <w:sz w:val="28"/>
          <w:szCs w:val="28"/>
          <w:u w:val="single"/>
          <w:lang w:val="en-US" w:eastAsia="zh-CN" w:bidi="ar-SA"/>
        </w:rPr>
        <w:t>总决赛</w:t>
      </w:r>
    </w:p>
    <w:p w14:paraId="3C610E59">
      <w:pPr>
        <w:spacing w:line="48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报价：</w:t>
      </w:r>
      <w:r>
        <w:rPr>
          <w:rFonts w:hint="eastAsia"/>
          <w:sz w:val="28"/>
          <w:szCs w:val="28"/>
          <w:u w:val="single"/>
        </w:rPr>
        <w:t>大写（人民币）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：小写（人民币）：     </w:t>
      </w:r>
    </w:p>
    <w:p w14:paraId="32A97C72">
      <w:pPr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611EDCDA">
      <w:pPr>
        <w:spacing w:line="480" w:lineRule="auto"/>
        <w:rPr>
          <w:rFonts w:hint="eastAsia"/>
          <w:sz w:val="28"/>
          <w:szCs w:val="28"/>
        </w:rPr>
      </w:pPr>
    </w:p>
    <w:p w14:paraId="452C4A24">
      <w:pPr>
        <w:pStyle w:val="9"/>
        <w:rPr>
          <w:rFonts w:hint="eastAsia"/>
        </w:rPr>
      </w:pPr>
    </w:p>
    <w:p w14:paraId="48FC0FCE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报价单位名称：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（盖章）</w:t>
      </w:r>
    </w:p>
    <w:p w14:paraId="0EF41040"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法定代表人或授权代表：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（签字或盖章）</w:t>
      </w:r>
    </w:p>
    <w:p w14:paraId="61574FDB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     期：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14:paraId="733E37DA">
      <w:pPr>
        <w:pStyle w:val="9"/>
        <w:ind w:left="0" w:leftChars="0" w:firstLine="0" w:firstLineChars="0"/>
        <w:rPr>
          <w:rFonts w:hint="eastAsia"/>
          <w:sz w:val="24"/>
          <w:szCs w:val="32"/>
          <w:u w:val="single"/>
        </w:rPr>
      </w:pPr>
    </w:p>
    <w:p w14:paraId="133EA5D8">
      <w:pPr>
        <w:spacing w:line="480" w:lineRule="auto"/>
        <w:ind w:firstLine="562" w:firstLineChars="2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附报价明细</w:t>
      </w:r>
    </w:p>
    <w:p w14:paraId="3C8F6BCF">
      <w:pPr>
        <w:pStyle w:val="3"/>
        <w:rPr>
          <w:rFonts w:hint="eastAsia"/>
          <w:sz w:val="24"/>
          <w:szCs w:val="32"/>
          <w:u w:val="single"/>
        </w:rPr>
      </w:pPr>
    </w:p>
    <w:p w14:paraId="6470D33F">
      <w:pPr>
        <w:rPr>
          <w:rFonts w:hint="eastAsia"/>
          <w:sz w:val="24"/>
          <w:szCs w:val="32"/>
          <w:u w:val="single"/>
        </w:rPr>
      </w:pPr>
    </w:p>
    <w:p w14:paraId="48981413">
      <w:pPr>
        <w:ind w:left="0" w:leftChars="0" w:firstLine="0" w:firstLineChars="0"/>
        <w:rPr>
          <w:rFonts w:hint="eastAsia"/>
          <w:sz w:val="24"/>
          <w:szCs w:val="32"/>
          <w:u w:val="single"/>
        </w:rPr>
      </w:pPr>
    </w:p>
    <w:p w14:paraId="2EFF70EC">
      <w:pPr>
        <w:rPr>
          <w:rFonts w:hint="eastAsia"/>
          <w:sz w:val="24"/>
          <w:szCs w:val="32"/>
          <w:u w:val="single"/>
        </w:rPr>
      </w:pPr>
    </w:p>
    <w:p w14:paraId="386F4B49">
      <w:pPr>
        <w:rPr>
          <w:rFonts w:hint="eastAsia"/>
          <w:sz w:val="24"/>
          <w:szCs w:val="32"/>
          <w:u w:val="single"/>
        </w:rPr>
      </w:pPr>
    </w:p>
    <w:p w14:paraId="222CC8F9">
      <w:pPr>
        <w:pStyle w:val="9"/>
        <w:rPr>
          <w:rFonts w:hint="eastAsia"/>
          <w:sz w:val="24"/>
          <w:szCs w:val="32"/>
          <w:u w:val="single"/>
        </w:rPr>
      </w:pPr>
    </w:p>
    <w:p w14:paraId="759B5E5D">
      <w:pPr>
        <w:spacing w:line="480" w:lineRule="auto"/>
        <w:jc w:val="left"/>
        <w:rPr>
          <w:rFonts w:hint="eastAsia"/>
          <w:b/>
          <w:bCs/>
          <w:sz w:val="28"/>
          <w:szCs w:val="28"/>
        </w:rPr>
      </w:pPr>
    </w:p>
    <w:p w14:paraId="46E808D4">
      <w:pPr>
        <w:spacing w:line="480" w:lineRule="auto"/>
        <w:jc w:val="left"/>
        <w:rPr>
          <w:rFonts w:hint="eastAsia"/>
          <w:b/>
          <w:bCs/>
          <w:sz w:val="28"/>
          <w:szCs w:val="28"/>
        </w:rPr>
      </w:pPr>
    </w:p>
    <w:p w14:paraId="524AC55D">
      <w:pPr>
        <w:spacing w:line="480" w:lineRule="auto"/>
        <w:ind w:left="0" w:leftChars="0" w:firstLine="0" w:firstLineChars="0"/>
        <w:jc w:val="left"/>
        <w:rPr>
          <w:rFonts w:hint="eastAsia"/>
          <w:b/>
          <w:bCs/>
          <w:sz w:val="28"/>
          <w:szCs w:val="28"/>
        </w:rPr>
      </w:pPr>
    </w:p>
    <w:tbl>
      <w:tblPr>
        <w:tblStyle w:val="7"/>
        <w:tblW w:w="81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219"/>
        <w:gridCol w:w="4625"/>
        <w:gridCol w:w="1163"/>
        <w:gridCol w:w="1027"/>
      </w:tblGrid>
      <w:tr w14:paraId="6E5D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15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84F954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电商主播直播总决赛费用清单</w:t>
            </w:r>
          </w:p>
        </w:tc>
      </w:tr>
      <w:tr w14:paraId="1112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F791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类别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499CE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项目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D4DC1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说明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C976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数量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AC99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单位</w:t>
            </w:r>
          </w:p>
        </w:tc>
      </w:tr>
      <w:tr w14:paraId="56FF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F283B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比赛</w:t>
            </w:r>
          </w:p>
          <w:p w14:paraId="03022B4F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相关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2D13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主持人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1EE4D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FB38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9858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天</w:t>
            </w:r>
          </w:p>
        </w:tc>
      </w:tr>
      <w:tr w14:paraId="0B4D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B854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C261C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一等奖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F7D6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奖杯/奖牌+野山参+纪念品+奖金10000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6835D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A709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4C66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A536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D9EA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二等奖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C2E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奖杯/奖牌+野山参+纪念品+奖金6000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2943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C58C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1215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7BBB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C77D9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三等奖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E7B2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奖杯/奖牌+野山参+纪念品+奖金3000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841CA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0D76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398F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90F0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E2A51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优秀奖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4B2F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奖杯/奖牌+纪念品等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F0D1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D31E1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69F6D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A00A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8EE7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特殊奖项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03A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优秀奖、参与奖 奖状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A8E9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DBCF6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1656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CEF4C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会务</w:t>
            </w:r>
          </w:p>
          <w:p w14:paraId="3CA8D17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用品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35F9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工作证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8669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嘉宾、学员、评委等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3FC6D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D870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76CEC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7B81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BA43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713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参赛号码牌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2DCE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2003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739D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C5E5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7E5D7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台词手卡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9487E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EC60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F62CA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</w:t>
            </w:r>
          </w:p>
        </w:tc>
      </w:tr>
      <w:tr w14:paraId="15BD0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95BA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9BDEF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会务手册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870F6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26004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3A57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本</w:t>
            </w:r>
          </w:p>
        </w:tc>
      </w:tr>
      <w:tr w14:paraId="01D5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943F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3006B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文件袋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3BFF1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含文件袋、笔记本、笔、矿泉水、湿巾等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76DC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BFEA8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套</w:t>
            </w:r>
          </w:p>
        </w:tc>
      </w:tr>
      <w:tr w14:paraId="5D07C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F7B8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C4536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健康包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7DA4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防暑降温包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597F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C2657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套</w:t>
            </w:r>
          </w:p>
        </w:tc>
      </w:tr>
      <w:tr w14:paraId="7C2F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7570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E1178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伴手礼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102E2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86D38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2E45F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212DE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0088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C4B47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伴手礼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0D5E1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A18F0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BA74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个</w:t>
            </w:r>
          </w:p>
        </w:tc>
      </w:tr>
      <w:tr w14:paraId="6041C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6A32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7F2A7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座位标识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4DF7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人名牌、座位贴等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E8AC2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3847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</w:t>
            </w:r>
          </w:p>
        </w:tc>
      </w:tr>
      <w:tr w14:paraId="7C915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91A1D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宾馆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BA6A0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住宿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404A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4星级宾馆，标间，含早餐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3E4F8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150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D78E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间</w:t>
            </w:r>
          </w:p>
        </w:tc>
      </w:tr>
      <w:tr w14:paraId="63CA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7912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29A40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餐费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48D0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品质自助餐，50人*3天*2餐（午餐+晚餐）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3F2AE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300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1D7A6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餐次</w:t>
            </w:r>
          </w:p>
        </w:tc>
      </w:tr>
      <w:tr w14:paraId="13013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4E34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2187A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宴会厅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1D64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400平方米以上大型宴会厅含场地费、LED等费用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5AF4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299C0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天</w:t>
            </w:r>
          </w:p>
        </w:tc>
      </w:tr>
      <w:tr w14:paraId="4AFBA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29FC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171D4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茶歇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89E38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上午、下午休息时间零食、咖啡、水果及服务人员等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A99C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9E2B9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</w:t>
            </w:r>
          </w:p>
        </w:tc>
      </w:tr>
      <w:tr w14:paraId="3BE9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D6857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氛围</w:t>
            </w:r>
          </w:p>
          <w:p w14:paraId="33B49C56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装饰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E51C8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会场布置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42486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宴会厅装饰及氛围提升等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9EB5D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41F4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</w:t>
            </w:r>
          </w:p>
        </w:tc>
      </w:tr>
      <w:tr w14:paraId="1FB2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618C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EB43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户外道旗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1340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5米注水道旗，含画面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6678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DB415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组</w:t>
            </w:r>
          </w:p>
        </w:tc>
      </w:tr>
      <w:tr w14:paraId="0E7A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B8B8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0237E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户外氛围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E588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宾馆外墙装饰、条幅等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76FB6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58132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</w:t>
            </w:r>
          </w:p>
        </w:tc>
      </w:tr>
      <w:tr w14:paraId="22D7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4776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68E9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户外主视觉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793FA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桁架+黑白布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4B5CA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C34D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平方米</w:t>
            </w:r>
          </w:p>
        </w:tc>
      </w:tr>
      <w:tr w14:paraId="7627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04D5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E3673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室内主视觉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B8FCD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桁架+黑白布+发光字、射灯等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883E4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8231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</w:t>
            </w:r>
          </w:p>
        </w:tc>
      </w:tr>
      <w:tr w14:paraId="162D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624F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C5913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创意打卡点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208B8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　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340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947A2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组</w:t>
            </w:r>
          </w:p>
        </w:tc>
      </w:tr>
      <w:tr w14:paraId="58EE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C25A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EE179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室内导引牌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8C4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落地导视牌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EC89A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28DFE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套</w:t>
            </w:r>
          </w:p>
        </w:tc>
      </w:tr>
      <w:tr w14:paraId="3661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8810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99B70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立屏展架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CF86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会场内外宣传用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0DD1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5E8CF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套</w:t>
            </w:r>
          </w:p>
        </w:tc>
      </w:tr>
      <w:tr w14:paraId="3D395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1663E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其他</w:t>
            </w:r>
          </w:p>
          <w:p w14:paraId="4B9034D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服务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8BE60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摄像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C5CA3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摄像师及摄影器材，固定机位+抓拍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CB7B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0799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天</w:t>
            </w:r>
          </w:p>
        </w:tc>
      </w:tr>
      <w:tr w14:paraId="6A33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CCF9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D616B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设计服务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F3478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各类物料、宣传品、视频制作等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C96F7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8647D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项</w:t>
            </w:r>
          </w:p>
        </w:tc>
      </w:tr>
      <w:tr w14:paraId="4B4D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757E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05D96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直播间</w:t>
            </w:r>
          </w:p>
        </w:tc>
        <w:tc>
          <w:tcPr>
            <w:tcW w:w="4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EBCE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直播间搭建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D0D0A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02E4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组</w:t>
            </w:r>
          </w:p>
        </w:tc>
      </w:tr>
      <w:tr w14:paraId="6797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599E">
            <w:pPr>
              <w:widowControl/>
              <w:spacing w:after="0" w:line="240" w:lineRule="auto"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7F5CA">
            <w:pPr>
              <w:widowControl/>
              <w:spacing w:after="0" w:line="240" w:lineRule="auto"/>
              <w:ind w:left="0" w:leftChars="0"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服务费</w:t>
            </w:r>
          </w:p>
        </w:tc>
        <w:tc>
          <w:tcPr>
            <w:tcW w:w="59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D15BC">
            <w:pPr>
              <w:widowControl/>
              <w:spacing w:after="0" w:line="240" w:lineRule="auto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  <w14:ligatures w14:val="none"/>
              </w:rPr>
              <w:t>活动策划、设计及杂项费用、发票税金等10%</w:t>
            </w:r>
          </w:p>
        </w:tc>
      </w:tr>
    </w:tbl>
    <w:p w14:paraId="7F7A4F11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2098" w:right="1474" w:bottom="215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51E2B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4675A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4675A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E84B8">
    <w:pPr>
      <w:pStyle w:val="6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35EB50"/>
    <w:multiLevelType w:val="singleLevel"/>
    <w:tmpl w:val="DA35EB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13E1B"/>
    <w:rsid w:val="050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楷体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0" w:lineRule="atLeast"/>
    </w:pPr>
    <w:rPr>
      <w:rFonts w:ascii="Times New Roman" w:hAnsi="Times New Roman" w:eastAsia="宋体" w:cs="Times New Roman"/>
      <w:b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2025-08-07T01:30:00Z</dcterms:created>
  <dc:creator>花期</dc:creator>
  <cp:lastModifiedBy>花期</cp:lastModifiedBy>
  <dcterms:modified xsi:type="dcterms:W3CDTF">2025-08-07T01:30:46Z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49852157F379428093FD1DA7D4C1099E_11</vt:lpwstr>
  </property>
  <property fmtid="{D5CDD505-2E9C-101B-9397-08002B2CF9AE}" pid="4" name="KSOTemplateDocerSaveRecord">
    <vt:lpwstr>eyJoZGlkIjoiNzRiNjExZTY3ODQzMWFkY2JjZjBiYTNiMzYxMmEwODMiLCJ1c2VySWQiOiI0MzMxNjE3ODUifQ==</vt:lpwstr>
  </property>
</Properties>
</file>