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D22C8E">
      <w:pPr>
        <w:ind w:firstLine="560"/>
      </w:pPr>
      <w:bookmarkStart w:id="0" w:name="_Hlk219038415"/>
      <w:bookmarkEnd w:id="0"/>
      <w:bookmarkStart w:id="1" w:name="_Toc283135687"/>
      <w:bookmarkStart w:id="2" w:name="_Toc380584790"/>
      <w:bookmarkStart w:id="3" w:name="_Toc288849789"/>
      <w:bookmarkStart w:id="4" w:name="_Toc288775768"/>
      <w:bookmarkStart w:id="5" w:name="_Toc454439585"/>
    </w:p>
    <w:p w14:paraId="61044057">
      <w:pPr>
        <w:ind w:firstLine="560"/>
      </w:pPr>
    </w:p>
    <w:p w14:paraId="7B253413">
      <w:pPr>
        <w:ind w:firstLine="560"/>
      </w:pPr>
    </w:p>
    <w:bookmarkEnd w:id="1"/>
    <w:bookmarkEnd w:id="2"/>
    <w:bookmarkEnd w:id="3"/>
    <w:bookmarkEnd w:id="4"/>
    <w:bookmarkEnd w:id="5"/>
    <w:p w14:paraId="14CB54D0">
      <w:pPr>
        <w:spacing w:before="312" w:beforeLines="100" w:after="312" w:afterLines="100"/>
        <w:ind w:firstLine="0" w:firstLineChars="0"/>
        <w:jc w:val="center"/>
        <w:rPr>
          <w:rFonts w:hint="eastAsia" w:eastAsiaTheme="majorEastAsia"/>
          <w:b/>
          <w:w w:val="90"/>
          <w:kern w:val="0"/>
          <w:sz w:val="48"/>
          <w:szCs w:val="48"/>
          <w:lang w:eastAsia="zh-CN"/>
        </w:rPr>
      </w:pPr>
      <w:r>
        <w:rPr>
          <w:rFonts w:hint="eastAsia" w:eastAsiaTheme="majorEastAsia"/>
          <w:b/>
          <w:w w:val="90"/>
          <w:kern w:val="0"/>
          <w:sz w:val="48"/>
          <w:szCs w:val="48"/>
          <w:lang w:eastAsia="zh-CN"/>
        </w:rPr>
        <w:t>集安市中道矿业有限公司</w:t>
      </w:r>
      <w:bookmarkStart w:id="270" w:name="_GoBack"/>
      <w:bookmarkEnd w:id="270"/>
    </w:p>
    <w:p w14:paraId="3E465F1C">
      <w:pPr>
        <w:spacing w:before="312" w:beforeLines="100" w:after="312" w:afterLines="100"/>
        <w:ind w:firstLine="0" w:firstLineChars="0"/>
        <w:jc w:val="center"/>
        <w:rPr>
          <w:rFonts w:hint="eastAsia" w:eastAsiaTheme="majorEastAsia"/>
          <w:b/>
          <w:w w:val="90"/>
          <w:kern w:val="0"/>
          <w:sz w:val="48"/>
          <w:szCs w:val="48"/>
          <w:lang w:eastAsia="zh-CN"/>
        </w:rPr>
      </w:pPr>
      <w:r>
        <w:rPr>
          <w:rFonts w:hint="eastAsia" w:eastAsiaTheme="majorEastAsia"/>
          <w:b/>
          <w:w w:val="90"/>
          <w:kern w:val="0"/>
          <w:sz w:val="48"/>
          <w:szCs w:val="48"/>
          <w:lang w:eastAsia="zh-CN"/>
        </w:rPr>
        <w:t>集安市清河镇二道滑石矿</w:t>
      </w:r>
    </w:p>
    <w:p w14:paraId="2CBB89D8">
      <w:pPr>
        <w:ind w:firstLine="0" w:firstLineChars="0"/>
        <w:jc w:val="center"/>
        <w:rPr>
          <w:rFonts w:eastAsia="黑体"/>
          <w:sz w:val="52"/>
          <w:szCs w:val="52"/>
        </w:rPr>
      </w:pPr>
      <w:r>
        <w:rPr>
          <w:rFonts w:eastAsia="黑体"/>
          <w:kern w:val="0"/>
          <w:sz w:val="52"/>
          <w:szCs w:val="52"/>
        </w:rPr>
        <w:t>矿区生态修复方案</w:t>
      </w:r>
    </w:p>
    <w:p w14:paraId="31A3E0B0">
      <w:pPr>
        <w:ind w:firstLine="880"/>
        <w:jc w:val="center"/>
        <w:rPr>
          <w:rFonts w:eastAsia="黑体"/>
          <w:sz w:val="44"/>
          <w:szCs w:val="44"/>
        </w:rPr>
      </w:pPr>
    </w:p>
    <w:p w14:paraId="76EF82C5">
      <w:pPr>
        <w:ind w:firstLine="880"/>
        <w:jc w:val="center"/>
        <w:rPr>
          <w:rFonts w:eastAsia="黑体"/>
          <w:sz w:val="44"/>
          <w:szCs w:val="44"/>
        </w:rPr>
      </w:pPr>
    </w:p>
    <w:p w14:paraId="5D78C0AB">
      <w:pPr>
        <w:ind w:firstLine="880"/>
        <w:jc w:val="center"/>
        <w:rPr>
          <w:rFonts w:eastAsia="黑体"/>
          <w:sz w:val="44"/>
          <w:szCs w:val="44"/>
        </w:rPr>
      </w:pPr>
    </w:p>
    <w:p w14:paraId="7C8438C2">
      <w:pPr>
        <w:ind w:firstLine="880"/>
        <w:rPr>
          <w:rFonts w:eastAsia="黑体"/>
          <w:sz w:val="44"/>
          <w:szCs w:val="44"/>
        </w:rPr>
      </w:pPr>
    </w:p>
    <w:p w14:paraId="7782661B">
      <w:pPr>
        <w:ind w:firstLine="880"/>
        <w:rPr>
          <w:rFonts w:eastAsia="黑体"/>
          <w:sz w:val="44"/>
          <w:szCs w:val="44"/>
        </w:rPr>
      </w:pPr>
    </w:p>
    <w:p w14:paraId="2B0D49FA">
      <w:pPr>
        <w:ind w:firstLine="880"/>
        <w:rPr>
          <w:rFonts w:eastAsia="黑体"/>
          <w:sz w:val="44"/>
          <w:szCs w:val="44"/>
        </w:rPr>
      </w:pPr>
    </w:p>
    <w:p w14:paraId="37DBD848">
      <w:pPr>
        <w:ind w:firstLine="880"/>
        <w:rPr>
          <w:rFonts w:eastAsia="黑体"/>
          <w:sz w:val="44"/>
          <w:szCs w:val="44"/>
        </w:rPr>
      </w:pPr>
    </w:p>
    <w:p w14:paraId="375D44AC">
      <w:pPr>
        <w:ind w:firstLine="880"/>
        <w:rPr>
          <w:rFonts w:eastAsia="黑体"/>
          <w:sz w:val="44"/>
          <w:szCs w:val="44"/>
        </w:rPr>
      </w:pPr>
    </w:p>
    <w:p w14:paraId="2051D7DE">
      <w:pPr>
        <w:ind w:firstLine="0" w:firstLineChars="0"/>
        <w:jc w:val="center"/>
        <w:rPr>
          <w:rFonts w:hint="eastAsia" w:eastAsiaTheme="majorEastAsia"/>
          <w:b/>
          <w:w w:val="90"/>
          <w:kern w:val="0"/>
          <w:sz w:val="48"/>
          <w:szCs w:val="48"/>
          <w:lang w:eastAsia="zh-CN"/>
        </w:rPr>
      </w:pPr>
      <w:r>
        <w:rPr>
          <w:rFonts w:hint="eastAsia" w:eastAsiaTheme="majorEastAsia"/>
          <w:b/>
          <w:w w:val="90"/>
          <w:kern w:val="0"/>
          <w:sz w:val="48"/>
          <w:szCs w:val="48"/>
          <w:lang w:eastAsia="zh-CN"/>
        </w:rPr>
        <w:t>集安市清河镇二道滑石矿</w:t>
      </w:r>
    </w:p>
    <w:p w14:paraId="47E48DBD">
      <w:pPr>
        <w:ind w:firstLine="0" w:firstLineChars="0"/>
        <w:jc w:val="center"/>
        <w:rPr>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134" w:right="1134" w:bottom="1134" w:left="1418" w:header="851" w:footer="992" w:gutter="0"/>
          <w:cols w:space="720" w:num="1"/>
          <w:docGrid w:type="linesAndChars" w:linePitch="312" w:charSpace="0"/>
        </w:sectPr>
      </w:pPr>
      <w:r>
        <w:rPr>
          <w:sz w:val="44"/>
          <w:szCs w:val="44"/>
        </w:rPr>
        <w:t>202</w:t>
      </w:r>
      <w:r>
        <w:rPr>
          <w:rFonts w:hint="eastAsia"/>
          <w:sz w:val="44"/>
          <w:szCs w:val="44"/>
        </w:rPr>
        <w:t>6</w:t>
      </w:r>
      <w:r>
        <w:rPr>
          <w:sz w:val="44"/>
          <w:szCs w:val="44"/>
        </w:rPr>
        <w:t>年</w:t>
      </w:r>
      <w:r>
        <w:rPr>
          <w:rFonts w:hint="eastAsia"/>
          <w:sz w:val="44"/>
          <w:szCs w:val="44"/>
        </w:rPr>
        <w:t>1</w:t>
      </w:r>
      <w:r>
        <w:rPr>
          <w:sz w:val="44"/>
          <w:szCs w:val="44"/>
        </w:rPr>
        <w:t>月</w:t>
      </w:r>
    </w:p>
    <w:p w14:paraId="261E6700">
      <w:pPr>
        <w:ind w:firstLine="560"/>
        <w:jc w:val="center"/>
      </w:pPr>
    </w:p>
    <w:p w14:paraId="77622E95">
      <w:pPr>
        <w:ind w:firstLine="560"/>
        <w:jc w:val="center"/>
      </w:pPr>
    </w:p>
    <w:p w14:paraId="0CA20431">
      <w:pPr>
        <w:ind w:firstLine="560"/>
        <w:jc w:val="center"/>
      </w:pPr>
    </w:p>
    <w:p w14:paraId="275846F9">
      <w:pPr>
        <w:spacing w:before="312" w:beforeLines="100" w:after="312" w:afterLines="100"/>
        <w:ind w:firstLine="0" w:firstLineChars="0"/>
        <w:jc w:val="center"/>
        <w:rPr>
          <w:rFonts w:hint="eastAsia" w:eastAsiaTheme="majorEastAsia"/>
          <w:b/>
          <w:w w:val="90"/>
          <w:kern w:val="0"/>
          <w:sz w:val="48"/>
          <w:szCs w:val="48"/>
          <w:lang w:eastAsia="zh-CN"/>
        </w:rPr>
      </w:pPr>
      <w:r>
        <w:rPr>
          <w:rFonts w:hint="eastAsia" w:eastAsiaTheme="majorEastAsia"/>
          <w:b/>
          <w:w w:val="90"/>
          <w:kern w:val="0"/>
          <w:sz w:val="48"/>
          <w:szCs w:val="48"/>
          <w:lang w:eastAsia="zh-CN"/>
        </w:rPr>
        <w:t>集安市中道矿业有限公司</w:t>
      </w:r>
    </w:p>
    <w:p w14:paraId="063AE826">
      <w:pPr>
        <w:spacing w:before="312" w:beforeLines="100" w:after="312" w:afterLines="100"/>
        <w:ind w:firstLine="0" w:firstLineChars="0"/>
        <w:jc w:val="center"/>
        <w:rPr>
          <w:rFonts w:hint="eastAsia" w:eastAsiaTheme="majorEastAsia"/>
          <w:b/>
          <w:w w:val="90"/>
          <w:kern w:val="0"/>
          <w:sz w:val="48"/>
          <w:szCs w:val="48"/>
          <w:lang w:eastAsia="zh-CN"/>
        </w:rPr>
      </w:pPr>
      <w:r>
        <w:rPr>
          <w:rFonts w:hint="eastAsia" w:eastAsiaTheme="majorEastAsia"/>
          <w:b/>
          <w:w w:val="90"/>
          <w:kern w:val="0"/>
          <w:sz w:val="48"/>
          <w:szCs w:val="48"/>
          <w:lang w:eastAsia="zh-CN"/>
        </w:rPr>
        <w:t>集安市清河镇二道滑石矿</w:t>
      </w:r>
    </w:p>
    <w:p w14:paraId="0D4D9087">
      <w:pPr>
        <w:ind w:firstLine="0" w:firstLineChars="0"/>
        <w:jc w:val="center"/>
        <w:rPr>
          <w:rFonts w:eastAsia="黑体"/>
          <w:sz w:val="52"/>
          <w:szCs w:val="52"/>
        </w:rPr>
      </w:pPr>
      <w:r>
        <w:rPr>
          <w:rFonts w:eastAsia="黑体"/>
          <w:kern w:val="0"/>
          <w:sz w:val="52"/>
          <w:szCs w:val="52"/>
        </w:rPr>
        <w:t>矿区生态修复方案</w:t>
      </w:r>
    </w:p>
    <w:p w14:paraId="73AE451C">
      <w:pPr>
        <w:ind w:firstLine="1040"/>
        <w:jc w:val="center"/>
        <w:rPr>
          <w:rFonts w:eastAsia="黑体"/>
          <w:sz w:val="52"/>
          <w:szCs w:val="52"/>
        </w:rPr>
      </w:pPr>
    </w:p>
    <w:p w14:paraId="7F9E3A9B">
      <w:pPr>
        <w:ind w:firstLine="1040"/>
        <w:jc w:val="center"/>
        <w:rPr>
          <w:rFonts w:eastAsia="黑体"/>
          <w:sz w:val="52"/>
          <w:szCs w:val="52"/>
        </w:rPr>
      </w:pPr>
    </w:p>
    <w:p w14:paraId="76BE893F">
      <w:pPr>
        <w:ind w:firstLine="1040"/>
        <w:jc w:val="center"/>
        <w:rPr>
          <w:rFonts w:eastAsia="黑体"/>
          <w:sz w:val="52"/>
          <w:szCs w:val="52"/>
        </w:rPr>
      </w:pPr>
    </w:p>
    <w:p w14:paraId="628B5B3E">
      <w:pPr>
        <w:ind w:firstLine="1040"/>
        <w:jc w:val="center"/>
        <w:rPr>
          <w:rFonts w:eastAsia="黑体"/>
          <w:sz w:val="52"/>
          <w:szCs w:val="52"/>
        </w:rPr>
      </w:pPr>
    </w:p>
    <w:p w14:paraId="67782A82">
      <w:pPr>
        <w:ind w:firstLine="640"/>
        <w:jc w:val="center"/>
        <w:rPr>
          <w:rFonts w:eastAsia="黑体"/>
          <w:sz w:val="52"/>
          <w:szCs w:val="52"/>
        </w:rPr>
      </w:pPr>
    </w:p>
    <w:p w14:paraId="0FD7F58C">
      <w:pPr>
        <w:ind w:firstLine="1040"/>
        <w:jc w:val="center"/>
        <w:rPr>
          <w:rFonts w:eastAsia="黑体"/>
          <w:sz w:val="52"/>
          <w:szCs w:val="52"/>
        </w:rPr>
      </w:pPr>
    </w:p>
    <w:p w14:paraId="4FB2A9A8">
      <w:pPr>
        <w:ind w:firstLine="1280" w:firstLineChars="400"/>
        <w:rPr>
          <w:rFonts w:hint="eastAsia" w:eastAsia="宋体"/>
          <w:sz w:val="32"/>
          <w:szCs w:val="32"/>
          <w:lang w:eastAsia="zh-CN"/>
        </w:rPr>
      </w:pPr>
      <w:r>
        <w:rPr>
          <w:sz w:val="32"/>
          <w:szCs w:val="32"/>
        </w:rPr>
        <w:t>编制单位：</w:t>
      </w:r>
      <w:r>
        <w:rPr>
          <w:rFonts w:hint="eastAsia"/>
          <w:sz w:val="32"/>
          <w:szCs w:val="32"/>
          <w:lang w:eastAsia="zh-CN"/>
        </w:rPr>
        <w:t>吉林省邦州地质环境工程有限公司</w:t>
      </w:r>
    </w:p>
    <w:p w14:paraId="142377F0">
      <w:pPr>
        <w:ind w:firstLine="1280" w:firstLineChars="400"/>
        <w:rPr>
          <w:rFonts w:hint="eastAsia" w:eastAsia="宋体"/>
          <w:sz w:val="32"/>
          <w:szCs w:val="32"/>
          <w:lang w:eastAsia="zh-CN"/>
        </w:rPr>
      </w:pPr>
      <w:r>
        <w:rPr>
          <w:sz w:val="32"/>
          <w:szCs w:val="32"/>
        </w:rPr>
        <w:t>法人代表：</w:t>
      </w:r>
      <w:r>
        <w:rPr>
          <w:rFonts w:hint="eastAsia"/>
          <w:sz w:val="32"/>
          <w:szCs w:val="32"/>
          <w:lang w:eastAsia="zh-CN"/>
        </w:rPr>
        <w:t>闻世华</w:t>
      </w:r>
    </w:p>
    <w:p w14:paraId="7F1ACA88">
      <w:pPr>
        <w:ind w:firstLine="1280" w:firstLineChars="400"/>
        <w:rPr>
          <w:rFonts w:hint="eastAsia" w:eastAsia="宋体"/>
          <w:sz w:val="32"/>
          <w:szCs w:val="32"/>
          <w:lang w:eastAsia="zh-CN"/>
        </w:rPr>
      </w:pPr>
      <w:r>
        <w:rPr>
          <w:sz w:val="32"/>
          <w:szCs w:val="32"/>
        </w:rPr>
        <w:t>方案编制负责人：</w:t>
      </w:r>
      <w:r>
        <w:rPr>
          <w:rFonts w:hint="eastAsia"/>
          <w:sz w:val="32"/>
          <w:szCs w:val="32"/>
          <w:lang w:eastAsia="zh-CN"/>
        </w:rPr>
        <w:t>闻秋红</w:t>
      </w:r>
    </w:p>
    <w:p w14:paraId="41D8CB07">
      <w:pPr>
        <w:ind w:firstLine="1280" w:firstLineChars="400"/>
        <w:rPr>
          <w:rFonts w:hint="eastAsia" w:eastAsia="宋体"/>
          <w:sz w:val="32"/>
          <w:szCs w:val="32"/>
          <w:lang w:eastAsia="zh-CN"/>
        </w:rPr>
      </w:pPr>
      <w:r>
        <w:rPr>
          <w:sz w:val="32"/>
          <w:szCs w:val="32"/>
        </w:rPr>
        <w:t>主要编制人员：</w:t>
      </w:r>
      <w:r>
        <w:rPr>
          <w:rFonts w:hint="eastAsia"/>
          <w:sz w:val="32"/>
          <w:szCs w:val="32"/>
          <w:lang w:eastAsia="zh-CN"/>
        </w:rPr>
        <w:t>吴迎春</w:t>
      </w:r>
      <w:r>
        <w:rPr>
          <w:rFonts w:hint="eastAsia"/>
          <w:sz w:val="32"/>
          <w:szCs w:val="32"/>
          <w:lang w:val="en-US" w:eastAsia="zh-CN"/>
        </w:rPr>
        <w:t xml:space="preserve">  </w:t>
      </w:r>
      <w:r>
        <w:rPr>
          <w:rFonts w:hint="eastAsia"/>
          <w:sz w:val="32"/>
          <w:szCs w:val="32"/>
          <w:lang w:eastAsia="zh-CN"/>
        </w:rPr>
        <w:t>闻秋红</w:t>
      </w:r>
      <w:r>
        <w:rPr>
          <w:rFonts w:hint="eastAsia"/>
          <w:sz w:val="32"/>
          <w:szCs w:val="32"/>
          <w:lang w:val="en-US" w:eastAsia="zh-CN"/>
        </w:rPr>
        <w:t xml:space="preserve"> </w:t>
      </w:r>
      <w:r>
        <w:rPr>
          <w:rFonts w:hint="eastAsia"/>
          <w:sz w:val="32"/>
          <w:szCs w:val="32"/>
          <w:lang w:eastAsia="zh-CN"/>
        </w:rPr>
        <w:t>王德文</w:t>
      </w:r>
      <w:r>
        <w:rPr>
          <w:rFonts w:hint="eastAsia"/>
          <w:sz w:val="32"/>
          <w:szCs w:val="32"/>
          <w:lang w:val="en-US" w:eastAsia="zh-CN"/>
        </w:rPr>
        <w:t xml:space="preserve"> </w:t>
      </w:r>
      <w:r>
        <w:rPr>
          <w:rFonts w:hint="eastAsia"/>
          <w:sz w:val="32"/>
          <w:szCs w:val="32"/>
          <w:lang w:eastAsia="zh-CN"/>
        </w:rPr>
        <w:t>乔俊智</w:t>
      </w:r>
    </w:p>
    <w:p w14:paraId="56EFFF9A">
      <w:pPr>
        <w:ind w:firstLine="1280" w:firstLineChars="400"/>
        <w:rPr>
          <w:sz w:val="32"/>
          <w:szCs w:val="32"/>
        </w:rPr>
      </w:pPr>
    </w:p>
    <w:p w14:paraId="502D8B3D">
      <w:pPr>
        <w:pStyle w:val="15"/>
        <w:spacing w:line="240" w:lineRule="auto"/>
        <w:ind w:firstLine="0" w:firstLineChars="0"/>
      </w:pPr>
    </w:p>
    <w:p w14:paraId="448B1FF8">
      <w:pPr>
        <w:pStyle w:val="57"/>
        <w:rPr>
          <w:rFonts w:ascii="Times New Roman" w:hAnsi="Times New Roman"/>
          <w:sz w:val="32"/>
          <w:szCs w:val="32"/>
        </w:rPr>
      </w:pPr>
      <w:bookmarkStart w:id="6" w:name="_Hlk219058506"/>
      <w:bookmarkStart w:id="7" w:name="_Hlk218952785"/>
    </w:p>
    <w:p w14:paraId="7E438A42">
      <w:pPr>
        <w:pStyle w:val="57"/>
        <w:rPr>
          <w:rFonts w:ascii="Times New Roman" w:hAnsi="Times New Roman"/>
          <w:sz w:val="32"/>
          <w:szCs w:val="32"/>
        </w:rPr>
      </w:pPr>
      <w:r>
        <w:rPr>
          <w:rFonts w:ascii="Times New Roman" w:hAnsi="Times New Roman"/>
          <w:sz w:val="32"/>
          <w:szCs w:val="32"/>
        </w:rPr>
        <w:t>矿区生态修复方案编制信息表</w:t>
      </w:r>
    </w:p>
    <w:tbl>
      <w:tblPr>
        <w:tblStyle w:val="42"/>
        <w:tblW w:w="504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0"/>
        <w:gridCol w:w="1830"/>
        <w:gridCol w:w="1532"/>
        <w:gridCol w:w="1706"/>
        <w:gridCol w:w="1727"/>
        <w:gridCol w:w="858"/>
        <w:gridCol w:w="1171"/>
      </w:tblGrid>
      <w:tr w14:paraId="0B0D7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restart"/>
            <w:tcBorders>
              <w:bottom w:val="nil"/>
            </w:tcBorders>
            <w:vAlign w:val="center"/>
          </w:tcPr>
          <w:p w14:paraId="55ED005C">
            <w:pPr>
              <w:pStyle w:val="72"/>
              <w:rPr>
                <w:rFonts w:ascii="Times New Roman" w:hAnsi="Times New Roman"/>
              </w:rPr>
            </w:pPr>
            <w:r>
              <w:rPr>
                <w:rFonts w:ascii="Times New Roman" w:hAnsi="Times New Roman"/>
              </w:rPr>
              <w:t>采矿</w:t>
            </w:r>
          </w:p>
          <w:p w14:paraId="0033BC4B">
            <w:pPr>
              <w:pStyle w:val="72"/>
              <w:rPr>
                <w:rFonts w:ascii="Times New Roman" w:hAnsi="Times New Roman"/>
              </w:rPr>
            </w:pPr>
            <w:r>
              <w:rPr>
                <w:rFonts w:ascii="Times New Roman" w:hAnsi="Times New Roman"/>
              </w:rPr>
              <w:t>权人</w:t>
            </w:r>
          </w:p>
          <w:p w14:paraId="5BCB27D1">
            <w:pPr>
              <w:pStyle w:val="72"/>
              <w:rPr>
                <w:rFonts w:ascii="Times New Roman" w:hAnsi="Times New Roman"/>
              </w:rPr>
            </w:pPr>
            <w:r>
              <w:rPr>
                <w:rFonts w:ascii="Times New Roman" w:hAnsi="Times New Roman"/>
              </w:rPr>
              <w:t>信息</w:t>
            </w:r>
          </w:p>
        </w:tc>
        <w:tc>
          <w:tcPr>
            <w:tcW w:w="968" w:type="pct"/>
            <w:vAlign w:val="center"/>
          </w:tcPr>
          <w:p w14:paraId="1BC35AF7">
            <w:pPr>
              <w:pStyle w:val="72"/>
              <w:rPr>
                <w:rFonts w:ascii="Times New Roman" w:hAnsi="Times New Roman"/>
              </w:rPr>
            </w:pPr>
            <w:r>
              <w:rPr>
                <w:rFonts w:ascii="Times New Roman" w:hAnsi="Times New Roman"/>
              </w:rPr>
              <w:t>采矿权人名称</w:t>
            </w:r>
          </w:p>
        </w:tc>
        <w:tc>
          <w:tcPr>
            <w:tcW w:w="3703" w:type="pct"/>
            <w:gridSpan w:val="5"/>
            <w:vAlign w:val="center"/>
          </w:tcPr>
          <w:p w14:paraId="30857605">
            <w:pPr>
              <w:pStyle w:val="72"/>
              <w:rPr>
                <w:rFonts w:hint="eastAsia" w:ascii="Times New Roman" w:hAnsi="Times New Roman" w:eastAsia="仿宋"/>
                <w:lang w:eastAsia="zh-CN"/>
              </w:rPr>
            </w:pPr>
            <w:r>
              <w:rPr>
                <w:rFonts w:hint="eastAsia" w:ascii="Times New Roman" w:hAnsi="Times New Roman"/>
                <w:lang w:eastAsia="zh-CN"/>
              </w:rPr>
              <w:t>集安市中道矿业有限公司</w:t>
            </w:r>
          </w:p>
        </w:tc>
      </w:tr>
      <w:tr w14:paraId="3B51A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1DD403CB">
            <w:pPr>
              <w:pStyle w:val="72"/>
              <w:rPr>
                <w:rFonts w:ascii="Times New Roman" w:hAnsi="Times New Roman"/>
              </w:rPr>
            </w:pPr>
          </w:p>
        </w:tc>
        <w:tc>
          <w:tcPr>
            <w:tcW w:w="968" w:type="pct"/>
            <w:vAlign w:val="center"/>
          </w:tcPr>
          <w:p w14:paraId="69A2444E">
            <w:pPr>
              <w:pStyle w:val="72"/>
              <w:rPr>
                <w:rFonts w:ascii="Times New Roman" w:hAnsi="Times New Roman"/>
              </w:rPr>
            </w:pPr>
            <w:r>
              <w:rPr>
                <w:rFonts w:ascii="Times New Roman" w:hAnsi="Times New Roman"/>
              </w:rPr>
              <w:t>统一社会信用代码</w:t>
            </w:r>
          </w:p>
        </w:tc>
        <w:tc>
          <w:tcPr>
            <w:tcW w:w="1714" w:type="pct"/>
            <w:gridSpan w:val="2"/>
            <w:vAlign w:val="center"/>
          </w:tcPr>
          <w:p w14:paraId="11236212">
            <w:pPr>
              <w:pStyle w:val="72"/>
              <w:rPr>
                <w:rFonts w:ascii="Times New Roman" w:hAnsi="Times New Roman"/>
              </w:rPr>
            </w:pPr>
            <w:r>
              <w:rPr>
                <w:rFonts w:hint="eastAsia" w:ascii="Times New Roman" w:hAnsi="Times New Roman"/>
                <w:szCs w:val="21"/>
                <w:lang w:val="en-US" w:eastAsia="zh-CN"/>
              </w:rPr>
              <w:t>91220582MAOY43J33K</w:t>
            </w:r>
          </w:p>
        </w:tc>
        <w:tc>
          <w:tcPr>
            <w:tcW w:w="914" w:type="pct"/>
            <w:vAlign w:val="center"/>
          </w:tcPr>
          <w:p w14:paraId="1575F813">
            <w:pPr>
              <w:pStyle w:val="72"/>
              <w:rPr>
                <w:rFonts w:ascii="Times New Roman" w:hAnsi="Times New Roman"/>
              </w:rPr>
            </w:pPr>
            <w:r>
              <w:rPr>
                <w:rFonts w:ascii="Times New Roman" w:hAnsi="Times New Roman"/>
                <w:szCs w:val="21"/>
              </w:rPr>
              <w:t>联系人</w:t>
            </w:r>
          </w:p>
        </w:tc>
        <w:tc>
          <w:tcPr>
            <w:tcW w:w="1074" w:type="pct"/>
            <w:gridSpan w:val="2"/>
            <w:vAlign w:val="center"/>
          </w:tcPr>
          <w:p w14:paraId="69BAB8D5">
            <w:pPr>
              <w:pStyle w:val="72"/>
              <w:rPr>
                <w:rFonts w:hint="eastAsia" w:ascii="Times New Roman" w:hAnsi="Times New Roman" w:eastAsia="仿宋"/>
                <w:lang w:eastAsia="zh-CN"/>
              </w:rPr>
            </w:pPr>
            <w:r>
              <w:rPr>
                <w:rFonts w:hint="eastAsia" w:ascii="Times New Roman" w:hAnsi="Times New Roman"/>
                <w:szCs w:val="21"/>
                <w:lang w:eastAsia="zh-CN"/>
              </w:rPr>
              <w:t>张立新</w:t>
            </w:r>
          </w:p>
        </w:tc>
      </w:tr>
      <w:tr w14:paraId="6433E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4731262F">
            <w:pPr>
              <w:pStyle w:val="72"/>
              <w:rPr>
                <w:rFonts w:ascii="Times New Roman" w:hAnsi="Times New Roman"/>
              </w:rPr>
            </w:pPr>
          </w:p>
        </w:tc>
        <w:tc>
          <w:tcPr>
            <w:tcW w:w="968" w:type="pct"/>
            <w:vAlign w:val="center"/>
          </w:tcPr>
          <w:p w14:paraId="4392C0DA">
            <w:pPr>
              <w:pStyle w:val="72"/>
              <w:rPr>
                <w:rFonts w:ascii="Times New Roman" w:hAnsi="Times New Roman"/>
              </w:rPr>
            </w:pPr>
            <w:r>
              <w:rPr>
                <w:rFonts w:ascii="Times New Roman" w:hAnsi="Times New Roman"/>
              </w:rPr>
              <w:t>联系地址</w:t>
            </w:r>
          </w:p>
        </w:tc>
        <w:tc>
          <w:tcPr>
            <w:tcW w:w="1714" w:type="pct"/>
            <w:gridSpan w:val="2"/>
            <w:vAlign w:val="center"/>
          </w:tcPr>
          <w:p w14:paraId="6FFD349F">
            <w:pPr>
              <w:pStyle w:val="72"/>
              <w:rPr>
                <w:rFonts w:hint="eastAsia" w:ascii="Times New Roman" w:hAnsi="Times New Roman" w:eastAsia="仿宋"/>
                <w:lang w:eastAsia="zh-CN"/>
              </w:rPr>
            </w:pPr>
            <w:r>
              <w:rPr>
                <w:rFonts w:hint="eastAsia" w:ascii="Times New Roman" w:hAnsi="Times New Roman"/>
                <w:szCs w:val="21"/>
                <w:lang w:eastAsia="zh-CN"/>
              </w:rPr>
              <w:t>吉林省通化市集安市清河镇</w:t>
            </w:r>
          </w:p>
        </w:tc>
        <w:tc>
          <w:tcPr>
            <w:tcW w:w="914" w:type="pct"/>
            <w:vAlign w:val="center"/>
          </w:tcPr>
          <w:p w14:paraId="5FD8B843">
            <w:pPr>
              <w:pStyle w:val="72"/>
              <w:rPr>
                <w:rFonts w:ascii="Times New Roman" w:hAnsi="Times New Roman"/>
              </w:rPr>
            </w:pPr>
            <w:r>
              <w:rPr>
                <w:rFonts w:ascii="Times New Roman" w:hAnsi="Times New Roman"/>
                <w:szCs w:val="21"/>
              </w:rPr>
              <w:t>联系电话</w:t>
            </w:r>
          </w:p>
        </w:tc>
        <w:tc>
          <w:tcPr>
            <w:tcW w:w="1074" w:type="pct"/>
            <w:gridSpan w:val="2"/>
            <w:vAlign w:val="center"/>
          </w:tcPr>
          <w:p w14:paraId="1821CFF6">
            <w:pPr>
              <w:pStyle w:val="72"/>
              <w:rPr>
                <w:rFonts w:ascii="Times New Roman" w:hAnsi="Times New Roman"/>
              </w:rPr>
            </w:pPr>
            <w:r>
              <w:rPr>
                <w:rFonts w:ascii="Times New Roman" w:hAnsi="Times New Roman"/>
                <w:szCs w:val="21"/>
              </w:rPr>
              <w:t>18904497376</w:t>
            </w:r>
          </w:p>
        </w:tc>
      </w:tr>
      <w:tr w14:paraId="1AF12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352E7621">
            <w:pPr>
              <w:pStyle w:val="72"/>
              <w:rPr>
                <w:rFonts w:ascii="Times New Roman" w:hAnsi="Times New Roman"/>
              </w:rPr>
            </w:pPr>
          </w:p>
        </w:tc>
        <w:tc>
          <w:tcPr>
            <w:tcW w:w="968" w:type="pct"/>
            <w:vAlign w:val="center"/>
          </w:tcPr>
          <w:p w14:paraId="52768E07">
            <w:pPr>
              <w:pStyle w:val="72"/>
              <w:rPr>
                <w:rFonts w:ascii="Times New Roman" w:hAnsi="Times New Roman"/>
              </w:rPr>
            </w:pPr>
            <w:r>
              <w:rPr>
                <w:rFonts w:ascii="Times New Roman" w:hAnsi="Times New Roman"/>
              </w:rPr>
              <w:t>采矿权证证号</w:t>
            </w:r>
          </w:p>
        </w:tc>
        <w:tc>
          <w:tcPr>
            <w:tcW w:w="1714" w:type="pct"/>
            <w:gridSpan w:val="2"/>
            <w:vAlign w:val="center"/>
          </w:tcPr>
          <w:p w14:paraId="29338BAB">
            <w:pPr>
              <w:pStyle w:val="72"/>
              <w:rPr>
                <w:rFonts w:hint="eastAsia" w:ascii="Times New Roman" w:hAnsi="Times New Roman" w:eastAsia="仿宋"/>
                <w:lang w:eastAsia="zh-CN"/>
              </w:rPr>
            </w:pPr>
            <w:r>
              <w:rPr>
                <w:rFonts w:hint="eastAsia" w:ascii="Times New Roman" w:hAnsi="Times New Roman"/>
                <w:szCs w:val="21"/>
                <w:lang w:eastAsia="zh-CN"/>
              </w:rPr>
              <w:t>C2205002010127120085505</w:t>
            </w:r>
          </w:p>
        </w:tc>
        <w:tc>
          <w:tcPr>
            <w:tcW w:w="914" w:type="pct"/>
            <w:vAlign w:val="center"/>
          </w:tcPr>
          <w:p w14:paraId="3981F2E4">
            <w:pPr>
              <w:pStyle w:val="72"/>
              <w:rPr>
                <w:rFonts w:ascii="Times New Roman" w:hAnsi="Times New Roman"/>
              </w:rPr>
            </w:pPr>
            <w:r>
              <w:rPr>
                <w:rFonts w:ascii="Times New Roman" w:hAnsi="Times New Roman"/>
                <w:color w:val="3C3C3D"/>
                <w:szCs w:val="21"/>
              </w:rPr>
              <w:t>开采方式</w:t>
            </w:r>
          </w:p>
        </w:tc>
        <w:tc>
          <w:tcPr>
            <w:tcW w:w="1074" w:type="pct"/>
            <w:gridSpan w:val="2"/>
            <w:vAlign w:val="center"/>
          </w:tcPr>
          <w:p w14:paraId="494FF184">
            <w:pPr>
              <w:pStyle w:val="72"/>
              <w:rPr>
                <w:rFonts w:ascii="Times New Roman" w:hAnsi="Times New Roman"/>
              </w:rPr>
            </w:pPr>
            <w:r>
              <w:rPr>
                <w:rFonts w:hint="eastAsia" w:ascii="Times New Roman" w:hAnsi="Times New Roman"/>
                <w:szCs w:val="21"/>
                <w:lang w:val="en-US" w:eastAsia="zh-CN"/>
              </w:rPr>
              <w:t>露天/</w:t>
            </w:r>
            <w:r>
              <w:rPr>
                <w:rFonts w:ascii="Times New Roman" w:hAnsi="Times New Roman"/>
                <w:szCs w:val="21"/>
              </w:rPr>
              <w:t>地下开采</w:t>
            </w:r>
          </w:p>
        </w:tc>
      </w:tr>
      <w:tr w14:paraId="533F9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2FD3E7FB">
            <w:pPr>
              <w:pStyle w:val="72"/>
              <w:rPr>
                <w:rFonts w:ascii="Times New Roman" w:hAnsi="Times New Roman"/>
              </w:rPr>
            </w:pPr>
          </w:p>
        </w:tc>
        <w:tc>
          <w:tcPr>
            <w:tcW w:w="968" w:type="pct"/>
            <w:vAlign w:val="center"/>
          </w:tcPr>
          <w:p w14:paraId="6F7764A4">
            <w:pPr>
              <w:pStyle w:val="72"/>
              <w:rPr>
                <w:rFonts w:ascii="Times New Roman" w:hAnsi="Times New Roman"/>
              </w:rPr>
            </w:pPr>
            <w:r>
              <w:rPr>
                <w:rFonts w:ascii="Times New Roman" w:hAnsi="Times New Roman"/>
              </w:rPr>
              <w:t>采矿权面积</w:t>
            </w:r>
          </w:p>
        </w:tc>
        <w:tc>
          <w:tcPr>
            <w:tcW w:w="1714" w:type="pct"/>
            <w:gridSpan w:val="2"/>
            <w:vAlign w:val="center"/>
          </w:tcPr>
          <w:p w14:paraId="525CED53">
            <w:pPr>
              <w:pStyle w:val="72"/>
              <w:rPr>
                <w:rFonts w:ascii="Times New Roman" w:hAnsi="Times New Roman"/>
              </w:rPr>
            </w:pPr>
            <w:r>
              <w:rPr>
                <w:rFonts w:hint="eastAsia" w:ascii="Times New Roman" w:hAnsi="Times New Roman"/>
                <w:szCs w:val="21"/>
                <w:lang w:eastAsia="zh-CN"/>
              </w:rPr>
              <w:t>0.2501</w:t>
            </w:r>
            <w:r>
              <w:rPr>
                <w:rFonts w:ascii="Times New Roman" w:hAnsi="Times New Roman"/>
                <w:szCs w:val="21"/>
              </w:rPr>
              <w:t>km</w:t>
            </w:r>
            <w:r>
              <w:rPr>
                <w:rFonts w:ascii="Times New Roman" w:hAnsi="Times New Roman"/>
                <w:szCs w:val="21"/>
                <w:vertAlign w:val="superscript"/>
              </w:rPr>
              <w:t>2</w:t>
            </w:r>
          </w:p>
        </w:tc>
        <w:tc>
          <w:tcPr>
            <w:tcW w:w="914" w:type="pct"/>
            <w:vAlign w:val="center"/>
          </w:tcPr>
          <w:p w14:paraId="52096BD5">
            <w:pPr>
              <w:pStyle w:val="72"/>
              <w:rPr>
                <w:rFonts w:ascii="Times New Roman" w:hAnsi="Times New Roman"/>
              </w:rPr>
            </w:pPr>
            <w:r>
              <w:rPr>
                <w:rFonts w:ascii="Times New Roman" w:hAnsi="Times New Roman"/>
                <w:szCs w:val="21"/>
              </w:rPr>
              <w:t>采矿权拐点坐标</w:t>
            </w:r>
          </w:p>
        </w:tc>
        <w:tc>
          <w:tcPr>
            <w:tcW w:w="1074" w:type="pct"/>
            <w:gridSpan w:val="2"/>
            <w:vAlign w:val="center"/>
          </w:tcPr>
          <w:p w14:paraId="4E7AACAF">
            <w:pPr>
              <w:pStyle w:val="72"/>
              <w:rPr>
                <w:rFonts w:ascii="Times New Roman" w:hAnsi="Times New Roman"/>
              </w:rPr>
            </w:pPr>
            <w:r>
              <w:rPr>
                <w:rFonts w:ascii="Times New Roman" w:hAnsi="Times New Roman"/>
              </w:rPr>
              <w:t>见附件</w:t>
            </w:r>
          </w:p>
        </w:tc>
      </w:tr>
      <w:tr w14:paraId="6434B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4A39927D">
            <w:pPr>
              <w:pStyle w:val="72"/>
              <w:rPr>
                <w:rFonts w:ascii="Times New Roman" w:hAnsi="Times New Roman"/>
              </w:rPr>
            </w:pPr>
          </w:p>
        </w:tc>
        <w:tc>
          <w:tcPr>
            <w:tcW w:w="968" w:type="pct"/>
            <w:vAlign w:val="center"/>
          </w:tcPr>
          <w:p w14:paraId="1DB5979C">
            <w:pPr>
              <w:pStyle w:val="72"/>
              <w:rPr>
                <w:rFonts w:ascii="Times New Roman" w:hAnsi="Times New Roman"/>
              </w:rPr>
            </w:pPr>
            <w:r>
              <w:rPr>
                <w:rFonts w:ascii="Times New Roman" w:hAnsi="Times New Roman"/>
              </w:rPr>
              <w:t>采矿权有效期限</w:t>
            </w:r>
          </w:p>
        </w:tc>
        <w:tc>
          <w:tcPr>
            <w:tcW w:w="1714" w:type="pct"/>
            <w:gridSpan w:val="2"/>
            <w:vAlign w:val="center"/>
          </w:tcPr>
          <w:p w14:paraId="0E1AE929">
            <w:pPr>
              <w:pStyle w:val="72"/>
              <w:rPr>
                <w:rFonts w:hint="eastAsia" w:ascii="Times New Roman" w:hAnsi="Times New Roman" w:eastAsia="仿宋"/>
                <w:szCs w:val="21"/>
                <w:lang w:eastAsia="zh-CN"/>
              </w:rPr>
            </w:pPr>
            <w:r>
              <w:rPr>
                <w:rFonts w:ascii="Times New Roman" w:hAnsi="Times New Roman"/>
                <w:szCs w:val="21"/>
              </w:rPr>
              <w:t>自</w:t>
            </w:r>
            <w:r>
              <w:rPr>
                <w:rFonts w:hint="eastAsia" w:ascii="Times New Roman" w:hAnsi="Times New Roman"/>
                <w:szCs w:val="21"/>
                <w:lang w:eastAsia="zh-CN"/>
              </w:rPr>
              <w:t>2024年2月24日</w:t>
            </w:r>
          </w:p>
          <w:p w14:paraId="60B2A546">
            <w:pPr>
              <w:pStyle w:val="72"/>
              <w:rPr>
                <w:rFonts w:hint="eastAsia" w:ascii="Times New Roman" w:hAnsi="Times New Roman" w:eastAsia="仿宋"/>
                <w:lang w:eastAsia="zh-CN"/>
              </w:rPr>
            </w:pPr>
            <w:r>
              <w:rPr>
                <w:rFonts w:ascii="Times New Roman" w:hAnsi="Times New Roman"/>
                <w:szCs w:val="21"/>
              </w:rPr>
              <w:t>至</w:t>
            </w:r>
            <w:r>
              <w:rPr>
                <w:rFonts w:hint="eastAsia" w:ascii="Times New Roman" w:hAnsi="Times New Roman"/>
                <w:szCs w:val="21"/>
                <w:lang w:eastAsia="zh-CN"/>
              </w:rPr>
              <w:t>2025年5月24日</w:t>
            </w:r>
          </w:p>
        </w:tc>
        <w:tc>
          <w:tcPr>
            <w:tcW w:w="914" w:type="pct"/>
            <w:vAlign w:val="center"/>
          </w:tcPr>
          <w:p w14:paraId="407B632B">
            <w:pPr>
              <w:pStyle w:val="72"/>
              <w:rPr>
                <w:rFonts w:ascii="Times New Roman" w:hAnsi="Times New Roman"/>
              </w:rPr>
            </w:pPr>
            <w:r>
              <w:rPr>
                <w:rFonts w:ascii="Times New Roman" w:hAnsi="Times New Roman"/>
              </w:rPr>
              <w:t>矿区生态修复报告表服务期限</w:t>
            </w:r>
          </w:p>
        </w:tc>
        <w:tc>
          <w:tcPr>
            <w:tcW w:w="1074" w:type="pct"/>
            <w:gridSpan w:val="2"/>
            <w:vAlign w:val="center"/>
          </w:tcPr>
          <w:p w14:paraId="5898424F">
            <w:pPr>
              <w:pStyle w:val="72"/>
              <w:rPr>
                <w:rFonts w:hint="eastAsia" w:ascii="Times New Roman" w:hAnsi="Times New Roman" w:eastAsia="仿宋"/>
                <w:lang w:eastAsia="zh-CN"/>
              </w:rPr>
            </w:pPr>
            <w:r>
              <w:rPr>
                <w:rFonts w:hint="eastAsia" w:ascii="Times New Roman" w:hAnsi="Times New Roman"/>
                <w:lang w:eastAsia="zh-CN"/>
              </w:rPr>
              <w:t>12年</w:t>
            </w:r>
          </w:p>
        </w:tc>
      </w:tr>
      <w:tr w14:paraId="21D5E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exact"/>
          <w:jc w:val="center"/>
        </w:trPr>
        <w:tc>
          <w:tcPr>
            <w:tcW w:w="328" w:type="pct"/>
            <w:vMerge w:val="continue"/>
            <w:tcBorders>
              <w:top w:val="nil"/>
            </w:tcBorders>
            <w:vAlign w:val="center"/>
          </w:tcPr>
          <w:p w14:paraId="55EF05BD">
            <w:pPr>
              <w:pStyle w:val="72"/>
              <w:rPr>
                <w:rFonts w:ascii="Times New Roman" w:hAnsi="Times New Roman"/>
              </w:rPr>
            </w:pPr>
          </w:p>
        </w:tc>
        <w:tc>
          <w:tcPr>
            <w:tcW w:w="968" w:type="pct"/>
            <w:vAlign w:val="center"/>
          </w:tcPr>
          <w:p w14:paraId="4DBC1780">
            <w:pPr>
              <w:pStyle w:val="72"/>
              <w:rPr>
                <w:rFonts w:ascii="Times New Roman" w:hAnsi="Times New Roman"/>
              </w:rPr>
            </w:pPr>
            <w:r>
              <w:rPr>
                <w:rFonts w:ascii="Times New Roman" w:hAnsi="Times New Roman"/>
              </w:rPr>
              <w:t>方案编制情形</w:t>
            </w:r>
          </w:p>
        </w:tc>
        <w:tc>
          <w:tcPr>
            <w:tcW w:w="3703" w:type="pct"/>
            <w:gridSpan w:val="5"/>
            <w:vAlign w:val="center"/>
          </w:tcPr>
          <w:p w14:paraId="43DE5C4C">
            <w:pPr>
              <w:pStyle w:val="72"/>
              <w:rPr>
                <w:rFonts w:ascii="Times New Roman" w:hAnsi="Times New Roman"/>
              </w:rPr>
            </w:pPr>
            <w:r>
              <w:rPr>
                <w:rFonts w:ascii="Times New Roman" w:hAnsi="Times New Roman"/>
              </w:rPr>
              <w:t>□首次申请采矿许可</w:t>
            </w:r>
            <w:r>
              <w:rPr>
                <w:rFonts w:hint="eastAsia" w:ascii="Times New Roman" w:hAnsi="Times New Roman"/>
                <w:lang w:eastAsia="zh-CN"/>
              </w:rPr>
              <w:t>☑</w:t>
            </w:r>
            <w:r>
              <w:rPr>
                <w:rFonts w:ascii="Times New Roman" w:hAnsi="Times New Roman"/>
              </w:rPr>
              <w:t>扩大开采区域</w:t>
            </w:r>
            <w:r>
              <w:rPr>
                <w:rFonts w:hint="eastAsia" w:ascii="Segoe UI Symbol" w:hAnsi="Segoe UI Symbol" w:cs="Segoe UI Symbol"/>
                <w:lang w:eastAsia="zh-CN"/>
              </w:rPr>
              <w:t>□</w:t>
            </w:r>
            <w:r>
              <w:rPr>
                <w:rFonts w:ascii="Times New Roman" w:hAnsi="Times New Roman"/>
              </w:rPr>
              <w:t>缩小开采区域</w:t>
            </w:r>
          </w:p>
          <w:p w14:paraId="44879E6F">
            <w:pPr>
              <w:pStyle w:val="72"/>
              <w:rPr>
                <w:rFonts w:ascii="Times New Roman" w:hAnsi="Times New Roman"/>
              </w:rPr>
            </w:pPr>
            <w:r>
              <w:rPr>
                <w:rFonts w:hint="eastAsia" w:ascii="Times New Roman" w:hAnsi="Times New Roman"/>
                <w:lang w:eastAsia="zh-CN"/>
              </w:rPr>
              <w:t>☑</w:t>
            </w:r>
            <w:r>
              <w:rPr>
                <w:rFonts w:ascii="Times New Roman" w:hAnsi="Times New Roman"/>
              </w:rPr>
              <w:t>变更开采方式□变更开采主矿种□延续□其他</w:t>
            </w:r>
          </w:p>
        </w:tc>
      </w:tr>
      <w:tr w14:paraId="3BD5D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restart"/>
            <w:textDirection w:val="tbRlV"/>
            <w:vAlign w:val="center"/>
          </w:tcPr>
          <w:p w14:paraId="25D0B13E">
            <w:pPr>
              <w:pStyle w:val="72"/>
              <w:rPr>
                <w:rFonts w:ascii="Times New Roman" w:hAnsi="Times New Roman"/>
              </w:rPr>
            </w:pPr>
            <w:r>
              <w:rPr>
                <w:rFonts w:ascii="Times New Roman" w:hAnsi="Times New Roman"/>
              </w:rPr>
              <w:t>方案编制单位</w:t>
            </w:r>
          </w:p>
        </w:tc>
        <w:tc>
          <w:tcPr>
            <w:tcW w:w="968" w:type="pct"/>
            <w:vAlign w:val="center"/>
          </w:tcPr>
          <w:p w14:paraId="522C550A">
            <w:pPr>
              <w:pStyle w:val="72"/>
              <w:rPr>
                <w:rFonts w:ascii="Times New Roman" w:hAnsi="Times New Roman"/>
              </w:rPr>
            </w:pPr>
            <w:r>
              <w:rPr>
                <w:rFonts w:ascii="Times New Roman" w:hAnsi="Times New Roman"/>
              </w:rPr>
              <w:t>单位名称</w:t>
            </w:r>
          </w:p>
        </w:tc>
        <w:tc>
          <w:tcPr>
            <w:tcW w:w="3703" w:type="pct"/>
            <w:gridSpan w:val="5"/>
            <w:vAlign w:val="center"/>
          </w:tcPr>
          <w:p w14:paraId="09C73F59">
            <w:pPr>
              <w:pStyle w:val="72"/>
              <w:rPr>
                <w:rFonts w:hint="eastAsia" w:ascii="Times New Roman" w:hAnsi="Times New Roman" w:eastAsia="仿宋"/>
                <w:lang w:eastAsia="zh-CN"/>
              </w:rPr>
            </w:pPr>
            <w:r>
              <w:rPr>
                <w:rFonts w:hint="eastAsia" w:ascii="Times New Roman" w:hAnsi="Times New Roman"/>
                <w:lang w:eastAsia="zh-CN"/>
              </w:rPr>
              <w:t>吉林省邦州地质环境工程有限公司</w:t>
            </w:r>
          </w:p>
        </w:tc>
      </w:tr>
      <w:tr w14:paraId="4ECE3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extDirection w:val="tbRlV"/>
            <w:vAlign w:val="center"/>
          </w:tcPr>
          <w:p w14:paraId="1694ADC6">
            <w:pPr>
              <w:pStyle w:val="72"/>
              <w:rPr>
                <w:rFonts w:ascii="Times New Roman" w:hAnsi="Times New Roman"/>
              </w:rPr>
            </w:pPr>
          </w:p>
        </w:tc>
        <w:tc>
          <w:tcPr>
            <w:tcW w:w="968" w:type="pct"/>
            <w:vAlign w:val="center"/>
          </w:tcPr>
          <w:p w14:paraId="60DB4524">
            <w:pPr>
              <w:pStyle w:val="72"/>
              <w:rPr>
                <w:rFonts w:ascii="Times New Roman" w:hAnsi="Times New Roman"/>
              </w:rPr>
            </w:pPr>
            <w:r>
              <w:rPr>
                <w:rFonts w:ascii="Times New Roman" w:hAnsi="Times New Roman"/>
              </w:rPr>
              <w:t>统一社会信用代码</w:t>
            </w:r>
          </w:p>
        </w:tc>
        <w:tc>
          <w:tcPr>
            <w:tcW w:w="1714" w:type="pct"/>
            <w:gridSpan w:val="2"/>
            <w:vAlign w:val="center"/>
          </w:tcPr>
          <w:p w14:paraId="56F86977">
            <w:pPr>
              <w:pStyle w:val="72"/>
              <w:rPr>
                <w:rFonts w:hint="eastAsia" w:ascii="Times New Roman" w:hAnsi="Times New Roman" w:eastAsia="仿宋"/>
                <w:lang w:eastAsia="zh-CN"/>
              </w:rPr>
            </w:pPr>
            <w:r>
              <w:rPr>
                <w:rFonts w:hint="eastAsia" w:ascii="Times New Roman" w:hAnsi="Times New Roman"/>
                <w:szCs w:val="21"/>
                <w:lang w:eastAsia="zh-CN"/>
              </w:rPr>
              <w:t>91220105MAD42A7QXN</w:t>
            </w:r>
          </w:p>
        </w:tc>
        <w:tc>
          <w:tcPr>
            <w:tcW w:w="914" w:type="pct"/>
            <w:vAlign w:val="center"/>
          </w:tcPr>
          <w:p w14:paraId="12F2EFF2">
            <w:pPr>
              <w:pStyle w:val="72"/>
              <w:rPr>
                <w:rFonts w:ascii="Times New Roman" w:hAnsi="Times New Roman"/>
              </w:rPr>
            </w:pPr>
            <w:r>
              <w:rPr>
                <w:rFonts w:ascii="Times New Roman" w:hAnsi="Times New Roman"/>
                <w:szCs w:val="21"/>
              </w:rPr>
              <w:t>联系人</w:t>
            </w:r>
          </w:p>
        </w:tc>
        <w:tc>
          <w:tcPr>
            <w:tcW w:w="1074" w:type="pct"/>
            <w:gridSpan w:val="2"/>
            <w:vAlign w:val="center"/>
          </w:tcPr>
          <w:p w14:paraId="0CEBD81B">
            <w:pPr>
              <w:pStyle w:val="72"/>
              <w:rPr>
                <w:rFonts w:hint="eastAsia" w:ascii="Times New Roman" w:hAnsi="Times New Roman" w:eastAsia="仿宋"/>
                <w:lang w:eastAsia="zh-CN"/>
              </w:rPr>
            </w:pPr>
            <w:r>
              <w:rPr>
                <w:rFonts w:hint="eastAsia" w:ascii="Times New Roman" w:hAnsi="Times New Roman"/>
                <w:szCs w:val="21"/>
                <w:lang w:eastAsia="zh-CN"/>
              </w:rPr>
              <w:t>闻秋红</w:t>
            </w:r>
          </w:p>
        </w:tc>
      </w:tr>
      <w:tr w14:paraId="0AF14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extDirection w:val="tbRlV"/>
            <w:vAlign w:val="center"/>
          </w:tcPr>
          <w:p w14:paraId="5853FB61">
            <w:pPr>
              <w:pStyle w:val="72"/>
              <w:rPr>
                <w:rFonts w:ascii="Times New Roman" w:hAnsi="Times New Roman"/>
              </w:rPr>
            </w:pPr>
          </w:p>
        </w:tc>
        <w:tc>
          <w:tcPr>
            <w:tcW w:w="968" w:type="pct"/>
            <w:vAlign w:val="center"/>
          </w:tcPr>
          <w:p w14:paraId="28DFA4A9">
            <w:pPr>
              <w:pStyle w:val="72"/>
              <w:rPr>
                <w:rFonts w:ascii="Times New Roman" w:hAnsi="Times New Roman"/>
              </w:rPr>
            </w:pPr>
            <w:r>
              <w:rPr>
                <w:rFonts w:ascii="Times New Roman" w:hAnsi="Times New Roman"/>
              </w:rPr>
              <w:t>联系地址</w:t>
            </w:r>
          </w:p>
        </w:tc>
        <w:tc>
          <w:tcPr>
            <w:tcW w:w="1714" w:type="pct"/>
            <w:gridSpan w:val="2"/>
            <w:vAlign w:val="center"/>
          </w:tcPr>
          <w:p w14:paraId="26BCBADE">
            <w:pPr>
              <w:pStyle w:val="72"/>
              <w:rPr>
                <w:rFonts w:hint="default" w:ascii="Times New Roman" w:hAnsi="Times New Roman" w:eastAsia="仿宋"/>
                <w:lang w:val="en-US" w:eastAsia="zh-CN"/>
              </w:rPr>
            </w:pPr>
            <w:r>
              <w:rPr>
                <w:rFonts w:hint="eastAsia" w:ascii="Times New Roman" w:hAnsi="Times New Roman"/>
                <w:szCs w:val="21"/>
                <w:lang w:val="en-US" w:eastAsia="zh-CN"/>
              </w:rPr>
              <w:t>吉林省长春市二道区东盛二条88号</w:t>
            </w:r>
          </w:p>
        </w:tc>
        <w:tc>
          <w:tcPr>
            <w:tcW w:w="914" w:type="pct"/>
            <w:vAlign w:val="center"/>
          </w:tcPr>
          <w:p w14:paraId="31599776">
            <w:pPr>
              <w:pStyle w:val="72"/>
              <w:rPr>
                <w:rFonts w:ascii="Times New Roman" w:hAnsi="Times New Roman"/>
              </w:rPr>
            </w:pPr>
            <w:r>
              <w:rPr>
                <w:rFonts w:ascii="Times New Roman" w:hAnsi="Times New Roman"/>
                <w:szCs w:val="21"/>
              </w:rPr>
              <w:t>联系电话</w:t>
            </w:r>
          </w:p>
        </w:tc>
        <w:tc>
          <w:tcPr>
            <w:tcW w:w="1074" w:type="pct"/>
            <w:gridSpan w:val="2"/>
            <w:vAlign w:val="center"/>
          </w:tcPr>
          <w:p w14:paraId="55146847">
            <w:pPr>
              <w:pStyle w:val="72"/>
              <w:rPr>
                <w:rFonts w:hint="eastAsia" w:ascii="Times New Roman" w:hAnsi="Times New Roman" w:eastAsia="仿宋"/>
                <w:lang w:eastAsia="zh-CN"/>
              </w:rPr>
            </w:pPr>
            <w:r>
              <w:rPr>
                <w:rFonts w:hint="eastAsia" w:ascii="Times New Roman" w:hAnsi="Times New Roman"/>
                <w:szCs w:val="21"/>
                <w:lang w:eastAsia="zh-CN"/>
              </w:rPr>
              <w:t>13341592780</w:t>
            </w:r>
          </w:p>
        </w:tc>
      </w:tr>
      <w:tr w14:paraId="278AD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extDirection w:val="tbRlV"/>
            <w:vAlign w:val="center"/>
          </w:tcPr>
          <w:p w14:paraId="6445B251">
            <w:pPr>
              <w:pStyle w:val="72"/>
              <w:rPr>
                <w:rFonts w:ascii="Times New Roman" w:hAnsi="Times New Roman"/>
              </w:rPr>
            </w:pPr>
          </w:p>
        </w:tc>
        <w:tc>
          <w:tcPr>
            <w:tcW w:w="4671" w:type="pct"/>
            <w:gridSpan w:val="6"/>
            <w:vAlign w:val="center"/>
          </w:tcPr>
          <w:p w14:paraId="60D6B281">
            <w:pPr>
              <w:pStyle w:val="72"/>
              <w:rPr>
                <w:rFonts w:ascii="Times New Roman" w:hAnsi="Times New Roman"/>
              </w:rPr>
            </w:pPr>
            <w:r>
              <w:rPr>
                <w:rFonts w:ascii="Times New Roman" w:hAnsi="Times New Roman"/>
              </w:rPr>
              <w:t>编制负责人</w:t>
            </w:r>
          </w:p>
        </w:tc>
      </w:tr>
      <w:tr w14:paraId="39E99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extDirection w:val="tbRlV"/>
            <w:vAlign w:val="center"/>
          </w:tcPr>
          <w:p w14:paraId="14D920DE">
            <w:pPr>
              <w:pStyle w:val="72"/>
              <w:rPr>
                <w:rFonts w:ascii="Times New Roman" w:hAnsi="Times New Roman"/>
              </w:rPr>
            </w:pPr>
          </w:p>
        </w:tc>
        <w:tc>
          <w:tcPr>
            <w:tcW w:w="968" w:type="pct"/>
            <w:vAlign w:val="center"/>
          </w:tcPr>
          <w:p w14:paraId="68CE9E57">
            <w:pPr>
              <w:pStyle w:val="72"/>
              <w:rPr>
                <w:rFonts w:ascii="Times New Roman" w:hAnsi="Times New Roman"/>
              </w:rPr>
            </w:pPr>
            <w:r>
              <w:rPr>
                <w:rFonts w:ascii="Times New Roman" w:hAnsi="Times New Roman"/>
              </w:rPr>
              <w:t>姓名</w:t>
            </w:r>
          </w:p>
        </w:tc>
        <w:tc>
          <w:tcPr>
            <w:tcW w:w="811" w:type="pct"/>
            <w:vAlign w:val="center"/>
          </w:tcPr>
          <w:p w14:paraId="599D6A90">
            <w:pPr>
              <w:pStyle w:val="72"/>
              <w:rPr>
                <w:rFonts w:ascii="Times New Roman" w:hAnsi="Times New Roman"/>
              </w:rPr>
            </w:pPr>
            <w:r>
              <w:rPr>
                <w:rFonts w:ascii="Times New Roman" w:hAnsi="Times New Roman"/>
              </w:rPr>
              <w:t>身份证号</w:t>
            </w:r>
          </w:p>
        </w:tc>
        <w:tc>
          <w:tcPr>
            <w:tcW w:w="903" w:type="pct"/>
            <w:vAlign w:val="center"/>
          </w:tcPr>
          <w:p w14:paraId="070DF2ED">
            <w:pPr>
              <w:pStyle w:val="72"/>
              <w:rPr>
                <w:rFonts w:ascii="Times New Roman" w:hAnsi="Times New Roman"/>
              </w:rPr>
            </w:pPr>
            <w:r>
              <w:rPr>
                <w:rFonts w:ascii="Times New Roman" w:hAnsi="Times New Roman"/>
              </w:rPr>
              <w:t>专业</w:t>
            </w:r>
          </w:p>
        </w:tc>
        <w:tc>
          <w:tcPr>
            <w:tcW w:w="914" w:type="pct"/>
            <w:vAlign w:val="center"/>
          </w:tcPr>
          <w:p w14:paraId="3D2D350E">
            <w:pPr>
              <w:pStyle w:val="72"/>
              <w:rPr>
                <w:rFonts w:ascii="Times New Roman" w:hAnsi="Times New Roman"/>
              </w:rPr>
            </w:pPr>
            <w:r>
              <w:rPr>
                <w:rFonts w:ascii="Times New Roman" w:hAnsi="Times New Roman"/>
              </w:rPr>
              <w:t>职务/职称</w:t>
            </w:r>
          </w:p>
        </w:tc>
        <w:tc>
          <w:tcPr>
            <w:tcW w:w="454" w:type="pct"/>
            <w:vAlign w:val="center"/>
          </w:tcPr>
          <w:p w14:paraId="0A593474">
            <w:pPr>
              <w:pStyle w:val="72"/>
              <w:rPr>
                <w:rFonts w:ascii="Times New Roman" w:hAnsi="Times New Roman"/>
              </w:rPr>
            </w:pPr>
            <w:r>
              <w:rPr>
                <w:rFonts w:ascii="Times New Roman" w:hAnsi="Times New Roman"/>
              </w:rPr>
              <w:t>联系</w:t>
            </w:r>
          </w:p>
          <w:p w14:paraId="1B3DFBDE">
            <w:pPr>
              <w:pStyle w:val="72"/>
              <w:rPr>
                <w:rFonts w:ascii="Times New Roman" w:hAnsi="Times New Roman"/>
              </w:rPr>
            </w:pPr>
            <w:r>
              <w:rPr>
                <w:rFonts w:ascii="Times New Roman" w:hAnsi="Times New Roman"/>
              </w:rPr>
              <w:t>电话</w:t>
            </w:r>
          </w:p>
        </w:tc>
        <w:tc>
          <w:tcPr>
            <w:tcW w:w="620" w:type="pct"/>
            <w:vAlign w:val="center"/>
          </w:tcPr>
          <w:p w14:paraId="33F43031">
            <w:pPr>
              <w:pStyle w:val="72"/>
              <w:rPr>
                <w:rFonts w:ascii="Times New Roman" w:hAnsi="Times New Roman"/>
              </w:rPr>
            </w:pPr>
            <w:r>
              <w:rPr>
                <w:rFonts w:ascii="Times New Roman" w:hAnsi="Times New Roman"/>
              </w:rPr>
              <w:t>签名</w:t>
            </w:r>
          </w:p>
        </w:tc>
      </w:tr>
      <w:tr w14:paraId="1CD41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extDirection w:val="tbRlV"/>
            <w:vAlign w:val="center"/>
          </w:tcPr>
          <w:p w14:paraId="5191F1C5">
            <w:pPr>
              <w:pStyle w:val="72"/>
              <w:rPr>
                <w:rFonts w:ascii="Times New Roman" w:hAnsi="Times New Roman"/>
              </w:rPr>
            </w:pPr>
          </w:p>
        </w:tc>
        <w:tc>
          <w:tcPr>
            <w:tcW w:w="968" w:type="pct"/>
            <w:vAlign w:val="center"/>
          </w:tcPr>
          <w:p w14:paraId="66F4E7C2">
            <w:pPr>
              <w:pStyle w:val="72"/>
              <w:rPr>
                <w:rFonts w:hint="eastAsia" w:ascii="Times New Roman" w:hAnsi="Times New Roman" w:eastAsia="仿宋"/>
                <w:lang w:eastAsia="zh-CN"/>
              </w:rPr>
            </w:pPr>
            <w:r>
              <w:rPr>
                <w:rFonts w:hint="eastAsia" w:ascii="Times New Roman" w:hAnsi="Times New Roman"/>
                <w:szCs w:val="21"/>
                <w:lang w:val="en-US" w:eastAsia="zh-CN"/>
              </w:rPr>
              <w:t>闻秋红</w:t>
            </w:r>
          </w:p>
        </w:tc>
        <w:tc>
          <w:tcPr>
            <w:tcW w:w="811" w:type="pct"/>
            <w:vAlign w:val="center"/>
          </w:tcPr>
          <w:p w14:paraId="5C6BEB78">
            <w:pPr>
              <w:pStyle w:val="72"/>
              <w:rPr>
                <w:rFonts w:hint="default" w:ascii="Times New Roman" w:hAnsi="Times New Roman" w:eastAsia="仿宋"/>
                <w:lang w:val="en-US" w:eastAsia="zh-CN"/>
              </w:rPr>
            </w:pPr>
          </w:p>
        </w:tc>
        <w:tc>
          <w:tcPr>
            <w:tcW w:w="903" w:type="pct"/>
            <w:vAlign w:val="center"/>
          </w:tcPr>
          <w:p w14:paraId="33354D4F">
            <w:pPr>
              <w:pStyle w:val="72"/>
              <w:rPr>
                <w:rFonts w:hint="default" w:ascii="Times New Roman" w:hAnsi="Times New Roman" w:eastAsia="仿宋"/>
                <w:lang w:val="en-US" w:eastAsia="zh-CN"/>
              </w:rPr>
            </w:pPr>
            <w:r>
              <w:rPr>
                <w:rFonts w:hint="eastAsia" w:ascii="Times New Roman" w:hAnsi="Times New Roman"/>
                <w:szCs w:val="21"/>
                <w:lang w:val="en-US" w:eastAsia="zh-CN"/>
              </w:rPr>
              <w:t>水工环地质</w:t>
            </w:r>
          </w:p>
        </w:tc>
        <w:tc>
          <w:tcPr>
            <w:tcW w:w="914" w:type="pct"/>
            <w:vAlign w:val="center"/>
          </w:tcPr>
          <w:p w14:paraId="1EE3AD10">
            <w:pPr>
              <w:pStyle w:val="72"/>
              <w:rPr>
                <w:rFonts w:ascii="Times New Roman" w:hAnsi="Times New Roman"/>
              </w:rPr>
            </w:pPr>
            <w:r>
              <w:rPr>
                <w:rFonts w:hint="eastAsia" w:ascii="Times New Roman" w:hAnsi="Times New Roman"/>
                <w:szCs w:val="21"/>
                <w:lang w:val="en-US" w:eastAsia="zh-CN"/>
              </w:rPr>
              <w:t>高级</w:t>
            </w:r>
            <w:r>
              <w:rPr>
                <w:rFonts w:ascii="Times New Roman" w:hAnsi="Times New Roman"/>
                <w:szCs w:val="21"/>
              </w:rPr>
              <w:t>工程师</w:t>
            </w:r>
          </w:p>
        </w:tc>
        <w:tc>
          <w:tcPr>
            <w:tcW w:w="454" w:type="pct"/>
            <w:vAlign w:val="center"/>
          </w:tcPr>
          <w:p w14:paraId="1F72FEBB">
            <w:pPr>
              <w:pStyle w:val="72"/>
              <w:rPr>
                <w:rFonts w:hint="default" w:ascii="Times New Roman" w:hAnsi="Times New Roman" w:eastAsia="仿宋"/>
                <w:lang w:val="en-US" w:eastAsia="zh-CN"/>
              </w:rPr>
            </w:pPr>
            <w:r>
              <w:rPr>
                <w:rFonts w:hint="eastAsia" w:ascii="Times New Roman" w:hAnsi="Times New Roman"/>
                <w:szCs w:val="21"/>
                <w:lang w:val="en-US" w:eastAsia="zh-CN"/>
              </w:rPr>
              <w:t>13341592780</w:t>
            </w:r>
          </w:p>
        </w:tc>
        <w:tc>
          <w:tcPr>
            <w:tcW w:w="620" w:type="pct"/>
            <w:vAlign w:val="center"/>
          </w:tcPr>
          <w:p w14:paraId="19A2FD17">
            <w:pPr>
              <w:pStyle w:val="72"/>
              <w:rPr>
                <w:rFonts w:ascii="Times New Roman" w:hAnsi="Times New Roman"/>
              </w:rPr>
            </w:pPr>
          </w:p>
        </w:tc>
      </w:tr>
      <w:tr w14:paraId="4F4FF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extDirection w:val="tbRlV"/>
            <w:vAlign w:val="center"/>
          </w:tcPr>
          <w:p w14:paraId="0F2FC8B5">
            <w:pPr>
              <w:pStyle w:val="72"/>
              <w:rPr>
                <w:rFonts w:ascii="Times New Roman" w:hAnsi="Times New Roman"/>
              </w:rPr>
            </w:pPr>
          </w:p>
        </w:tc>
        <w:tc>
          <w:tcPr>
            <w:tcW w:w="4671" w:type="pct"/>
            <w:gridSpan w:val="6"/>
            <w:vAlign w:val="center"/>
          </w:tcPr>
          <w:p w14:paraId="37338A5E">
            <w:pPr>
              <w:pStyle w:val="72"/>
              <w:rPr>
                <w:rFonts w:ascii="Times New Roman" w:hAnsi="Times New Roman"/>
              </w:rPr>
            </w:pPr>
            <w:r>
              <w:rPr>
                <w:rFonts w:ascii="Times New Roman" w:hAnsi="Times New Roman"/>
              </w:rPr>
              <w:t>主要编制人员</w:t>
            </w:r>
          </w:p>
        </w:tc>
      </w:tr>
      <w:tr w14:paraId="25461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extDirection w:val="tbRlV"/>
            <w:vAlign w:val="center"/>
          </w:tcPr>
          <w:p w14:paraId="4ACF6B1D">
            <w:pPr>
              <w:pStyle w:val="72"/>
              <w:rPr>
                <w:rFonts w:ascii="Times New Roman" w:hAnsi="Times New Roman"/>
              </w:rPr>
            </w:pPr>
          </w:p>
        </w:tc>
        <w:tc>
          <w:tcPr>
            <w:tcW w:w="968" w:type="pct"/>
            <w:vAlign w:val="center"/>
          </w:tcPr>
          <w:p w14:paraId="124D04B7">
            <w:pPr>
              <w:pStyle w:val="72"/>
              <w:rPr>
                <w:rFonts w:ascii="Times New Roman" w:hAnsi="Times New Roman"/>
              </w:rPr>
            </w:pPr>
            <w:r>
              <w:rPr>
                <w:rFonts w:ascii="Times New Roman" w:hAnsi="Times New Roman"/>
              </w:rPr>
              <w:t>姓名</w:t>
            </w:r>
          </w:p>
        </w:tc>
        <w:tc>
          <w:tcPr>
            <w:tcW w:w="811" w:type="pct"/>
            <w:vAlign w:val="center"/>
          </w:tcPr>
          <w:p w14:paraId="2FBA9767">
            <w:pPr>
              <w:pStyle w:val="72"/>
              <w:rPr>
                <w:rFonts w:ascii="Times New Roman" w:hAnsi="Times New Roman"/>
              </w:rPr>
            </w:pPr>
            <w:r>
              <w:rPr>
                <w:rFonts w:ascii="Times New Roman" w:hAnsi="Times New Roman"/>
              </w:rPr>
              <w:t>身份证号</w:t>
            </w:r>
          </w:p>
        </w:tc>
        <w:tc>
          <w:tcPr>
            <w:tcW w:w="903" w:type="pct"/>
            <w:vAlign w:val="center"/>
          </w:tcPr>
          <w:p w14:paraId="244F29BB">
            <w:pPr>
              <w:pStyle w:val="72"/>
              <w:rPr>
                <w:rFonts w:ascii="Times New Roman" w:hAnsi="Times New Roman"/>
              </w:rPr>
            </w:pPr>
            <w:r>
              <w:rPr>
                <w:rFonts w:ascii="Times New Roman" w:hAnsi="Times New Roman"/>
              </w:rPr>
              <w:t>专业</w:t>
            </w:r>
          </w:p>
        </w:tc>
        <w:tc>
          <w:tcPr>
            <w:tcW w:w="914" w:type="pct"/>
            <w:vAlign w:val="center"/>
          </w:tcPr>
          <w:p w14:paraId="0C00A036">
            <w:pPr>
              <w:pStyle w:val="72"/>
              <w:rPr>
                <w:rFonts w:ascii="Times New Roman" w:hAnsi="Times New Roman"/>
              </w:rPr>
            </w:pPr>
            <w:r>
              <w:rPr>
                <w:rFonts w:ascii="Times New Roman" w:hAnsi="Times New Roman"/>
              </w:rPr>
              <w:t>职务/职称</w:t>
            </w:r>
          </w:p>
        </w:tc>
        <w:tc>
          <w:tcPr>
            <w:tcW w:w="454" w:type="pct"/>
            <w:vAlign w:val="center"/>
          </w:tcPr>
          <w:p w14:paraId="0F0EF0B7">
            <w:pPr>
              <w:pStyle w:val="72"/>
              <w:rPr>
                <w:rFonts w:ascii="Times New Roman" w:hAnsi="Times New Roman"/>
              </w:rPr>
            </w:pPr>
            <w:r>
              <w:rPr>
                <w:rFonts w:ascii="Times New Roman" w:hAnsi="Times New Roman"/>
              </w:rPr>
              <w:t>联系</w:t>
            </w:r>
          </w:p>
          <w:p w14:paraId="4B355FB1">
            <w:pPr>
              <w:pStyle w:val="72"/>
              <w:rPr>
                <w:rFonts w:ascii="Times New Roman" w:hAnsi="Times New Roman"/>
              </w:rPr>
            </w:pPr>
            <w:r>
              <w:rPr>
                <w:rFonts w:ascii="Times New Roman" w:hAnsi="Times New Roman"/>
              </w:rPr>
              <w:t>电话</w:t>
            </w:r>
          </w:p>
        </w:tc>
        <w:tc>
          <w:tcPr>
            <w:tcW w:w="620" w:type="pct"/>
            <w:vAlign w:val="center"/>
          </w:tcPr>
          <w:p w14:paraId="59A4E084">
            <w:pPr>
              <w:pStyle w:val="72"/>
              <w:rPr>
                <w:rFonts w:ascii="Times New Roman" w:hAnsi="Times New Roman"/>
              </w:rPr>
            </w:pPr>
            <w:r>
              <w:rPr>
                <w:rFonts w:ascii="Times New Roman" w:hAnsi="Times New Roman"/>
              </w:rPr>
              <w:t>签名</w:t>
            </w:r>
          </w:p>
        </w:tc>
      </w:tr>
      <w:tr w14:paraId="14FDA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extDirection w:val="tbRlV"/>
            <w:vAlign w:val="center"/>
          </w:tcPr>
          <w:p w14:paraId="0C37FDF8">
            <w:pPr>
              <w:pStyle w:val="72"/>
              <w:rPr>
                <w:rFonts w:ascii="Times New Roman" w:hAnsi="Times New Roman"/>
              </w:rPr>
            </w:pPr>
          </w:p>
        </w:tc>
        <w:tc>
          <w:tcPr>
            <w:tcW w:w="968" w:type="pct"/>
            <w:shd w:val="clear" w:color="auto" w:fill="auto"/>
            <w:vAlign w:val="center"/>
          </w:tcPr>
          <w:p w14:paraId="5B16D435">
            <w:pPr>
              <w:pStyle w:val="72"/>
              <w:ind w:firstLine="0" w:firstLineChars="0"/>
              <w:rPr>
                <w:rFonts w:hint="eastAsia" w:ascii="Times New Roman" w:hAnsi="Times New Roman" w:eastAsia="仿宋" w:cs="Times New Roman"/>
                <w:b w:val="0"/>
                <w:bCs/>
                <w:kern w:val="2"/>
                <w:sz w:val="21"/>
                <w:szCs w:val="28"/>
                <w:lang w:val="en-US" w:eastAsia="zh-CN" w:bidi="ar-SA"/>
              </w:rPr>
            </w:pPr>
            <w:r>
              <w:rPr>
                <w:rFonts w:hint="eastAsia" w:ascii="Times New Roman" w:hAnsi="Times New Roman"/>
                <w:lang w:val="en-US" w:eastAsia="zh-CN"/>
              </w:rPr>
              <w:t>吴迎春</w:t>
            </w:r>
          </w:p>
        </w:tc>
        <w:tc>
          <w:tcPr>
            <w:tcW w:w="811" w:type="pct"/>
            <w:shd w:val="clear" w:color="auto" w:fill="auto"/>
            <w:vAlign w:val="center"/>
          </w:tcPr>
          <w:p w14:paraId="15D7C92D">
            <w:pPr>
              <w:rPr>
                <w:rFonts w:hint="default"/>
                <w:lang w:val="en-US" w:eastAsia="zh-CN"/>
              </w:rPr>
            </w:pPr>
          </w:p>
        </w:tc>
        <w:tc>
          <w:tcPr>
            <w:tcW w:w="903" w:type="pct"/>
            <w:shd w:val="clear" w:color="auto" w:fill="auto"/>
            <w:vAlign w:val="center"/>
          </w:tcPr>
          <w:p w14:paraId="124D879C">
            <w:pPr>
              <w:pStyle w:val="72"/>
              <w:ind w:firstLine="0" w:firstLineChars="0"/>
              <w:rPr>
                <w:rFonts w:hint="eastAsia" w:ascii="Times New Roman" w:hAnsi="Times New Roman" w:eastAsia="仿宋" w:cs="Times New Roman"/>
                <w:b w:val="0"/>
                <w:bCs/>
                <w:kern w:val="2"/>
                <w:sz w:val="21"/>
                <w:szCs w:val="28"/>
                <w:lang w:val="en-US" w:eastAsia="zh-CN" w:bidi="ar-SA"/>
              </w:rPr>
            </w:pPr>
            <w:r>
              <w:rPr>
                <w:rFonts w:hint="eastAsia" w:ascii="Times New Roman" w:hAnsi="Times New Roman"/>
                <w:lang w:val="en-US" w:eastAsia="zh-CN"/>
              </w:rPr>
              <w:t>工程地质</w:t>
            </w:r>
          </w:p>
        </w:tc>
        <w:tc>
          <w:tcPr>
            <w:tcW w:w="914" w:type="pct"/>
            <w:shd w:val="clear" w:color="auto" w:fill="auto"/>
            <w:vAlign w:val="center"/>
          </w:tcPr>
          <w:p w14:paraId="4358315B">
            <w:pPr>
              <w:pStyle w:val="72"/>
              <w:ind w:firstLine="0" w:firstLineChars="0"/>
              <w:rPr>
                <w:rFonts w:hint="default" w:ascii="Times New Roman" w:hAnsi="Times New Roman" w:eastAsia="仿宋" w:cs="Times New Roman"/>
                <w:b w:val="0"/>
                <w:bCs/>
                <w:kern w:val="2"/>
                <w:sz w:val="21"/>
                <w:szCs w:val="28"/>
                <w:lang w:val="en-US" w:eastAsia="zh-CN" w:bidi="ar-SA"/>
              </w:rPr>
            </w:pPr>
            <w:r>
              <w:rPr>
                <w:rFonts w:hint="eastAsia" w:ascii="Times New Roman" w:hAnsi="Times New Roman"/>
                <w:lang w:val="en-US" w:eastAsia="zh-CN"/>
              </w:rPr>
              <w:t>高级工程师</w:t>
            </w:r>
          </w:p>
        </w:tc>
        <w:tc>
          <w:tcPr>
            <w:tcW w:w="454" w:type="pct"/>
            <w:shd w:val="clear" w:color="auto" w:fill="auto"/>
            <w:vAlign w:val="center"/>
          </w:tcPr>
          <w:p w14:paraId="296A470D">
            <w:pPr>
              <w:pStyle w:val="72"/>
              <w:ind w:firstLine="0" w:firstLineChars="0"/>
              <w:rPr>
                <w:rFonts w:hint="default" w:ascii="Times New Roman" w:hAnsi="Times New Roman" w:eastAsia="仿宋" w:cs="Times New Roman"/>
                <w:b w:val="0"/>
                <w:bCs/>
                <w:kern w:val="2"/>
                <w:sz w:val="21"/>
                <w:szCs w:val="28"/>
                <w:lang w:val="en-US" w:eastAsia="zh-CN" w:bidi="ar-SA"/>
              </w:rPr>
            </w:pPr>
            <w:r>
              <w:rPr>
                <w:rFonts w:hint="eastAsia" w:ascii="Times New Roman" w:hAnsi="Times New Roman" w:cs="Times New Roman"/>
                <w:b w:val="0"/>
                <w:bCs/>
                <w:kern w:val="2"/>
                <w:sz w:val="21"/>
                <w:szCs w:val="28"/>
                <w:lang w:val="en-US" w:eastAsia="zh-CN" w:bidi="ar-SA"/>
              </w:rPr>
              <w:t>13604331253</w:t>
            </w:r>
          </w:p>
        </w:tc>
        <w:tc>
          <w:tcPr>
            <w:tcW w:w="620" w:type="pct"/>
            <w:vAlign w:val="center"/>
          </w:tcPr>
          <w:p w14:paraId="6D349323">
            <w:pPr>
              <w:pStyle w:val="72"/>
              <w:rPr>
                <w:rFonts w:ascii="Times New Roman" w:hAnsi="Times New Roman"/>
              </w:rPr>
            </w:pPr>
          </w:p>
        </w:tc>
      </w:tr>
      <w:tr w14:paraId="08023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exact"/>
          <w:jc w:val="center"/>
        </w:trPr>
        <w:tc>
          <w:tcPr>
            <w:tcW w:w="328" w:type="pct"/>
            <w:vMerge w:val="continue"/>
            <w:textDirection w:val="tbRlV"/>
            <w:vAlign w:val="center"/>
          </w:tcPr>
          <w:p w14:paraId="623A7576">
            <w:pPr>
              <w:pStyle w:val="72"/>
              <w:rPr>
                <w:rFonts w:ascii="Times New Roman" w:hAnsi="Times New Roman"/>
              </w:rPr>
            </w:pPr>
          </w:p>
        </w:tc>
        <w:tc>
          <w:tcPr>
            <w:tcW w:w="968" w:type="pct"/>
            <w:vAlign w:val="center"/>
          </w:tcPr>
          <w:p w14:paraId="77B91551">
            <w:pPr>
              <w:pStyle w:val="72"/>
              <w:rPr>
                <w:rFonts w:hint="default" w:ascii="Times New Roman" w:hAnsi="Times New Roman"/>
                <w:szCs w:val="21"/>
                <w:lang w:val="en-US" w:eastAsia="zh-CN"/>
              </w:rPr>
            </w:pPr>
            <w:r>
              <w:rPr>
                <w:rFonts w:hint="eastAsia" w:ascii="Times New Roman" w:hAnsi="Times New Roman"/>
                <w:szCs w:val="21"/>
                <w:lang w:val="en-US" w:eastAsia="zh-CN"/>
              </w:rPr>
              <w:t>王德文</w:t>
            </w:r>
          </w:p>
        </w:tc>
        <w:tc>
          <w:tcPr>
            <w:tcW w:w="811" w:type="pct"/>
            <w:vAlign w:val="center"/>
          </w:tcPr>
          <w:p w14:paraId="1273C262"/>
        </w:tc>
        <w:tc>
          <w:tcPr>
            <w:tcW w:w="903" w:type="pct"/>
            <w:vAlign w:val="center"/>
          </w:tcPr>
          <w:p w14:paraId="7DF4EA1D">
            <w:pPr>
              <w:pStyle w:val="72"/>
              <w:rPr>
                <w:rFonts w:hint="eastAsia" w:ascii="Times New Roman" w:hAnsi="Times New Roman" w:eastAsia="仿宋"/>
                <w:lang w:val="en-US" w:eastAsia="zh-CN"/>
              </w:rPr>
            </w:pPr>
            <w:r>
              <w:rPr>
                <w:rFonts w:hint="eastAsia" w:ascii="Times New Roman" w:hAnsi="Times New Roman"/>
                <w:lang w:val="en-US" w:eastAsia="zh-CN"/>
              </w:rPr>
              <w:t>地质</w:t>
            </w:r>
          </w:p>
        </w:tc>
        <w:tc>
          <w:tcPr>
            <w:tcW w:w="914" w:type="pct"/>
            <w:vAlign w:val="center"/>
          </w:tcPr>
          <w:p w14:paraId="37C64370">
            <w:pPr>
              <w:pStyle w:val="72"/>
              <w:rPr>
                <w:rFonts w:hint="eastAsia" w:ascii="Times New Roman" w:hAnsi="Times New Roman" w:eastAsia="仿宋"/>
                <w:lang w:val="en-US" w:eastAsia="zh-CN"/>
              </w:rPr>
            </w:pPr>
            <w:r>
              <w:rPr>
                <w:rFonts w:hint="eastAsia" w:ascii="Times New Roman" w:hAnsi="Times New Roman"/>
                <w:lang w:val="en-US" w:eastAsia="zh-CN"/>
              </w:rPr>
              <w:t>工程师</w:t>
            </w:r>
          </w:p>
        </w:tc>
        <w:tc>
          <w:tcPr>
            <w:tcW w:w="454" w:type="pct"/>
            <w:vAlign w:val="center"/>
          </w:tcPr>
          <w:p w14:paraId="4C15DE8D">
            <w:pPr>
              <w:pStyle w:val="72"/>
              <w:rPr>
                <w:rFonts w:hint="default" w:ascii="Times New Roman" w:hAnsi="Times New Roman" w:eastAsia="仿宋"/>
                <w:lang w:val="en-US" w:eastAsia="zh-CN"/>
              </w:rPr>
            </w:pPr>
            <w:r>
              <w:rPr>
                <w:rFonts w:hint="eastAsia" w:ascii="Times New Roman" w:hAnsi="Times New Roman"/>
                <w:lang w:val="en-US" w:eastAsia="zh-CN"/>
              </w:rPr>
              <w:t>13644536798</w:t>
            </w:r>
          </w:p>
        </w:tc>
        <w:tc>
          <w:tcPr>
            <w:tcW w:w="620" w:type="pct"/>
            <w:vAlign w:val="center"/>
          </w:tcPr>
          <w:p w14:paraId="7E07B045">
            <w:pPr>
              <w:pStyle w:val="72"/>
              <w:rPr>
                <w:rFonts w:ascii="Times New Roman" w:hAnsi="Times New Roman"/>
              </w:rPr>
            </w:pPr>
          </w:p>
        </w:tc>
      </w:tr>
      <w:tr w14:paraId="481CE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extDirection w:val="tbRlV"/>
            <w:vAlign w:val="center"/>
          </w:tcPr>
          <w:p w14:paraId="5880CA51">
            <w:pPr>
              <w:pStyle w:val="72"/>
              <w:rPr>
                <w:rFonts w:ascii="Times New Roman" w:hAnsi="Times New Roman"/>
              </w:rPr>
            </w:pPr>
          </w:p>
        </w:tc>
        <w:tc>
          <w:tcPr>
            <w:tcW w:w="968" w:type="pct"/>
            <w:shd w:val="clear" w:color="auto" w:fill="auto"/>
            <w:vAlign w:val="center"/>
          </w:tcPr>
          <w:p w14:paraId="5FDE59F1">
            <w:pPr>
              <w:pStyle w:val="72"/>
              <w:ind w:firstLine="0" w:firstLineChars="0"/>
              <w:rPr>
                <w:rFonts w:hint="default" w:ascii="Times New Roman" w:hAnsi="Times New Roman" w:eastAsia="仿宋" w:cs="Times New Roman"/>
                <w:b w:val="0"/>
                <w:bCs/>
                <w:kern w:val="2"/>
                <w:sz w:val="21"/>
                <w:szCs w:val="21"/>
                <w:lang w:val="en-US" w:eastAsia="zh-CN" w:bidi="ar-SA"/>
              </w:rPr>
            </w:pPr>
            <w:r>
              <w:rPr>
                <w:rFonts w:hint="eastAsia" w:ascii="Times New Roman" w:hAnsi="Times New Roman"/>
                <w:szCs w:val="21"/>
                <w:lang w:val="en-US" w:eastAsia="zh-CN"/>
              </w:rPr>
              <w:t>乔俊智</w:t>
            </w:r>
          </w:p>
        </w:tc>
        <w:tc>
          <w:tcPr>
            <w:tcW w:w="811" w:type="pct"/>
            <w:shd w:val="clear" w:color="auto" w:fill="auto"/>
            <w:vAlign w:val="center"/>
          </w:tcPr>
          <w:p w14:paraId="702D6E8E">
            <w:pPr>
              <w:rPr>
                <w:rFonts w:hint="default"/>
                <w:lang w:val="en-US" w:eastAsia="zh-CN"/>
              </w:rPr>
            </w:pPr>
          </w:p>
        </w:tc>
        <w:tc>
          <w:tcPr>
            <w:tcW w:w="903" w:type="pct"/>
            <w:shd w:val="clear" w:color="auto" w:fill="auto"/>
            <w:vAlign w:val="center"/>
          </w:tcPr>
          <w:p w14:paraId="19F72F08">
            <w:pPr>
              <w:pStyle w:val="72"/>
              <w:ind w:firstLine="0" w:firstLineChars="0"/>
              <w:rPr>
                <w:rFonts w:hint="eastAsia" w:ascii="Times New Roman" w:hAnsi="Times New Roman" w:eastAsia="仿宋" w:cs="Times New Roman"/>
                <w:b w:val="0"/>
                <w:bCs/>
                <w:kern w:val="2"/>
                <w:sz w:val="21"/>
                <w:szCs w:val="28"/>
                <w:lang w:val="en-US" w:eastAsia="zh-CN" w:bidi="ar-SA"/>
              </w:rPr>
            </w:pPr>
            <w:r>
              <w:rPr>
                <w:rFonts w:hint="eastAsia" w:ascii="Times New Roman" w:hAnsi="Times New Roman"/>
                <w:szCs w:val="21"/>
              </w:rPr>
              <w:t>土地管理</w:t>
            </w:r>
          </w:p>
        </w:tc>
        <w:tc>
          <w:tcPr>
            <w:tcW w:w="914" w:type="pct"/>
            <w:shd w:val="clear" w:color="auto" w:fill="auto"/>
            <w:vAlign w:val="center"/>
          </w:tcPr>
          <w:p w14:paraId="3AD3F9AF">
            <w:pPr>
              <w:pStyle w:val="72"/>
              <w:ind w:firstLine="0" w:firstLineChars="0"/>
              <w:rPr>
                <w:rFonts w:hint="default" w:ascii="Times New Roman" w:hAnsi="Times New Roman" w:eastAsia="仿宋" w:cs="Times New Roman"/>
                <w:b w:val="0"/>
                <w:bCs/>
                <w:kern w:val="2"/>
                <w:sz w:val="21"/>
                <w:szCs w:val="28"/>
                <w:lang w:val="en-US" w:eastAsia="zh-CN" w:bidi="ar-SA"/>
              </w:rPr>
            </w:pPr>
            <w:r>
              <w:rPr>
                <w:rFonts w:ascii="Times New Roman" w:hAnsi="Times New Roman"/>
                <w:szCs w:val="21"/>
              </w:rPr>
              <w:t>工程师</w:t>
            </w:r>
          </w:p>
        </w:tc>
        <w:tc>
          <w:tcPr>
            <w:tcW w:w="454" w:type="pct"/>
            <w:shd w:val="clear" w:color="auto" w:fill="auto"/>
            <w:vAlign w:val="center"/>
          </w:tcPr>
          <w:p w14:paraId="711E75C1">
            <w:pPr>
              <w:pStyle w:val="72"/>
              <w:ind w:firstLine="0" w:firstLineChars="0"/>
              <w:rPr>
                <w:rFonts w:hint="default" w:ascii="Times New Roman" w:hAnsi="Times New Roman" w:eastAsia="仿宋" w:cs="Times New Roman"/>
                <w:b w:val="0"/>
                <w:bCs/>
                <w:kern w:val="2"/>
                <w:sz w:val="21"/>
                <w:szCs w:val="28"/>
                <w:lang w:val="en-US" w:eastAsia="zh-CN" w:bidi="ar-SA"/>
              </w:rPr>
            </w:pPr>
            <w:r>
              <w:rPr>
                <w:rFonts w:hint="eastAsia" w:ascii="Times New Roman" w:hAnsi="Times New Roman"/>
                <w:szCs w:val="21"/>
                <w:lang w:val="en-US" w:eastAsia="zh-CN"/>
              </w:rPr>
              <w:t>15645100653</w:t>
            </w:r>
          </w:p>
        </w:tc>
        <w:tc>
          <w:tcPr>
            <w:tcW w:w="620" w:type="pct"/>
            <w:vAlign w:val="center"/>
          </w:tcPr>
          <w:p w14:paraId="38985C62">
            <w:pPr>
              <w:pStyle w:val="72"/>
              <w:rPr>
                <w:rFonts w:ascii="Times New Roman" w:hAnsi="Times New Roman"/>
              </w:rPr>
            </w:pPr>
          </w:p>
        </w:tc>
      </w:tr>
      <w:tr w14:paraId="0742F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extDirection w:val="tbRlV"/>
            <w:vAlign w:val="center"/>
          </w:tcPr>
          <w:p w14:paraId="187F930E">
            <w:pPr>
              <w:pStyle w:val="72"/>
              <w:rPr>
                <w:rFonts w:ascii="Times New Roman" w:hAnsi="Times New Roman"/>
              </w:rPr>
            </w:pPr>
          </w:p>
        </w:tc>
        <w:tc>
          <w:tcPr>
            <w:tcW w:w="968" w:type="pct"/>
            <w:vAlign w:val="center"/>
          </w:tcPr>
          <w:p w14:paraId="7139423F">
            <w:pPr>
              <w:pStyle w:val="72"/>
              <w:rPr>
                <w:rFonts w:hint="eastAsia" w:ascii="Times New Roman" w:hAnsi="Times New Roman" w:eastAsia="仿宋"/>
                <w:lang w:eastAsia="zh-CN"/>
              </w:rPr>
            </w:pPr>
          </w:p>
        </w:tc>
        <w:tc>
          <w:tcPr>
            <w:tcW w:w="811" w:type="pct"/>
            <w:vAlign w:val="center"/>
          </w:tcPr>
          <w:p w14:paraId="3CAF53A3">
            <w:pPr>
              <w:pStyle w:val="72"/>
              <w:rPr>
                <w:rFonts w:ascii="Times New Roman" w:hAnsi="Times New Roman"/>
              </w:rPr>
            </w:pPr>
          </w:p>
        </w:tc>
        <w:tc>
          <w:tcPr>
            <w:tcW w:w="903" w:type="pct"/>
            <w:vAlign w:val="center"/>
          </w:tcPr>
          <w:p w14:paraId="2D286BA8">
            <w:pPr>
              <w:pStyle w:val="72"/>
              <w:rPr>
                <w:rFonts w:ascii="Times New Roman" w:hAnsi="Times New Roman"/>
              </w:rPr>
            </w:pPr>
          </w:p>
        </w:tc>
        <w:tc>
          <w:tcPr>
            <w:tcW w:w="914" w:type="pct"/>
            <w:vAlign w:val="center"/>
          </w:tcPr>
          <w:p w14:paraId="02B6E4E6">
            <w:pPr>
              <w:pStyle w:val="72"/>
              <w:rPr>
                <w:rFonts w:ascii="Times New Roman" w:hAnsi="Times New Roman"/>
              </w:rPr>
            </w:pPr>
          </w:p>
        </w:tc>
        <w:tc>
          <w:tcPr>
            <w:tcW w:w="454" w:type="pct"/>
            <w:vAlign w:val="center"/>
          </w:tcPr>
          <w:p w14:paraId="3D780F5E">
            <w:pPr>
              <w:pStyle w:val="72"/>
              <w:rPr>
                <w:rFonts w:ascii="Times New Roman" w:hAnsi="Times New Roman"/>
              </w:rPr>
            </w:pPr>
          </w:p>
        </w:tc>
        <w:tc>
          <w:tcPr>
            <w:tcW w:w="620" w:type="pct"/>
            <w:vAlign w:val="center"/>
          </w:tcPr>
          <w:p w14:paraId="41F24B63">
            <w:pPr>
              <w:pStyle w:val="72"/>
              <w:rPr>
                <w:rFonts w:ascii="Times New Roman" w:hAnsi="Times New Roman"/>
              </w:rPr>
            </w:pPr>
          </w:p>
        </w:tc>
      </w:tr>
      <w:bookmarkEnd w:id="6"/>
    </w:tbl>
    <w:p w14:paraId="502780AD">
      <w:pPr>
        <w:pStyle w:val="15"/>
        <w:ind w:firstLine="560"/>
      </w:pPr>
    </w:p>
    <w:p w14:paraId="1F501F1B">
      <w:pPr>
        <w:pStyle w:val="15"/>
        <w:ind w:firstLine="560"/>
      </w:pPr>
    </w:p>
    <w:p w14:paraId="5FC61743">
      <w:pPr>
        <w:widowControl/>
        <w:adjustRightInd/>
        <w:snapToGrid/>
        <w:spacing w:line="240" w:lineRule="auto"/>
        <w:ind w:firstLine="0" w:firstLineChars="0"/>
      </w:pPr>
      <w:r>
        <w:br w:type="page"/>
      </w:r>
    </w:p>
    <w:p w14:paraId="10ED3305">
      <w:pPr>
        <w:pStyle w:val="57"/>
        <w:rPr>
          <w:rFonts w:hint="eastAsia"/>
        </w:rPr>
      </w:pPr>
      <w:r>
        <w:rPr>
          <w:rFonts w:hint="eastAsia"/>
        </w:rPr>
        <w:t>表0-1</w:t>
      </w:r>
      <w:r>
        <w:rPr>
          <w:rFonts w:hint="eastAsia"/>
          <w:lang w:eastAsia="zh-CN"/>
        </w:rPr>
        <w:t>开采方式改变后</w:t>
      </w:r>
      <w:r>
        <w:rPr>
          <w:rFonts w:hint="eastAsia"/>
        </w:rPr>
        <w:t>采矿权范围拐点坐标表</w:t>
      </w:r>
    </w:p>
    <w:tbl>
      <w:tblPr>
        <w:tblStyle w:val="42"/>
        <w:tblW w:w="91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26"/>
        <w:gridCol w:w="2006"/>
        <w:gridCol w:w="2227"/>
        <w:gridCol w:w="476"/>
        <w:gridCol w:w="1487"/>
        <w:gridCol w:w="2178"/>
      </w:tblGrid>
      <w:tr w14:paraId="2C780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trPr>
        <w:tc>
          <w:tcPr>
            <w:tcW w:w="726" w:type="dxa"/>
            <w:vMerge w:val="restart"/>
            <w:tcBorders>
              <w:tl2br w:val="nil"/>
              <w:tr2bl w:val="nil"/>
            </w:tcBorders>
            <w:vAlign w:val="center"/>
          </w:tcPr>
          <w:p w14:paraId="76CAF831">
            <w:pPr>
              <w:pStyle w:val="72"/>
              <w:rPr>
                <w:rFonts w:hint="eastAsia"/>
              </w:rPr>
            </w:pPr>
            <w:r>
              <w:rPr>
                <w:rFonts w:hint="eastAsia"/>
              </w:rPr>
              <w:t>拐点</w:t>
            </w:r>
          </w:p>
          <w:p w14:paraId="63A0648A">
            <w:pPr>
              <w:pStyle w:val="72"/>
              <w:rPr>
                <w:rFonts w:hint="eastAsia"/>
              </w:rPr>
            </w:pPr>
            <w:r>
              <w:rPr>
                <w:rFonts w:hint="eastAsia"/>
              </w:rPr>
              <w:t>编号</w:t>
            </w:r>
          </w:p>
        </w:tc>
        <w:tc>
          <w:tcPr>
            <w:tcW w:w="4233" w:type="dxa"/>
            <w:gridSpan w:val="2"/>
            <w:tcBorders>
              <w:tl2br w:val="nil"/>
              <w:tr2bl w:val="nil"/>
            </w:tcBorders>
            <w:vAlign w:val="center"/>
          </w:tcPr>
          <w:p w14:paraId="1B3DDBF9">
            <w:pPr>
              <w:pStyle w:val="72"/>
              <w:rPr>
                <w:rFonts w:hint="eastAsia"/>
              </w:rPr>
            </w:pPr>
            <w:r>
              <w:t>2000国家</w:t>
            </w:r>
            <w:r>
              <w:rPr>
                <w:rFonts w:hint="eastAsia"/>
                <w:lang w:val="en-US" w:eastAsia="zh-CN"/>
              </w:rPr>
              <w:t>大地</w:t>
            </w:r>
            <w:r>
              <w:t>坐标系</w:t>
            </w:r>
          </w:p>
        </w:tc>
        <w:tc>
          <w:tcPr>
            <w:tcW w:w="476" w:type="dxa"/>
            <w:tcBorders>
              <w:right w:val="single" w:color="auto" w:sz="4" w:space="0"/>
              <w:tl2br w:val="nil"/>
              <w:tr2bl w:val="nil"/>
            </w:tcBorders>
            <w:vAlign w:val="center"/>
          </w:tcPr>
          <w:p w14:paraId="2F2CB121">
            <w:pPr>
              <w:pStyle w:val="72"/>
              <w:rPr>
                <w:rFonts w:hint="eastAsia"/>
              </w:rPr>
            </w:pPr>
          </w:p>
        </w:tc>
        <w:tc>
          <w:tcPr>
            <w:tcW w:w="3665" w:type="dxa"/>
            <w:gridSpan w:val="2"/>
            <w:tcBorders>
              <w:left w:val="single" w:color="auto" w:sz="4" w:space="0"/>
              <w:tl2br w:val="nil"/>
              <w:tr2bl w:val="nil"/>
            </w:tcBorders>
            <w:vAlign w:val="center"/>
          </w:tcPr>
          <w:p w14:paraId="60941860">
            <w:pPr>
              <w:pStyle w:val="72"/>
              <w:rPr>
                <w:rFonts w:hint="eastAsia"/>
              </w:rPr>
            </w:pPr>
            <w:r>
              <w:rPr>
                <w:rFonts w:hint="eastAsia"/>
              </w:rPr>
              <w:t>2000国家</w:t>
            </w:r>
            <w:r>
              <w:rPr>
                <w:rFonts w:hint="eastAsia"/>
                <w:lang w:val="en-US" w:eastAsia="zh-CN"/>
              </w:rPr>
              <w:t>大地</w:t>
            </w:r>
            <w:r>
              <w:rPr>
                <w:rFonts w:hint="eastAsia"/>
              </w:rPr>
              <w:t>坐标系</w:t>
            </w:r>
          </w:p>
        </w:tc>
      </w:tr>
      <w:tr w14:paraId="5BA7D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trPr>
        <w:tc>
          <w:tcPr>
            <w:tcW w:w="726" w:type="dxa"/>
            <w:vMerge w:val="continue"/>
            <w:tcBorders>
              <w:tl2br w:val="nil"/>
              <w:tr2bl w:val="nil"/>
            </w:tcBorders>
            <w:vAlign w:val="center"/>
          </w:tcPr>
          <w:p w14:paraId="14F613FC">
            <w:pPr>
              <w:pStyle w:val="72"/>
              <w:rPr>
                <w:rFonts w:hint="eastAsia"/>
              </w:rPr>
            </w:pPr>
          </w:p>
        </w:tc>
        <w:tc>
          <w:tcPr>
            <w:tcW w:w="2006" w:type="dxa"/>
            <w:tcBorders>
              <w:tl2br w:val="nil"/>
              <w:tr2bl w:val="nil"/>
            </w:tcBorders>
            <w:vAlign w:val="center"/>
          </w:tcPr>
          <w:p w14:paraId="3F697686">
            <w:pPr>
              <w:pStyle w:val="72"/>
              <w:rPr>
                <w:rFonts w:hint="eastAsia"/>
              </w:rPr>
            </w:pPr>
            <w:r>
              <w:rPr>
                <w:rFonts w:hint="eastAsia"/>
              </w:rPr>
              <w:t>X</w:t>
            </w:r>
          </w:p>
        </w:tc>
        <w:tc>
          <w:tcPr>
            <w:tcW w:w="2227" w:type="dxa"/>
            <w:tcBorders>
              <w:tl2br w:val="nil"/>
              <w:tr2bl w:val="nil"/>
            </w:tcBorders>
            <w:vAlign w:val="center"/>
          </w:tcPr>
          <w:p w14:paraId="4BF4D390">
            <w:pPr>
              <w:pStyle w:val="72"/>
              <w:rPr>
                <w:rFonts w:hint="eastAsia"/>
              </w:rPr>
            </w:pPr>
            <w:r>
              <w:rPr>
                <w:rFonts w:hint="eastAsia"/>
              </w:rPr>
              <w:t>Y</w:t>
            </w:r>
          </w:p>
        </w:tc>
        <w:tc>
          <w:tcPr>
            <w:tcW w:w="476" w:type="dxa"/>
            <w:tcBorders>
              <w:right w:val="single" w:color="auto" w:sz="4" w:space="0"/>
              <w:tl2br w:val="nil"/>
              <w:tr2bl w:val="nil"/>
            </w:tcBorders>
            <w:vAlign w:val="center"/>
          </w:tcPr>
          <w:p w14:paraId="0A650FD6">
            <w:pPr>
              <w:pStyle w:val="72"/>
              <w:rPr>
                <w:rFonts w:hint="eastAsia"/>
              </w:rPr>
            </w:pPr>
          </w:p>
        </w:tc>
        <w:tc>
          <w:tcPr>
            <w:tcW w:w="1487" w:type="dxa"/>
            <w:tcBorders>
              <w:left w:val="single" w:color="auto" w:sz="4" w:space="0"/>
              <w:tl2br w:val="nil"/>
              <w:tr2bl w:val="nil"/>
            </w:tcBorders>
            <w:vAlign w:val="center"/>
          </w:tcPr>
          <w:p w14:paraId="621D3405">
            <w:pPr>
              <w:pStyle w:val="72"/>
              <w:rPr>
                <w:rFonts w:hint="eastAsia"/>
              </w:rPr>
            </w:pPr>
            <w:r>
              <w:rPr>
                <w:rFonts w:hint="eastAsia"/>
              </w:rPr>
              <w:t>X</w:t>
            </w:r>
          </w:p>
        </w:tc>
        <w:tc>
          <w:tcPr>
            <w:tcW w:w="2178" w:type="dxa"/>
            <w:tcBorders>
              <w:tl2br w:val="nil"/>
              <w:tr2bl w:val="nil"/>
            </w:tcBorders>
            <w:vAlign w:val="center"/>
          </w:tcPr>
          <w:p w14:paraId="15619543">
            <w:pPr>
              <w:pStyle w:val="72"/>
              <w:rPr>
                <w:rFonts w:hint="eastAsia"/>
              </w:rPr>
            </w:pPr>
            <w:r>
              <w:rPr>
                <w:rFonts w:hint="eastAsia"/>
              </w:rPr>
              <w:t>Y</w:t>
            </w:r>
          </w:p>
        </w:tc>
      </w:tr>
      <w:tr w14:paraId="2AAFE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trPr>
        <w:tc>
          <w:tcPr>
            <w:tcW w:w="726" w:type="dxa"/>
            <w:tcBorders>
              <w:tl2br w:val="nil"/>
              <w:tr2bl w:val="nil"/>
            </w:tcBorders>
            <w:vAlign w:val="bottom"/>
          </w:tcPr>
          <w:p w14:paraId="52218957">
            <w:pPr>
              <w:pStyle w:val="72"/>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1</w:t>
            </w:r>
          </w:p>
        </w:tc>
        <w:tc>
          <w:tcPr>
            <w:tcW w:w="2006" w:type="dxa"/>
            <w:tcBorders>
              <w:tl2br w:val="nil"/>
              <w:tr2bl w:val="nil"/>
            </w:tcBorders>
            <w:vAlign w:val="top"/>
          </w:tcPr>
          <w:p w14:paraId="6B9E9FC0">
            <w:pPr>
              <w:pStyle w:val="72"/>
              <w:rPr>
                <w:rFonts w:hint="eastAsia" w:ascii="仿宋_GB2312" w:hAnsi="仿宋_GB2312" w:eastAsia="仿宋_GB2312" w:cs="仿宋_GB2312"/>
                <w:kern w:val="0"/>
                <w:lang w:bidi="ar"/>
              </w:rPr>
            </w:pPr>
            <w:r>
              <w:rPr>
                <w:rFonts w:hint="eastAsia" w:ascii="仿宋_GB2312" w:hAnsi="仿宋_GB2312" w:eastAsia="仿宋_GB2312" w:cs="仿宋_GB2312"/>
                <w:kern w:val="0"/>
                <w:lang w:val="en-US" w:eastAsia="zh-CN" w:bidi="ar"/>
              </w:rPr>
              <w:t>4585027.39</w:t>
            </w:r>
          </w:p>
        </w:tc>
        <w:tc>
          <w:tcPr>
            <w:tcW w:w="2227" w:type="dxa"/>
            <w:tcBorders>
              <w:tl2br w:val="nil"/>
              <w:tr2bl w:val="nil"/>
            </w:tcBorders>
            <w:vAlign w:val="top"/>
          </w:tcPr>
          <w:p w14:paraId="3F637E17">
            <w:pPr>
              <w:pStyle w:val="72"/>
              <w:rPr>
                <w:rFonts w:hint="eastAsia" w:ascii="仿宋_GB2312" w:hAnsi="仿宋_GB2312" w:eastAsia="仿宋_GB2312" w:cs="仿宋_GB2312"/>
                <w:kern w:val="0"/>
                <w:lang w:bidi="ar"/>
              </w:rPr>
            </w:pPr>
            <w:r>
              <w:rPr>
                <w:rFonts w:hint="eastAsia" w:ascii="仿宋_GB2312" w:hAnsi="仿宋_GB2312" w:eastAsia="仿宋_GB2312" w:cs="仿宋_GB2312"/>
                <w:kern w:val="0"/>
                <w:lang w:val="en-US" w:eastAsia="zh-CN" w:bidi="ar"/>
              </w:rPr>
              <w:t>42491383.60</w:t>
            </w:r>
          </w:p>
        </w:tc>
        <w:tc>
          <w:tcPr>
            <w:tcW w:w="476" w:type="dxa"/>
            <w:tcBorders>
              <w:right w:val="single" w:color="auto" w:sz="4" w:space="0"/>
              <w:tl2br w:val="nil"/>
              <w:tr2bl w:val="nil"/>
            </w:tcBorders>
            <w:vAlign w:val="center"/>
          </w:tcPr>
          <w:p w14:paraId="66E8FD36">
            <w:pPr>
              <w:pStyle w:val="72"/>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val="en-US" w:eastAsia="zh-CN" w:bidi="ar"/>
              </w:rPr>
              <w:t>3</w:t>
            </w:r>
          </w:p>
        </w:tc>
        <w:tc>
          <w:tcPr>
            <w:tcW w:w="1487" w:type="dxa"/>
            <w:tcBorders>
              <w:left w:val="single" w:color="auto" w:sz="4" w:space="0"/>
              <w:tl2br w:val="nil"/>
              <w:tr2bl w:val="nil"/>
            </w:tcBorders>
            <w:vAlign w:val="top"/>
          </w:tcPr>
          <w:p w14:paraId="1346FE0D">
            <w:pPr>
              <w:pStyle w:val="72"/>
              <w:rPr>
                <w:rFonts w:hint="eastAsia" w:ascii="仿宋_GB2312" w:hAnsi="仿宋_GB2312" w:eastAsia="仿宋_GB2312" w:cs="仿宋_GB2312"/>
                <w:kern w:val="0"/>
                <w:lang w:val="en-US" w:eastAsia="zh-CN" w:bidi="ar"/>
              </w:rPr>
            </w:pPr>
            <w:r>
              <w:rPr>
                <w:rFonts w:hint="eastAsia" w:ascii="仿宋_GB2312" w:hAnsi="仿宋_GB2312" w:eastAsia="仿宋_GB2312" w:cs="仿宋_GB2312"/>
                <w:kern w:val="0"/>
                <w:lang w:val="en-US" w:eastAsia="zh-CN" w:bidi="ar"/>
              </w:rPr>
              <w:t>4584510.27</w:t>
            </w:r>
          </w:p>
        </w:tc>
        <w:tc>
          <w:tcPr>
            <w:tcW w:w="2178" w:type="dxa"/>
            <w:tcBorders>
              <w:tl2br w:val="nil"/>
              <w:tr2bl w:val="nil"/>
            </w:tcBorders>
            <w:vAlign w:val="top"/>
          </w:tcPr>
          <w:p w14:paraId="258CEEBF">
            <w:pPr>
              <w:pStyle w:val="72"/>
              <w:rPr>
                <w:rFonts w:hint="eastAsia" w:ascii="仿宋_GB2312" w:hAnsi="仿宋_GB2312" w:eastAsia="仿宋_GB2312" w:cs="仿宋_GB2312"/>
                <w:kern w:val="0"/>
                <w:lang w:val="en-US" w:eastAsia="zh-CN" w:bidi="ar"/>
              </w:rPr>
            </w:pPr>
            <w:r>
              <w:rPr>
                <w:rFonts w:hint="eastAsia" w:ascii="仿宋_GB2312" w:hAnsi="仿宋_GB2312" w:eastAsia="仿宋_GB2312" w:cs="仿宋_GB2312"/>
                <w:kern w:val="0"/>
                <w:lang w:val="en-US" w:eastAsia="zh-CN" w:bidi="ar"/>
              </w:rPr>
              <w:t>42491866.22</w:t>
            </w:r>
          </w:p>
        </w:tc>
      </w:tr>
      <w:tr w14:paraId="7A07D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trPr>
        <w:tc>
          <w:tcPr>
            <w:tcW w:w="726" w:type="dxa"/>
            <w:tcBorders>
              <w:tl2br w:val="nil"/>
              <w:tr2bl w:val="nil"/>
            </w:tcBorders>
            <w:vAlign w:val="bottom"/>
          </w:tcPr>
          <w:p w14:paraId="3A42B833">
            <w:pPr>
              <w:pStyle w:val="72"/>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2</w:t>
            </w:r>
          </w:p>
        </w:tc>
        <w:tc>
          <w:tcPr>
            <w:tcW w:w="2006" w:type="dxa"/>
            <w:tcBorders>
              <w:tl2br w:val="nil"/>
              <w:tr2bl w:val="nil"/>
            </w:tcBorders>
            <w:vAlign w:val="top"/>
          </w:tcPr>
          <w:p w14:paraId="2CA1577E">
            <w:pPr>
              <w:pStyle w:val="72"/>
              <w:rPr>
                <w:rFonts w:hint="eastAsia" w:ascii="仿宋_GB2312" w:hAnsi="仿宋_GB2312" w:eastAsia="仿宋_GB2312" w:cs="仿宋_GB2312"/>
                <w:kern w:val="0"/>
                <w:lang w:bidi="ar"/>
              </w:rPr>
            </w:pPr>
            <w:r>
              <w:rPr>
                <w:rFonts w:hint="eastAsia" w:ascii="仿宋_GB2312" w:hAnsi="仿宋_GB2312" w:eastAsia="仿宋_GB2312" w:cs="仿宋_GB2312"/>
                <w:kern w:val="0"/>
                <w:lang w:val="en-US" w:eastAsia="zh-CN" w:bidi="ar"/>
              </w:rPr>
              <w:t>4585010.40</w:t>
            </w:r>
          </w:p>
        </w:tc>
        <w:tc>
          <w:tcPr>
            <w:tcW w:w="2227" w:type="dxa"/>
            <w:tcBorders>
              <w:tl2br w:val="nil"/>
              <w:tr2bl w:val="nil"/>
            </w:tcBorders>
            <w:vAlign w:val="top"/>
          </w:tcPr>
          <w:p w14:paraId="44A643E1">
            <w:pPr>
              <w:pStyle w:val="72"/>
              <w:rPr>
                <w:rFonts w:hint="eastAsia" w:ascii="仿宋_GB2312" w:hAnsi="仿宋_GB2312" w:eastAsia="仿宋_GB2312" w:cs="仿宋_GB2312"/>
                <w:kern w:val="0"/>
                <w:lang w:bidi="ar"/>
              </w:rPr>
            </w:pPr>
            <w:r>
              <w:rPr>
                <w:rFonts w:hint="eastAsia" w:ascii="仿宋_GB2312" w:hAnsi="仿宋_GB2312" w:eastAsia="仿宋_GB2312" w:cs="仿宋_GB2312"/>
                <w:kern w:val="0"/>
                <w:lang w:val="en-US" w:eastAsia="zh-CN" w:bidi="ar"/>
              </w:rPr>
              <w:t>42491884.47</w:t>
            </w:r>
          </w:p>
        </w:tc>
        <w:tc>
          <w:tcPr>
            <w:tcW w:w="476" w:type="dxa"/>
            <w:tcBorders>
              <w:right w:val="single" w:color="auto" w:sz="4" w:space="0"/>
              <w:tl2br w:val="nil"/>
              <w:tr2bl w:val="nil"/>
            </w:tcBorders>
            <w:vAlign w:val="bottom"/>
          </w:tcPr>
          <w:p w14:paraId="3986F70A">
            <w:pPr>
              <w:pStyle w:val="72"/>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val="en-US" w:eastAsia="zh-CN" w:bidi="ar"/>
              </w:rPr>
              <w:t>4</w:t>
            </w:r>
          </w:p>
        </w:tc>
        <w:tc>
          <w:tcPr>
            <w:tcW w:w="1487" w:type="dxa"/>
            <w:tcBorders>
              <w:left w:val="single" w:color="auto" w:sz="4" w:space="0"/>
              <w:tl2br w:val="nil"/>
              <w:tr2bl w:val="nil"/>
            </w:tcBorders>
            <w:vAlign w:val="top"/>
          </w:tcPr>
          <w:p w14:paraId="09C00E7B">
            <w:pPr>
              <w:pStyle w:val="72"/>
              <w:rPr>
                <w:rFonts w:hint="eastAsia" w:ascii="仿宋_GB2312" w:hAnsi="仿宋_GB2312" w:eastAsia="仿宋_GB2312" w:cs="仿宋_GB2312"/>
                <w:kern w:val="0"/>
                <w:lang w:val="en-US" w:eastAsia="zh-CN" w:bidi="ar"/>
              </w:rPr>
            </w:pPr>
            <w:r>
              <w:rPr>
                <w:rFonts w:hint="eastAsia" w:ascii="仿宋_GB2312" w:hAnsi="仿宋_GB2312" w:eastAsia="仿宋_GB2312" w:cs="仿宋_GB2312"/>
                <w:kern w:val="0"/>
                <w:lang w:val="en-US" w:eastAsia="zh-CN" w:bidi="ar"/>
              </w:rPr>
              <w:t>4584528.68</w:t>
            </w:r>
          </w:p>
        </w:tc>
        <w:tc>
          <w:tcPr>
            <w:tcW w:w="2178" w:type="dxa"/>
            <w:tcBorders>
              <w:tl2br w:val="nil"/>
              <w:tr2bl w:val="nil"/>
            </w:tcBorders>
            <w:vAlign w:val="top"/>
          </w:tcPr>
          <w:p w14:paraId="27F841FA">
            <w:pPr>
              <w:pStyle w:val="72"/>
              <w:rPr>
                <w:rFonts w:hint="eastAsia" w:ascii="仿宋_GB2312" w:hAnsi="仿宋_GB2312" w:eastAsia="仿宋_GB2312" w:cs="仿宋_GB2312"/>
                <w:kern w:val="0"/>
                <w:lang w:val="en-US" w:eastAsia="zh-CN" w:bidi="ar"/>
              </w:rPr>
            </w:pPr>
            <w:r>
              <w:rPr>
                <w:rFonts w:hint="eastAsia" w:ascii="仿宋_GB2312" w:hAnsi="仿宋_GB2312" w:eastAsia="仿宋_GB2312" w:cs="仿宋_GB2312"/>
                <w:kern w:val="0"/>
                <w:lang w:val="en-US" w:eastAsia="zh-CN" w:bidi="ar"/>
              </w:rPr>
              <w:t>42491366.96</w:t>
            </w:r>
          </w:p>
        </w:tc>
      </w:tr>
      <w:tr w14:paraId="598F3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trPr>
        <w:tc>
          <w:tcPr>
            <w:tcW w:w="9100" w:type="dxa"/>
            <w:gridSpan w:val="6"/>
            <w:tcBorders>
              <w:tl2br w:val="nil"/>
              <w:tr2bl w:val="nil"/>
            </w:tcBorders>
            <w:vAlign w:val="bottom"/>
          </w:tcPr>
          <w:p w14:paraId="16230BFA">
            <w:pPr>
              <w:pStyle w:val="72"/>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开采深度：由</w:t>
            </w:r>
            <w:r>
              <w:rPr>
                <w:rFonts w:hint="eastAsia" w:ascii="仿宋_GB2312" w:hAnsi="仿宋_GB2312" w:eastAsia="仿宋_GB2312" w:cs="仿宋_GB2312"/>
                <w:kern w:val="0"/>
                <w:lang w:eastAsia="zh-CN" w:bidi="ar"/>
              </w:rPr>
              <w:t>581米</w:t>
            </w:r>
            <w:r>
              <w:rPr>
                <w:rFonts w:hint="eastAsia" w:ascii="仿宋_GB2312" w:hAnsi="仿宋_GB2312" w:eastAsia="仿宋_GB2312" w:cs="仿宋_GB2312"/>
                <w:kern w:val="0"/>
                <w:lang w:bidi="ar"/>
              </w:rPr>
              <w:t>至</w:t>
            </w:r>
            <w:r>
              <w:rPr>
                <w:rFonts w:hint="eastAsia" w:ascii="仿宋_GB2312" w:hAnsi="仿宋_GB2312" w:eastAsia="仿宋_GB2312" w:cs="仿宋_GB2312"/>
                <w:kern w:val="0"/>
                <w:lang w:eastAsia="zh-CN" w:bidi="ar"/>
              </w:rPr>
              <w:t>352米</w:t>
            </w:r>
            <w:r>
              <w:rPr>
                <w:rFonts w:hint="eastAsia" w:ascii="仿宋_GB2312" w:hAnsi="仿宋_GB2312" w:eastAsia="仿宋_GB2312" w:cs="仿宋_GB2312"/>
                <w:kern w:val="0"/>
                <w:lang w:bidi="ar"/>
              </w:rPr>
              <w:t>标高，矿区面积</w:t>
            </w:r>
            <w:r>
              <w:rPr>
                <w:rFonts w:hint="eastAsia" w:ascii="仿宋_GB2312" w:hAnsi="仿宋_GB2312" w:eastAsia="仿宋_GB2312" w:cs="仿宋_GB2312"/>
                <w:kern w:val="0"/>
                <w:lang w:eastAsia="zh-CN" w:bidi="ar"/>
              </w:rPr>
              <w:t>0.2501</w:t>
            </w:r>
            <w:r>
              <w:rPr>
                <w:rFonts w:hint="eastAsia" w:ascii="仿宋_GB2312" w:hAnsi="仿宋_GB2312" w:eastAsia="仿宋_GB2312" w:cs="仿宋_GB2312"/>
                <w:kern w:val="0"/>
                <w:lang w:bidi="ar"/>
              </w:rPr>
              <w:t>km</w:t>
            </w:r>
            <w:r>
              <w:rPr>
                <w:rFonts w:hint="eastAsia" w:ascii="仿宋_GB2312" w:hAnsi="仿宋_GB2312" w:eastAsia="仿宋_GB2312" w:cs="仿宋_GB2312"/>
                <w:kern w:val="0"/>
                <w:vertAlign w:val="superscript"/>
                <w:lang w:bidi="ar"/>
              </w:rPr>
              <w:t>2</w:t>
            </w:r>
          </w:p>
        </w:tc>
      </w:tr>
      <w:tr w14:paraId="126D2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trPr>
        <w:tc>
          <w:tcPr>
            <w:tcW w:w="9100" w:type="dxa"/>
            <w:gridSpan w:val="6"/>
            <w:tcBorders>
              <w:tl2br w:val="nil"/>
              <w:tr2bl w:val="nil"/>
            </w:tcBorders>
            <w:vAlign w:val="bottom"/>
          </w:tcPr>
          <w:p w14:paraId="23704605">
            <w:pPr>
              <w:pStyle w:val="72"/>
              <w:rPr>
                <w:rFonts w:hint="default" w:ascii="仿宋_GB2312" w:hAnsi="仿宋_GB2312" w:eastAsia="仿宋_GB2312" w:cs="仿宋_GB2312"/>
                <w:kern w:val="0"/>
                <w:lang w:val="en-US" w:eastAsia="zh-CN" w:bidi="ar"/>
              </w:rPr>
            </w:pPr>
            <w:r>
              <w:rPr>
                <w:rFonts w:hint="eastAsia" w:ascii="仿宋_GB2312" w:hAnsi="仿宋_GB2312" w:eastAsia="仿宋_GB2312" w:cs="仿宋_GB2312"/>
                <w:kern w:val="0"/>
                <w:lang w:val="en-US" w:eastAsia="zh-CN" w:bidi="ar"/>
              </w:rPr>
              <w:t>井巷工程标高：</w:t>
            </w:r>
            <w:r>
              <w:rPr>
                <w:rFonts w:hint="eastAsia" w:ascii="仿宋_GB2312" w:hAnsi="仿宋_GB2312" w:eastAsia="仿宋_GB2312" w:cs="仿宋_GB2312"/>
                <w:kern w:val="0"/>
                <w:lang w:bidi="ar"/>
              </w:rPr>
              <w:t>由</w:t>
            </w:r>
            <w:r>
              <w:rPr>
                <w:rFonts w:hint="eastAsia" w:ascii="仿宋_GB2312" w:hAnsi="仿宋_GB2312" w:eastAsia="仿宋_GB2312" w:cs="仿宋_GB2312"/>
                <w:kern w:val="0"/>
                <w:lang w:eastAsia="zh-CN" w:bidi="ar"/>
              </w:rPr>
              <w:t>58</w:t>
            </w:r>
            <w:r>
              <w:rPr>
                <w:rFonts w:hint="eastAsia" w:ascii="仿宋_GB2312" w:hAnsi="仿宋_GB2312" w:eastAsia="仿宋_GB2312" w:cs="仿宋_GB2312"/>
                <w:kern w:val="0"/>
                <w:lang w:val="en-US" w:eastAsia="zh-CN" w:bidi="ar"/>
              </w:rPr>
              <w:t>4</w:t>
            </w:r>
            <w:r>
              <w:rPr>
                <w:rFonts w:hint="eastAsia" w:ascii="仿宋_GB2312" w:hAnsi="仿宋_GB2312" w:eastAsia="仿宋_GB2312" w:cs="仿宋_GB2312"/>
                <w:kern w:val="0"/>
                <w:lang w:eastAsia="zh-CN" w:bidi="ar"/>
              </w:rPr>
              <w:t>米</w:t>
            </w:r>
            <w:r>
              <w:rPr>
                <w:rFonts w:hint="eastAsia" w:ascii="仿宋_GB2312" w:hAnsi="仿宋_GB2312" w:eastAsia="仿宋_GB2312" w:cs="仿宋_GB2312"/>
                <w:kern w:val="0"/>
                <w:lang w:bidi="ar"/>
              </w:rPr>
              <w:t>至</w:t>
            </w:r>
            <w:r>
              <w:rPr>
                <w:rFonts w:hint="eastAsia" w:ascii="仿宋_GB2312" w:hAnsi="仿宋_GB2312" w:eastAsia="仿宋_GB2312" w:cs="仿宋_GB2312"/>
                <w:kern w:val="0"/>
                <w:lang w:eastAsia="zh-CN" w:bidi="ar"/>
              </w:rPr>
              <w:t>352米</w:t>
            </w:r>
            <w:r>
              <w:rPr>
                <w:rFonts w:hint="eastAsia" w:ascii="仿宋_GB2312" w:hAnsi="仿宋_GB2312" w:eastAsia="仿宋_GB2312" w:cs="仿宋_GB2312"/>
                <w:kern w:val="0"/>
                <w:lang w:bidi="ar"/>
              </w:rPr>
              <w:t>标高</w:t>
            </w:r>
          </w:p>
        </w:tc>
      </w:tr>
    </w:tbl>
    <w:p w14:paraId="686143BC">
      <w:pPr>
        <w:widowControl/>
        <w:adjustRightInd/>
        <w:snapToGrid/>
        <w:spacing w:line="240" w:lineRule="auto"/>
        <w:ind w:firstLine="0" w:firstLineChars="0"/>
      </w:pPr>
    </w:p>
    <w:bookmarkEnd w:id="7"/>
    <w:p w14:paraId="5E7899C6">
      <w:pPr>
        <w:widowControl/>
        <w:adjustRightInd/>
        <w:snapToGrid/>
        <w:spacing w:line="240" w:lineRule="auto"/>
        <w:ind w:firstLine="0" w:firstLineChars="0"/>
      </w:pPr>
      <w:r>
        <w:br w:type="page"/>
      </w:r>
    </w:p>
    <w:p w14:paraId="76770E93">
      <w:pPr>
        <w:ind w:left="560" w:firstLine="0" w:firstLineChars="0"/>
        <w:jc w:val="center"/>
        <w:rPr>
          <w:b/>
          <w:bCs/>
          <w:sz w:val="32"/>
          <w:szCs w:val="32"/>
        </w:rPr>
      </w:pPr>
      <w:bookmarkStart w:id="8" w:name="_Toc211790720"/>
      <w:r>
        <w:rPr>
          <w:b/>
          <w:bCs/>
          <w:sz w:val="32"/>
          <w:szCs w:val="32"/>
        </w:rPr>
        <w:t>目录</w:t>
      </w:r>
    </w:p>
    <w:p w14:paraId="767BF528">
      <w:pPr>
        <w:pStyle w:val="30"/>
        <w:tabs>
          <w:tab w:val="right" w:leader="dot" w:pos="9344"/>
        </w:tabs>
        <w:ind w:firstLine="482"/>
        <w:rPr>
          <w:rFonts w:asciiTheme="minorHAnsi" w:hAnsiTheme="minorHAnsi" w:eastAsiaTheme="minorEastAsia" w:cstheme="minorBidi"/>
          <w:sz w:val="22"/>
          <w14:ligatures w14:val="standardContextual"/>
        </w:rPr>
      </w:pPr>
      <w:r>
        <w:rPr>
          <w:b/>
          <w:bCs/>
          <w:sz w:val="24"/>
        </w:rPr>
        <w:fldChar w:fldCharType="begin"/>
      </w:r>
      <w:r>
        <w:rPr>
          <w:b/>
          <w:bCs/>
          <w:sz w:val="24"/>
        </w:rPr>
        <w:instrText xml:space="preserve"> TOC \o "1-2" \h \z \u </w:instrText>
      </w:r>
      <w:r>
        <w:rPr>
          <w:b/>
          <w:bCs/>
          <w:sz w:val="24"/>
        </w:rPr>
        <w:fldChar w:fldCharType="separate"/>
      </w:r>
      <w:r>
        <w:fldChar w:fldCharType="begin"/>
      </w:r>
      <w:r>
        <w:instrText xml:space="preserve"> HYPERLINK \l "_Toc219050266" </w:instrText>
      </w:r>
      <w:r>
        <w:fldChar w:fldCharType="separate"/>
      </w:r>
      <w:r>
        <w:rPr>
          <w:rStyle w:val="51"/>
          <w:rFonts w:hint="eastAsia"/>
        </w:rPr>
        <w:t>前言</w:t>
      </w:r>
      <w:r>
        <w:rPr>
          <w:rFonts w:hint="eastAsia"/>
        </w:rPr>
        <w:tab/>
      </w:r>
      <w:r>
        <w:rPr>
          <w:rFonts w:hint="eastAsia"/>
        </w:rPr>
        <w:fldChar w:fldCharType="begin"/>
      </w:r>
      <w:r>
        <w:rPr>
          <w:rFonts w:hint="eastAsia"/>
        </w:rPr>
        <w:instrText xml:space="preserve"> </w:instrText>
      </w:r>
      <w:r>
        <w:instrText xml:space="preserve">PAGEREF _Toc219050266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0C79085B">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"_Toc219050267" </w:instrText>
      </w:r>
      <w:r>
        <w:fldChar w:fldCharType="separate"/>
      </w:r>
      <w:r>
        <w:rPr>
          <w:rStyle w:val="51"/>
          <w:rFonts w:hint="eastAsia"/>
        </w:rPr>
        <w:t>一、编制目的</w:t>
      </w:r>
      <w:r>
        <w:rPr>
          <w:rFonts w:hint="eastAsia"/>
        </w:rPr>
        <w:tab/>
      </w:r>
      <w:r>
        <w:rPr>
          <w:rFonts w:hint="eastAsia"/>
        </w:rPr>
        <w:fldChar w:fldCharType="begin"/>
      </w:r>
      <w:r>
        <w:rPr>
          <w:rFonts w:hint="eastAsia"/>
        </w:rPr>
        <w:instrText xml:space="preserve"> </w:instrText>
      </w:r>
      <w:r>
        <w:instrText xml:space="preserve">PAGEREF _Toc219050267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1A423240">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"_Toc219050268" </w:instrText>
      </w:r>
      <w:r>
        <w:fldChar w:fldCharType="separate"/>
      </w:r>
      <w:r>
        <w:rPr>
          <w:rStyle w:val="51"/>
          <w:rFonts w:hint="eastAsia"/>
        </w:rPr>
        <w:t>二、服务年限</w:t>
      </w:r>
      <w:r>
        <w:rPr>
          <w:rFonts w:hint="eastAsia"/>
        </w:rPr>
        <w:tab/>
      </w:r>
      <w:r>
        <w:rPr>
          <w:rFonts w:hint="eastAsia"/>
        </w:rPr>
        <w:fldChar w:fldCharType="begin"/>
      </w:r>
      <w:r>
        <w:rPr>
          <w:rFonts w:hint="eastAsia"/>
        </w:rPr>
        <w:instrText xml:space="preserve"> </w:instrText>
      </w:r>
      <w:r>
        <w:instrText xml:space="preserve">PAGEREF _Toc219050268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788E74A6">
      <w:pPr>
        <w:pStyle w:val="30"/>
        <w:tabs>
          <w:tab w:val="right" w:leader="dot" w:pos="9344"/>
        </w:tabs>
        <w:ind w:firstLine="560"/>
        <w:rPr>
          <w:rFonts w:asciiTheme="minorHAnsi" w:hAnsiTheme="minorHAnsi" w:eastAsiaTheme="minorEastAsia" w:cstheme="minorBidi"/>
          <w:sz w:val="22"/>
          <w14:ligatures w14:val="standardContextual"/>
        </w:rPr>
      </w:pPr>
      <w:r>
        <w:fldChar w:fldCharType="begin"/>
      </w:r>
      <w:r>
        <w:instrText xml:space="preserve"> HYPERLINK \l "_Toc219050269" </w:instrText>
      </w:r>
      <w:r>
        <w:fldChar w:fldCharType="separate"/>
      </w:r>
      <w:r>
        <w:rPr>
          <w:rStyle w:val="51"/>
          <w:rFonts w:hint="eastAsia"/>
        </w:rPr>
        <w:t>第一章矿山基本情况</w:t>
      </w:r>
      <w:r>
        <w:rPr>
          <w:rFonts w:hint="eastAsia"/>
        </w:rPr>
        <w:tab/>
      </w:r>
      <w:r>
        <w:rPr>
          <w:rFonts w:hint="eastAsia"/>
        </w:rPr>
        <w:fldChar w:fldCharType="begin"/>
      </w:r>
      <w:r>
        <w:rPr>
          <w:rFonts w:hint="eastAsia"/>
        </w:rPr>
        <w:instrText xml:space="preserve"> </w:instrText>
      </w:r>
      <w:r>
        <w:instrText xml:space="preserve">PAGEREF _Toc219050269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0C1DF560">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"_Toc219050270" </w:instrText>
      </w:r>
      <w:r>
        <w:fldChar w:fldCharType="separate"/>
      </w:r>
      <w:r>
        <w:rPr>
          <w:rStyle w:val="51"/>
          <w:rFonts w:hint="eastAsia"/>
        </w:rPr>
        <w:t>一、矿业权人基本情况</w:t>
      </w:r>
      <w:r>
        <w:rPr>
          <w:rFonts w:hint="eastAsia"/>
        </w:rPr>
        <w:tab/>
      </w:r>
      <w:r>
        <w:rPr>
          <w:rFonts w:hint="eastAsia"/>
        </w:rPr>
        <w:fldChar w:fldCharType="begin"/>
      </w:r>
      <w:r>
        <w:rPr>
          <w:rFonts w:hint="eastAsia"/>
        </w:rPr>
        <w:instrText xml:space="preserve"> </w:instrText>
      </w:r>
      <w:r>
        <w:instrText xml:space="preserve">PAGEREF _Toc219050270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745B1B18">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"_Toc219050271" </w:instrText>
      </w:r>
      <w:r>
        <w:fldChar w:fldCharType="separate"/>
      </w:r>
      <w:r>
        <w:rPr>
          <w:rStyle w:val="51"/>
          <w:rFonts w:hint="eastAsia"/>
        </w:rPr>
        <w:t>二、地理位置与区域概况</w:t>
      </w:r>
      <w:r>
        <w:rPr>
          <w:rFonts w:hint="eastAsia"/>
        </w:rPr>
        <w:tab/>
      </w:r>
      <w:r>
        <w:rPr>
          <w:rFonts w:hint="eastAsia"/>
        </w:rPr>
        <w:fldChar w:fldCharType="begin"/>
      </w:r>
      <w:r>
        <w:rPr>
          <w:rFonts w:hint="eastAsia"/>
        </w:rPr>
        <w:instrText xml:space="preserve"> </w:instrText>
      </w:r>
      <w:r>
        <w:instrText xml:space="preserve">PAGEREF _Toc219050271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662B62E6">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"_Toc219050272" </w:instrText>
      </w:r>
      <w:r>
        <w:fldChar w:fldCharType="separate"/>
      </w:r>
      <w:r>
        <w:rPr>
          <w:rStyle w:val="51"/>
          <w:rFonts w:hint="eastAsia"/>
        </w:rPr>
        <w:t>三、矿山开采历史及现状</w:t>
      </w:r>
      <w:r>
        <w:rPr>
          <w:rFonts w:hint="eastAsia"/>
        </w:rPr>
        <w:tab/>
      </w:r>
      <w:r>
        <w:rPr>
          <w:rFonts w:hint="eastAsia"/>
        </w:rPr>
        <w:fldChar w:fldCharType="begin"/>
      </w:r>
      <w:r>
        <w:rPr>
          <w:rFonts w:hint="eastAsia"/>
        </w:rPr>
        <w:instrText xml:space="preserve"> </w:instrText>
      </w:r>
      <w:r>
        <w:instrText xml:space="preserve">PAGEREF _Toc219050272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297E0313">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"_Toc219050273" </w:instrText>
      </w:r>
      <w:r>
        <w:fldChar w:fldCharType="separate"/>
      </w:r>
      <w:r>
        <w:rPr>
          <w:rStyle w:val="51"/>
          <w:rFonts w:hint="eastAsia"/>
        </w:rPr>
        <w:t>四、发利用方案概述</w:t>
      </w:r>
      <w:r>
        <w:rPr>
          <w:rFonts w:hint="eastAsia"/>
        </w:rPr>
        <w:tab/>
      </w:r>
      <w:r>
        <w:rPr>
          <w:rFonts w:hint="eastAsia"/>
        </w:rPr>
        <w:fldChar w:fldCharType="begin"/>
      </w:r>
      <w:r>
        <w:rPr>
          <w:rFonts w:hint="eastAsia"/>
        </w:rPr>
        <w:instrText xml:space="preserve"> </w:instrText>
      </w:r>
      <w:r>
        <w:instrText xml:space="preserve">PAGEREF _Toc219050273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6248AA7F">
      <w:pPr>
        <w:pStyle w:val="30"/>
        <w:tabs>
          <w:tab w:val="right" w:leader="dot" w:pos="9344"/>
        </w:tabs>
        <w:ind w:firstLine="560"/>
        <w:rPr>
          <w:rFonts w:asciiTheme="minorHAnsi" w:hAnsiTheme="minorHAnsi" w:eastAsiaTheme="minorEastAsia" w:cstheme="minorBidi"/>
          <w:sz w:val="22"/>
          <w14:ligatures w14:val="standardContextual"/>
        </w:rPr>
      </w:pPr>
      <w:r>
        <w:fldChar w:fldCharType="begin"/>
      </w:r>
      <w:r>
        <w:instrText xml:space="preserve"> HYPERLINK \l "_Toc219050274" </w:instrText>
      </w:r>
      <w:r>
        <w:fldChar w:fldCharType="separate"/>
      </w:r>
      <w:r>
        <w:rPr>
          <w:rStyle w:val="51"/>
          <w:rFonts w:hint="eastAsia"/>
        </w:rPr>
        <w:t>第二章矿区基础信息</w:t>
      </w:r>
      <w:r>
        <w:rPr>
          <w:rFonts w:hint="eastAsia"/>
        </w:rPr>
        <w:tab/>
      </w:r>
      <w:r>
        <w:rPr>
          <w:rFonts w:hint="eastAsia"/>
        </w:rPr>
        <w:fldChar w:fldCharType="begin"/>
      </w:r>
      <w:r>
        <w:rPr>
          <w:rFonts w:hint="eastAsia"/>
        </w:rPr>
        <w:instrText xml:space="preserve"> </w:instrText>
      </w:r>
      <w:r>
        <w:instrText xml:space="preserve">PAGEREF _Toc219050274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14:paraId="18C1A5A0">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"_Toc219050275" </w:instrText>
      </w:r>
      <w:r>
        <w:fldChar w:fldCharType="separate"/>
      </w:r>
      <w:r>
        <w:rPr>
          <w:rStyle w:val="51"/>
          <w:rFonts w:hint="eastAsia"/>
        </w:rPr>
        <w:t>一、矿区自然条件</w:t>
      </w:r>
      <w:r>
        <w:rPr>
          <w:rFonts w:hint="eastAsia"/>
        </w:rPr>
        <w:tab/>
      </w:r>
      <w:r>
        <w:rPr>
          <w:rFonts w:hint="eastAsia"/>
        </w:rPr>
        <w:fldChar w:fldCharType="begin"/>
      </w:r>
      <w:r>
        <w:rPr>
          <w:rFonts w:hint="eastAsia"/>
        </w:rPr>
        <w:instrText xml:space="preserve"> </w:instrText>
      </w:r>
      <w:r>
        <w:instrText xml:space="preserve">PAGEREF _Toc219050275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14:paraId="57FBBCA5">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"_Toc219050276" </w:instrText>
      </w:r>
      <w:r>
        <w:fldChar w:fldCharType="separate"/>
      </w:r>
      <w:r>
        <w:rPr>
          <w:rStyle w:val="51"/>
          <w:rFonts w:hint="eastAsia"/>
        </w:rPr>
        <w:t>二、社会经济概况</w:t>
      </w:r>
      <w:r>
        <w:rPr>
          <w:rFonts w:hint="eastAsia"/>
        </w:rPr>
        <w:tab/>
      </w:r>
      <w:r>
        <w:rPr>
          <w:rFonts w:hint="eastAsia"/>
        </w:rPr>
        <w:fldChar w:fldCharType="begin"/>
      </w:r>
      <w:r>
        <w:rPr>
          <w:rFonts w:hint="eastAsia"/>
        </w:rPr>
        <w:instrText xml:space="preserve"> </w:instrText>
      </w:r>
      <w:r>
        <w:instrText xml:space="preserve">PAGEREF _Toc219050276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6F80F7C1">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"_Toc219050277" </w:instrText>
      </w:r>
      <w:r>
        <w:fldChar w:fldCharType="separate"/>
      </w:r>
      <w:r>
        <w:rPr>
          <w:rStyle w:val="51"/>
          <w:rFonts w:hint="eastAsia"/>
        </w:rPr>
        <w:t>三、矿区地质环境背景</w:t>
      </w:r>
      <w:r>
        <w:rPr>
          <w:rFonts w:hint="eastAsia"/>
        </w:rPr>
        <w:tab/>
      </w:r>
      <w:r>
        <w:rPr>
          <w:rFonts w:hint="eastAsia"/>
        </w:rPr>
        <w:fldChar w:fldCharType="begin"/>
      </w:r>
      <w:r>
        <w:rPr>
          <w:rFonts w:hint="eastAsia"/>
        </w:rPr>
        <w:instrText xml:space="preserve"> </w:instrText>
      </w:r>
      <w:r>
        <w:instrText xml:space="preserve">PAGEREF _Toc219050277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14:paraId="41ADA3F2">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"_Toc219050278" </w:instrText>
      </w:r>
      <w:r>
        <w:fldChar w:fldCharType="separate"/>
      </w:r>
      <w:r>
        <w:rPr>
          <w:rStyle w:val="51"/>
          <w:rFonts w:hint="eastAsia"/>
        </w:rPr>
        <w:t>四、矿区土地利用现状及采矿用地审批情况</w:t>
      </w:r>
      <w:r>
        <w:rPr>
          <w:rFonts w:hint="eastAsia"/>
        </w:rPr>
        <w:tab/>
      </w:r>
      <w:r>
        <w:rPr>
          <w:rFonts w:hint="eastAsia"/>
        </w:rPr>
        <w:fldChar w:fldCharType="begin"/>
      </w:r>
      <w:r>
        <w:rPr>
          <w:rFonts w:hint="eastAsia"/>
        </w:rPr>
        <w:instrText xml:space="preserve"> </w:instrText>
      </w:r>
      <w:r>
        <w:instrText xml:space="preserve">PAGEREF _Toc219050278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3D774611">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"_Toc219050279" </w:instrText>
      </w:r>
      <w:r>
        <w:fldChar w:fldCharType="separate"/>
      </w:r>
      <w:r>
        <w:rPr>
          <w:rStyle w:val="51"/>
          <w:rFonts w:hint="eastAsia"/>
        </w:rPr>
        <w:t>五、矿区生态状况</w:t>
      </w:r>
      <w:r>
        <w:rPr>
          <w:rFonts w:hint="eastAsia"/>
        </w:rPr>
        <w:tab/>
      </w:r>
      <w:r>
        <w:rPr>
          <w:rFonts w:hint="eastAsia"/>
        </w:rPr>
        <w:fldChar w:fldCharType="begin"/>
      </w:r>
      <w:r>
        <w:rPr>
          <w:rFonts w:hint="eastAsia"/>
        </w:rPr>
        <w:instrText xml:space="preserve"> </w:instrText>
      </w:r>
      <w:r>
        <w:instrText xml:space="preserve">PAGEREF _Toc219050279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14:paraId="23C7DB23">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"_Toc219050280" </w:instrText>
      </w:r>
      <w:r>
        <w:fldChar w:fldCharType="separate"/>
      </w:r>
      <w:r>
        <w:rPr>
          <w:rStyle w:val="51"/>
          <w:rFonts w:hint="eastAsia"/>
        </w:rPr>
        <w:t>六、矿区及周边人类重大工程活动</w:t>
      </w:r>
      <w:r>
        <w:rPr>
          <w:rFonts w:hint="eastAsia"/>
        </w:rPr>
        <w:tab/>
      </w:r>
      <w:r>
        <w:rPr>
          <w:rFonts w:hint="eastAsia"/>
        </w:rPr>
        <w:fldChar w:fldCharType="begin"/>
      </w:r>
      <w:r>
        <w:rPr>
          <w:rFonts w:hint="eastAsia"/>
        </w:rPr>
        <w:instrText xml:space="preserve"> </w:instrText>
      </w:r>
      <w:r>
        <w:instrText xml:space="preserve">PAGEREF _Toc219050280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14:paraId="452E82D7">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"_Toc219050281" </w:instrText>
      </w:r>
      <w:r>
        <w:fldChar w:fldCharType="separate"/>
      </w:r>
      <w:r>
        <w:rPr>
          <w:rStyle w:val="51"/>
          <w:rFonts w:hint="eastAsia"/>
        </w:rPr>
        <w:t>七、矿区生态修复工作情况</w:t>
      </w:r>
      <w:r>
        <w:rPr>
          <w:rFonts w:hint="eastAsia"/>
        </w:rPr>
        <w:tab/>
      </w:r>
      <w:r>
        <w:rPr>
          <w:rFonts w:hint="eastAsia"/>
        </w:rPr>
        <w:fldChar w:fldCharType="begin"/>
      </w:r>
      <w:r>
        <w:rPr>
          <w:rFonts w:hint="eastAsia"/>
        </w:rPr>
        <w:instrText xml:space="preserve"> </w:instrText>
      </w:r>
      <w:r>
        <w:instrText xml:space="preserve">PAGEREF _Toc219050281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14:paraId="245E43A1">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"_Toc219050282" </w:instrText>
      </w:r>
      <w:r>
        <w:fldChar w:fldCharType="separate"/>
      </w:r>
      <w:r>
        <w:rPr>
          <w:rStyle w:val="51"/>
          <w:rFonts w:hint="eastAsia"/>
        </w:rPr>
        <w:t>八、矿区基本情况调查指标</w:t>
      </w:r>
      <w:r>
        <w:rPr>
          <w:rFonts w:hint="eastAsia"/>
        </w:rPr>
        <w:tab/>
      </w:r>
      <w:r>
        <w:rPr>
          <w:rFonts w:hint="eastAsia"/>
        </w:rPr>
        <w:fldChar w:fldCharType="begin"/>
      </w:r>
      <w:r>
        <w:rPr>
          <w:rFonts w:hint="eastAsia"/>
        </w:rPr>
        <w:instrText xml:space="preserve"> </w:instrText>
      </w:r>
      <w:r>
        <w:instrText xml:space="preserve">PAGEREF _Toc219050282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4F5542F1">
      <w:pPr>
        <w:pStyle w:val="30"/>
        <w:tabs>
          <w:tab w:val="right" w:leader="dot" w:pos="9344"/>
        </w:tabs>
        <w:ind w:firstLine="560"/>
        <w:rPr>
          <w:rFonts w:asciiTheme="minorHAnsi" w:hAnsiTheme="minorHAnsi" w:eastAsiaTheme="minorEastAsia" w:cstheme="minorBidi"/>
          <w:sz w:val="22"/>
          <w14:ligatures w14:val="standardContextual"/>
        </w:rPr>
      </w:pPr>
      <w:r>
        <w:fldChar w:fldCharType="begin"/>
      </w:r>
      <w:r>
        <w:instrText xml:space="preserve"> HYPERLINK \l "_Toc219050283" </w:instrText>
      </w:r>
      <w:r>
        <w:fldChar w:fldCharType="separate"/>
      </w:r>
      <w:r>
        <w:rPr>
          <w:rStyle w:val="51"/>
          <w:rFonts w:hint="eastAsia"/>
        </w:rPr>
        <w:t>第三章问题识别诊断及修复可行性分析</w:t>
      </w:r>
      <w:r>
        <w:rPr>
          <w:rFonts w:hint="eastAsia"/>
        </w:rPr>
        <w:tab/>
      </w:r>
      <w:r>
        <w:rPr>
          <w:rFonts w:hint="eastAsia"/>
        </w:rPr>
        <w:fldChar w:fldCharType="begin"/>
      </w:r>
      <w:r>
        <w:rPr>
          <w:rFonts w:hint="eastAsia"/>
        </w:rPr>
        <w:instrText xml:space="preserve"> </w:instrText>
      </w:r>
      <w:r>
        <w:instrText xml:space="preserve">PAGEREF _Toc219050283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14:paraId="14F5EE05">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"_Toc219050284" </w:instrText>
      </w:r>
      <w:r>
        <w:fldChar w:fldCharType="separate"/>
      </w:r>
      <w:r>
        <w:rPr>
          <w:rStyle w:val="51"/>
          <w:rFonts w:hint="eastAsia"/>
        </w:rPr>
        <w:t>一、问题识别与受损预测</w:t>
      </w:r>
      <w:r>
        <w:rPr>
          <w:rFonts w:hint="eastAsia"/>
        </w:rPr>
        <w:tab/>
      </w:r>
      <w:r>
        <w:rPr>
          <w:rFonts w:hint="eastAsia"/>
        </w:rPr>
        <w:fldChar w:fldCharType="begin"/>
      </w:r>
      <w:r>
        <w:rPr>
          <w:rFonts w:hint="eastAsia"/>
        </w:rPr>
        <w:instrText xml:space="preserve"> </w:instrText>
      </w:r>
      <w:r>
        <w:instrText xml:space="preserve">PAGEREF _Toc219050284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14:paraId="39B900D2">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"_Toc219050285" </w:instrText>
      </w:r>
      <w:r>
        <w:fldChar w:fldCharType="separate"/>
      </w:r>
      <w:r>
        <w:rPr>
          <w:rStyle w:val="51"/>
          <w:rFonts w:hint="eastAsia"/>
        </w:rPr>
        <w:t>二、生态修复可行性分析</w:t>
      </w:r>
      <w:r>
        <w:rPr>
          <w:rFonts w:hint="eastAsia"/>
        </w:rPr>
        <w:tab/>
      </w:r>
      <w:r>
        <w:rPr>
          <w:rFonts w:hint="eastAsia"/>
        </w:rPr>
        <w:fldChar w:fldCharType="begin"/>
      </w:r>
      <w:r>
        <w:rPr>
          <w:rFonts w:hint="eastAsia"/>
        </w:rPr>
        <w:instrText xml:space="preserve"> </w:instrText>
      </w:r>
      <w:r>
        <w:instrText xml:space="preserve">PAGEREF _Toc219050285 \h</w:instrText>
      </w:r>
      <w:r>
        <w:rPr>
          <w:rFonts w:hint="eastAsia"/>
        </w:rPr>
        <w:instrText xml:space="preserve"> </w:instrText>
      </w:r>
      <w:r>
        <w:rPr>
          <w:rFonts w:hint="eastAsia"/>
        </w:rPr>
        <w:fldChar w:fldCharType="separate"/>
      </w:r>
      <w:r>
        <w:t>59</w:t>
      </w:r>
      <w:r>
        <w:rPr>
          <w:rFonts w:hint="eastAsia"/>
        </w:rPr>
        <w:fldChar w:fldCharType="end"/>
      </w:r>
      <w:r>
        <w:rPr>
          <w:rFonts w:hint="eastAsia"/>
        </w:rPr>
        <w:fldChar w:fldCharType="end"/>
      </w:r>
    </w:p>
    <w:p w14:paraId="09614B50">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"_Toc219050286" </w:instrText>
      </w:r>
      <w:r>
        <w:fldChar w:fldCharType="separate"/>
      </w:r>
      <w:r>
        <w:rPr>
          <w:rStyle w:val="51"/>
          <w:rFonts w:hint="eastAsia"/>
        </w:rPr>
        <w:t>三、生态修复分区及修复时序安排</w:t>
      </w:r>
      <w:r>
        <w:rPr>
          <w:rFonts w:hint="eastAsia"/>
        </w:rPr>
        <w:tab/>
      </w:r>
      <w:r>
        <w:rPr>
          <w:rFonts w:hint="eastAsia"/>
        </w:rPr>
        <w:fldChar w:fldCharType="begin"/>
      </w:r>
      <w:r>
        <w:rPr>
          <w:rFonts w:hint="eastAsia"/>
        </w:rPr>
        <w:instrText xml:space="preserve"> </w:instrText>
      </w:r>
      <w:r>
        <w:instrText xml:space="preserve">PAGEREF _Toc219050286 \h</w:instrText>
      </w:r>
      <w:r>
        <w:rPr>
          <w:rFonts w:hint="eastAsia"/>
        </w:rPr>
        <w:instrText xml:space="preserve"> </w:instrText>
      </w:r>
      <w:r>
        <w:rPr>
          <w:rFonts w:hint="eastAsia"/>
        </w:rPr>
        <w:fldChar w:fldCharType="separate"/>
      </w:r>
      <w:r>
        <w:t>68</w:t>
      </w:r>
      <w:r>
        <w:rPr>
          <w:rFonts w:hint="eastAsia"/>
        </w:rPr>
        <w:fldChar w:fldCharType="end"/>
      </w:r>
      <w:r>
        <w:rPr>
          <w:rFonts w:hint="eastAsia"/>
        </w:rPr>
        <w:fldChar w:fldCharType="end"/>
      </w:r>
    </w:p>
    <w:p w14:paraId="7492F96D">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"_Toc219050287" </w:instrText>
      </w:r>
      <w:r>
        <w:fldChar w:fldCharType="separate"/>
      </w:r>
      <w:r>
        <w:rPr>
          <w:rStyle w:val="51"/>
          <w:rFonts w:hint="eastAsia"/>
        </w:rPr>
        <w:t>四、采矿用地与复垦修复安排</w:t>
      </w:r>
      <w:r>
        <w:rPr>
          <w:rFonts w:hint="eastAsia"/>
        </w:rPr>
        <w:tab/>
      </w:r>
      <w:r>
        <w:rPr>
          <w:rFonts w:hint="eastAsia"/>
        </w:rPr>
        <w:fldChar w:fldCharType="begin"/>
      </w:r>
      <w:r>
        <w:rPr>
          <w:rFonts w:hint="eastAsia"/>
        </w:rPr>
        <w:instrText xml:space="preserve"> </w:instrText>
      </w:r>
      <w:r>
        <w:instrText xml:space="preserve">PAGEREF _Toc219050287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14:paraId="4577C1BC">
      <w:pPr>
        <w:pStyle w:val="30"/>
        <w:tabs>
          <w:tab w:val="right" w:leader="dot" w:pos="9344"/>
        </w:tabs>
        <w:ind w:firstLine="560"/>
        <w:rPr>
          <w:rFonts w:asciiTheme="minorHAnsi" w:hAnsiTheme="minorHAnsi" w:eastAsiaTheme="minorEastAsia" w:cstheme="minorBidi"/>
          <w:sz w:val="22"/>
          <w14:ligatures w14:val="standardContextual"/>
        </w:rPr>
      </w:pPr>
      <w:r>
        <w:fldChar w:fldCharType="begin"/>
      </w:r>
      <w:r>
        <w:instrText xml:space="preserve"> HYPERLINK \l "_Toc219050288" </w:instrText>
      </w:r>
      <w:r>
        <w:fldChar w:fldCharType="separate"/>
      </w:r>
      <w:r>
        <w:rPr>
          <w:rStyle w:val="51"/>
          <w:rFonts w:hint="eastAsia"/>
        </w:rPr>
        <w:t>第四章生态修复措施与工程内容</w:t>
      </w:r>
      <w:r>
        <w:rPr>
          <w:rFonts w:hint="eastAsia"/>
        </w:rPr>
        <w:tab/>
      </w:r>
      <w:r>
        <w:rPr>
          <w:rFonts w:hint="eastAsia"/>
        </w:rPr>
        <w:fldChar w:fldCharType="begin"/>
      </w:r>
      <w:r>
        <w:rPr>
          <w:rFonts w:hint="eastAsia"/>
        </w:rPr>
        <w:instrText xml:space="preserve"> </w:instrText>
      </w:r>
      <w:r>
        <w:instrText xml:space="preserve">PAGEREF _Toc219050288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14:paraId="1E501BF2">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"_Toc219050289" </w:instrText>
      </w:r>
      <w:r>
        <w:fldChar w:fldCharType="separate"/>
      </w:r>
      <w:r>
        <w:rPr>
          <w:rStyle w:val="51"/>
          <w:rFonts w:hint="eastAsia"/>
        </w:rPr>
        <w:t>一、保护与预防控制措施</w:t>
      </w:r>
      <w:r>
        <w:rPr>
          <w:rFonts w:hint="eastAsia"/>
        </w:rPr>
        <w:tab/>
      </w:r>
      <w:r>
        <w:rPr>
          <w:rFonts w:hint="eastAsia"/>
        </w:rPr>
        <w:fldChar w:fldCharType="begin"/>
      </w:r>
      <w:r>
        <w:rPr>
          <w:rFonts w:hint="eastAsia"/>
        </w:rPr>
        <w:instrText xml:space="preserve"> </w:instrText>
      </w:r>
      <w:r>
        <w:instrText xml:space="preserve">PAGEREF _Toc219050289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14:paraId="024CD3CE">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"_Toc219050290" </w:instrText>
      </w:r>
      <w:r>
        <w:fldChar w:fldCharType="separate"/>
      </w:r>
      <w:r>
        <w:rPr>
          <w:rStyle w:val="51"/>
          <w:rFonts w:hint="eastAsia"/>
        </w:rPr>
        <w:t>二、修复措施</w:t>
      </w:r>
      <w:r>
        <w:rPr>
          <w:rFonts w:hint="eastAsia"/>
        </w:rPr>
        <w:tab/>
      </w:r>
      <w:r>
        <w:rPr>
          <w:rFonts w:hint="eastAsia"/>
        </w:rPr>
        <w:fldChar w:fldCharType="begin"/>
      </w:r>
      <w:r>
        <w:rPr>
          <w:rFonts w:hint="eastAsia"/>
        </w:rPr>
        <w:instrText xml:space="preserve"> </w:instrText>
      </w:r>
      <w:r>
        <w:instrText xml:space="preserve">PAGEREF _Toc219050290 \h</w:instrText>
      </w:r>
      <w:r>
        <w:rPr>
          <w:rFonts w:hint="eastAsia"/>
        </w:rPr>
        <w:instrText xml:space="preserve"> </w:instrText>
      </w:r>
      <w:r>
        <w:rPr>
          <w:rFonts w:hint="eastAsia"/>
        </w:rPr>
        <w:fldChar w:fldCharType="separate"/>
      </w:r>
      <w:r>
        <w:t>79</w:t>
      </w:r>
      <w:r>
        <w:rPr>
          <w:rFonts w:hint="eastAsia"/>
        </w:rPr>
        <w:fldChar w:fldCharType="end"/>
      </w:r>
      <w:r>
        <w:rPr>
          <w:rFonts w:hint="eastAsia"/>
        </w:rPr>
        <w:fldChar w:fldCharType="end"/>
      </w:r>
    </w:p>
    <w:p w14:paraId="586644D9">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"_Toc219050291" </w:instrText>
      </w:r>
      <w:r>
        <w:fldChar w:fldCharType="separate"/>
      </w:r>
      <w:r>
        <w:rPr>
          <w:rStyle w:val="51"/>
          <w:rFonts w:hint="eastAsia"/>
        </w:rPr>
        <w:t>三、工程内容</w:t>
      </w:r>
      <w:r>
        <w:rPr>
          <w:rFonts w:hint="eastAsia"/>
        </w:rPr>
        <w:tab/>
      </w:r>
      <w:r>
        <w:rPr>
          <w:rFonts w:hint="eastAsia"/>
        </w:rPr>
        <w:fldChar w:fldCharType="begin"/>
      </w:r>
      <w:r>
        <w:rPr>
          <w:rFonts w:hint="eastAsia"/>
        </w:rPr>
        <w:instrText xml:space="preserve"> </w:instrText>
      </w:r>
      <w:r>
        <w:instrText xml:space="preserve">PAGEREF _Toc219050291 \h</w:instrText>
      </w:r>
      <w:r>
        <w:rPr>
          <w:rFonts w:hint="eastAsia"/>
        </w:rPr>
        <w:instrText xml:space="preserve"> </w:instrText>
      </w:r>
      <w:r>
        <w:rPr>
          <w:rFonts w:hint="eastAsia"/>
        </w:rPr>
        <w:fldChar w:fldCharType="separate"/>
      </w:r>
      <w:r>
        <w:t>82</w:t>
      </w:r>
      <w:r>
        <w:rPr>
          <w:rFonts w:hint="eastAsia"/>
        </w:rPr>
        <w:fldChar w:fldCharType="end"/>
      </w:r>
      <w:r>
        <w:rPr>
          <w:rFonts w:hint="eastAsia"/>
        </w:rPr>
        <w:fldChar w:fldCharType="end"/>
      </w:r>
    </w:p>
    <w:p w14:paraId="666C2FD2">
      <w:pPr>
        <w:pStyle w:val="30"/>
        <w:tabs>
          <w:tab w:val="right" w:leader="dot" w:pos="9344"/>
        </w:tabs>
        <w:ind w:firstLine="560"/>
        <w:rPr>
          <w:rFonts w:asciiTheme="minorHAnsi" w:hAnsiTheme="minorHAnsi" w:eastAsiaTheme="minorEastAsia" w:cstheme="minorBidi"/>
          <w:sz w:val="22"/>
          <w14:ligatures w14:val="standardContextual"/>
        </w:rPr>
      </w:pPr>
      <w:r>
        <w:fldChar w:fldCharType="begin"/>
      </w:r>
      <w:r>
        <w:instrText xml:space="preserve"> HYPERLINK \l "_Toc219050292" </w:instrText>
      </w:r>
      <w:r>
        <w:fldChar w:fldCharType="separate"/>
      </w:r>
      <w:r>
        <w:rPr>
          <w:rStyle w:val="51"/>
          <w:rFonts w:hint="eastAsia"/>
        </w:rPr>
        <w:t>第五章监测与管护</w:t>
      </w:r>
      <w:r>
        <w:rPr>
          <w:rFonts w:hint="eastAsia"/>
        </w:rPr>
        <w:tab/>
      </w:r>
      <w:r>
        <w:rPr>
          <w:rFonts w:hint="eastAsia"/>
        </w:rPr>
        <w:fldChar w:fldCharType="begin"/>
      </w:r>
      <w:r>
        <w:rPr>
          <w:rFonts w:hint="eastAsia"/>
        </w:rPr>
        <w:instrText xml:space="preserve"> </w:instrText>
      </w:r>
      <w:r>
        <w:instrText xml:space="preserve">PAGEREF _Toc219050292 \h</w:instrText>
      </w:r>
      <w:r>
        <w:rPr>
          <w:rFonts w:hint="eastAsia"/>
        </w:rPr>
        <w:instrText xml:space="preserve"> </w:instrText>
      </w:r>
      <w:r>
        <w:rPr>
          <w:rFonts w:hint="eastAsia"/>
        </w:rPr>
        <w:fldChar w:fldCharType="separate"/>
      </w:r>
      <w:r>
        <w:t>85</w:t>
      </w:r>
      <w:r>
        <w:rPr>
          <w:rFonts w:hint="eastAsia"/>
        </w:rPr>
        <w:fldChar w:fldCharType="end"/>
      </w:r>
      <w:r>
        <w:rPr>
          <w:rFonts w:hint="eastAsia"/>
        </w:rPr>
        <w:fldChar w:fldCharType="end"/>
      </w:r>
    </w:p>
    <w:p w14:paraId="5F7366DA">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"_Toc219050293" </w:instrText>
      </w:r>
      <w:r>
        <w:fldChar w:fldCharType="separate"/>
      </w:r>
      <w:r>
        <w:rPr>
          <w:rStyle w:val="51"/>
          <w:rFonts w:hint="eastAsia"/>
        </w:rPr>
        <w:t>一、监测目标与措施</w:t>
      </w:r>
      <w:r>
        <w:rPr>
          <w:rFonts w:hint="eastAsia"/>
        </w:rPr>
        <w:tab/>
      </w:r>
      <w:r>
        <w:rPr>
          <w:rFonts w:hint="eastAsia"/>
        </w:rPr>
        <w:fldChar w:fldCharType="begin"/>
      </w:r>
      <w:r>
        <w:rPr>
          <w:rFonts w:hint="eastAsia"/>
        </w:rPr>
        <w:instrText xml:space="preserve"> </w:instrText>
      </w:r>
      <w:r>
        <w:instrText xml:space="preserve">PAGEREF _Toc219050293 \h</w:instrText>
      </w:r>
      <w:r>
        <w:rPr>
          <w:rFonts w:hint="eastAsia"/>
        </w:rPr>
        <w:instrText xml:space="preserve"> </w:instrText>
      </w:r>
      <w:r>
        <w:rPr>
          <w:rFonts w:hint="eastAsia"/>
        </w:rPr>
        <w:fldChar w:fldCharType="separate"/>
      </w:r>
      <w:r>
        <w:t>85</w:t>
      </w:r>
      <w:r>
        <w:rPr>
          <w:rFonts w:hint="eastAsia"/>
        </w:rPr>
        <w:fldChar w:fldCharType="end"/>
      </w:r>
      <w:r>
        <w:rPr>
          <w:rFonts w:hint="eastAsia"/>
        </w:rPr>
        <w:fldChar w:fldCharType="end"/>
      </w:r>
    </w:p>
    <w:p w14:paraId="693D91AF">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"_Toc219050294" </w:instrText>
      </w:r>
      <w:r>
        <w:fldChar w:fldCharType="separate"/>
      </w:r>
      <w:r>
        <w:rPr>
          <w:rStyle w:val="51"/>
          <w:rFonts w:hint="eastAsia"/>
        </w:rPr>
        <w:t>二、管护目标与措施</w:t>
      </w:r>
      <w:r>
        <w:rPr>
          <w:rFonts w:hint="eastAsia"/>
        </w:rPr>
        <w:tab/>
      </w:r>
      <w:r>
        <w:rPr>
          <w:rFonts w:hint="eastAsia"/>
        </w:rPr>
        <w:fldChar w:fldCharType="begin"/>
      </w:r>
      <w:r>
        <w:rPr>
          <w:rFonts w:hint="eastAsia"/>
        </w:rPr>
        <w:instrText xml:space="preserve"> </w:instrText>
      </w:r>
      <w:r>
        <w:instrText xml:space="preserve">PAGEREF _Toc219050294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14:paraId="7A0AD444">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"_Toc219050295" </w:instrText>
      </w:r>
      <w:r>
        <w:fldChar w:fldCharType="separate"/>
      </w:r>
      <w:r>
        <w:rPr>
          <w:rStyle w:val="51"/>
          <w:rFonts w:hint="eastAsia"/>
        </w:rPr>
        <w:t>三、工程量</w:t>
      </w:r>
      <w:r>
        <w:rPr>
          <w:rFonts w:hint="eastAsia"/>
        </w:rPr>
        <w:tab/>
      </w:r>
      <w:r>
        <w:rPr>
          <w:rFonts w:hint="eastAsia"/>
        </w:rPr>
        <w:fldChar w:fldCharType="begin"/>
      </w:r>
      <w:r>
        <w:rPr>
          <w:rFonts w:hint="eastAsia"/>
        </w:rPr>
        <w:instrText xml:space="preserve"> </w:instrText>
      </w:r>
      <w:r>
        <w:instrText xml:space="preserve">PAGEREF _Toc219050295 \h</w:instrText>
      </w:r>
      <w:r>
        <w:rPr>
          <w:rFonts w:hint="eastAsia"/>
        </w:rPr>
        <w:instrText xml:space="preserve"> </w:instrText>
      </w:r>
      <w:r>
        <w:rPr>
          <w:rFonts w:hint="eastAsia"/>
        </w:rPr>
        <w:fldChar w:fldCharType="separate"/>
      </w:r>
      <w:r>
        <w:t>89</w:t>
      </w:r>
      <w:r>
        <w:rPr>
          <w:rFonts w:hint="eastAsia"/>
        </w:rPr>
        <w:fldChar w:fldCharType="end"/>
      </w:r>
      <w:r>
        <w:rPr>
          <w:rFonts w:hint="eastAsia"/>
        </w:rPr>
        <w:fldChar w:fldCharType="end"/>
      </w:r>
    </w:p>
    <w:p w14:paraId="0C7E31E9">
      <w:pPr>
        <w:pStyle w:val="30"/>
        <w:tabs>
          <w:tab w:val="right" w:leader="dot" w:pos="9344"/>
        </w:tabs>
        <w:ind w:firstLine="560"/>
        <w:rPr>
          <w:rFonts w:asciiTheme="minorHAnsi" w:hAnsiTheme="minorHAnsi" w:eastAsiaTheme="minorEastAsia" w:cstheme="minorBidi"/>
          <w:sz w:val="22"/>
          <w14:ligatures w14:val="standardContextual"/>
        </w:rPr>
      </w:pPr>
      <w:r>
        <w:fldChar w:fldCharType="begin"/>
      </w:r>
      <w:r>
        <w:instrText xml:space="preserve"> HYPERLINK \l "_Toc219050296" </w:instrText>
      </w:r>
      <w:r>
        <w:fldChar w:fldCharType="separate"/>
      </w:r>
      <w:r>
        <w:rPr>
          <w:rStyle w:val="51"/>
          <w:rFonts w:hint="eastAsia"/>
        </w:rPr>
        <w:t>第六章工程部署与经费估算</w:t>
      </w:r>
      <w:r>
        <w:rPr>
          <w:rFonts w:hint="eastAsia"/>
        </w:rPr>
        <w:tab/>
      </w:r>
      <w:r>
        <w:rPr>
          <w:rFonts w:hint="eastAsia"/>
        </w:rPr>
        <w:fldChar w:fldCharType="begin"/>
      </w:r>
      <w:r>
        <w:rPr>
          <w:rFonts w:hint="eastAsia"/>
        </w:rPr>
        <w:instrText xml:space="preserve"> </w:instrText>
      </w:r>
      <w:r>
        <w:instrText xml:space="preserve">PAGEREF _Toc219050296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14:paraId="604D7F33">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"_Toc219050297" </w:instrText>
      </w:r>
      <w:r>
        <w:fldChar w:fldCharType="separate"/>
      </w:r>
      <w:r>
        <w:rPr>
          <w:rStyle w:val="51"/>
          <w:rFonts w:hint="eastAsia"/>
        </w:rPr>
        <w:t>一、总体部署</w:t>
      </w:r>
      <w:r>
        <w:rPr>
          <w:rFonts w:hint="eastAsia"/>
        </w:rPr>
        <w:tab/>
      </w:r>
      <w:r>
        <w:rPr>
          <w:rFonts w:hint="eastAsia"/>
        </w:rPr>
        <w:fldChar w:fldCharType="begin"/>
      </w:r>
      <w:r>
        <w:rPr>
          <w:rFonts w:hint="eastAsia"/>
        </w:rPr>
        <w:instrText xml:space="preserve"> </w:instrText>
      </w:r>
      <w:r>
        <w:instrText xml:space="preserve">PAGEREF _Toc219050297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14:paraId="1815B347">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"_Toc219050298" </w:instrText>
      </w:r>
      <w:r>
        <w:fldChar w:fldCharType="separate"/>
      </w:r>
      <w:r>
        <w:rPr>
          <w:rStyle w:val="51"/>
          <w:rFonts w:hint="eastAsia"/>
        </w:rPr>
        <w:t>二、总体经费估算</w:t>
      </w:r>
      <w:r>
        <w:rPr>
          <w:rFonts w:hint="eastAsia"/>
        </w:rPr>
        <w:tab/>
      </w:r>
      <w:r>
        <w:rPr>
          <w:rFonts w:hint="eastAsia"/>
        </w:rPr>
        <w:fldChar w:fldCharType="begin"/>
      </w:r>
      <w:r>
        <w:rPr>
          <w:rFonts w:hint="eastAsia"/>
        </w:rPr>
        <w:instrText xml:space="preserve"> </w:instrText>
      </w:r>
      <w:r>
        <w:instrText xml:space="preserve">PAGEREF _Toc219050298 \h</w:instrText>
      </w:r>
      <w:r>
        <w:rPr>
          <w:rFonts w:hint="eastAsia"/>
        </w:rPr>
        <w:instrText xml:space="preserve"> </w:instrText>
      </w:r>
      <w:r>
        <w:rPr>
          <w:rFonts w:hint="eastAsia"/>
        </w:rPr>
        <w:fldChar w:fldCharType="separate"/>
      </w:r>
      <w:r>
        <w:t>91</w:t>
      </w:r>
      <w:r>
        <w:rPr>
          <w:rFonts w:hint="eastAsia"/>
        </w:rPr>
        <w:fldChar w:fldCharType="end"/>
      </w:r>
      <w:r>
        <w:rPr>
          <w:rFonts w:hint="eastAsia"/>
        </w:rPr>
        <w:fldChar w:fldCharType="end"/>
      </w:r>
    </w:p>
    <w:p w14:paraId="138B65EA">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"_Toc219050299" </w:instrText>
      </w:r>
      <w:r>
        <w:fldChar w:fldCharType="separate"/>
      </w:r>
      <w:r>
        <w:rPr>
          <w:rStyle w:val="51"/>
          <w:rFonts w:hint="eastAsia"/>
        </w:rPr>
        <w:t>三、阶段工作任务与经费安排</w:t>
      </w:r>
      <w:r>
        <w:rPr>
          <w:rFonts w:hint="eastAsia"/>
        </w:rPr>
        <w:tab/>
      </w:r>
      <w:r>
        <w:rPr>
          <w:rFonts w:hint="eastAsia"/>
        </w:rPr>
        <w:fldChar w:fldCharType="begin"/>
      </w:r>
      <w:r>
        <w:rPr>
          <w:rFonts w:hint="eastAsia"/>
        </w:rPr>
        <w:instrText xml:space="preserve"> </w:instrText>
      </w:r>
      <w:r>
        <w:instrText xml:space="preserve">PAGEREF _Toc219050299 \h</w:instrText>
      </w:r>
      <w:r>
        <w:rPr>
          <w:rFonts w:hint="eastAsia"/>
        </w:rPr>
        <w:instrText xml:space="preserve"> </w:instrText>
      </w:r>
      <w:r>
        <w:rPr>
          <w:rFonts w:hint="eastAsia"/>
        </w:rPr>
        <w:fldChar w:fldCharType="separate"/>
      </w:r>
      <w:r>
        <w:t>106</w:t>
      </w:r>
      <w:r>
        <w:rPr>
          <w:rFonts w:hint="eastAsia"/>
        </w:rPr>
        <w:fldChar w:fldCharType="end"/>
      </w:r>
      <w:r>
        <w:rPr>
          <w:rFonts w:hint="eastAsia"/>
        </w:rPr>
        <w:fldChar w:fldCharType="end"/>
      </w:r>
    </w:p>
    <w:p w14:paraId="65D1818C">
      <w:pPr>
        <w:pStyle w:val="30"/>
        <w:tabs>
          <w:tab w:val="right" w:leader="dot" w:pos="9344"/>
        </w:tabs>
        <w:ind w:firstLine="560"/>
        <w:rPr>
          <w:rFonts w:asciiTheme="minorHAnsi" w:hAnsiTheme="minorHAnsi" w:eastAsiaTheme="minorEastAsia" w:cstheme="minorBidi"/>
          <w:sz w:val="22"/>
          <w14:ligatures w14:val="standardContextual"/>
        </w:rPr>
      </w:pPr>
      <w:r>
        <w:fldChar w:fldCharType="begin"/>
      </w:r>
      <w:r>
        <w:instrText xml:space="preserve"> HYPERLINK \l "_Toc219050300" </w:instrText>
      </w:r>
      <w:r>
        <w:fldChar w:fldCharType="separate"/>
      </w:r>
      <w:r>
        <w:rPr>
          <w:rStyle w:val="51"/>
          <w:rFonts w:hint="eastAsia"/>
        </w:rPr>
        <w:t>第七章保障措施与公众参与</w:t>
      </w:r>
      <w:r>
        <w:rPr>
          <w:rFonts w:hint="eastAsia"/>
        </w:rPr>
        <w:tab/>
      </w:r>
      <w:r>
        <w:rPr>
          <w:rFonts w:hint="eastAsia"/>
        </w:rPr>
        <w:fldChar w:fldCharType="begin"/>
      </w:r>
      <w:r>
        <w:rPr>
          <w:rFonts w:hint="eastAsia"/>
        </w:rPr>
        <w:instrText xml:space="preserve"> </w:instrText>
      </w:r>
      <w:r>
        <w:instrText xml:space="preserve">PAGEREF _Toc219050300 \h</w:instrText>
      </w:r>
      <w:r>
        <w:rPr>
          <w:rFonts w:hint="eastAsia"/>
        </w:rPr>
        <w:instrText xml:space="preserve"> </w:instrText>
      </w:r>
      <w:r>
        <w:rPr>
          <w:rFonts w:hint="eastAsia"/>
        </w:rPr>
        <w:fldChar w:fldCharType="separate"/>
      </w:r>
      <w:r>
        <w:t>109</w:t>
      </w:r>
      <w:r>
        <w:rPr>
          <w:rFonts w:hint="eastAsia"/>
        </w:rPr>
        <w:fldChar w:fldCharType="end"/>
      </w:r>
      <w:r>
        <w:rPr>
          <w:rFonts w:hint="eastAsia"/>
        </w:rPr>
        <w:fldChar w:fldCharType="end"/>
      </w:r>
    </w:p>
    <w:p w14:paraId="3163B2E6">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"_Toc219050301" </w:instrText>
      </w:r>
      <w:r>
        <w:fldChar w:fldCharType="separate"/>
      </w:r>
      <w:r>
        <w:rPr>
          <w:rStyle w:val="51"/>
          <w:rFonts w:hint="eastAsia"/>
        </w:rPr>
        <w:t>一、保障措施</w:t>
      </w:r>
      <w:r>
        <w:rPr>
          <w:rFonts w:hint="eastAsia"/>
        </w:rPr>
        <w:tab/>
      </w:r>
      <w:r>
        <w:rPr>
          <w:rFonts w:hint="eastAsia"/>
        </w:rPr>
        <w:fldChar w:fldCharType="begin"/>
      </w:r>
      <w:r>
        <w:rPr>
          <w:rFonts w:hint="eastAsia"/>
        </w:rPr>
        <w:instrText xml:space="preserve"> </w:instrText>
      </w:r>
      <w:r>
        <w:instrText xml:space="preserve">PAGEREF _Toc219050301 \h</w:instrText>
      </w:r>
      <w:r>
        <w:rPr>
          <w:rFonts w:hint="eastAsia"/>
        </w:rPr>
        <w:instrText xml:space="preserve"> </w:instrText>
      </w:r>
      <w:r>
        <w:rPr>
          <w:rFonts w:hint="eastAsia"/>
        </w:rPr>
        <w:fldChar w:fldCharType="separate"/>
      </w:r>
      <w:r>
        <w:t>109</w:t>
      </w:r>
      <w:r>
        <w:rPr>
          <w:rFonts w:hint="eastAsia"/>
        </w:rPr>
        <w:fldChar w:fldCharType="end"/>
      </w:r>
      <w:r>
        <w:rPr>
          <w:rFonts w:hint="eastAsia"/>
        </w:rPr>
        <w:fldChar w:fldCharType="end"/>
      </w:r>
    </w:p>
    <w:p w14:paraId="58D2EFA1">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"_Toc219050302" </w:instrText>
      </w:r>
      <w:r>
        <w:fldChar w:fldCharType="separate"/>
      </w:r>
      <w:r>
        <w:rPr>
          <w:rStyle w:val="51"/>
          <w:rFonts w:hint="eastAsia"/>
        </w:rPr>
        <w:t>二、公众参与</w:t>
      </w:r>
      <w:r>
        <w:rPr>
          <w:rFonts w:hint="eastAsia"/>
        </w:rPr>
        <w:tab/>
      </w:r>
      <w:r>
        <w:rPr>
          <w:rFonts w:hint="eastAsia"/>
        </w:rPr>
        <w:fldChar w:fldCharType="begin"/>
      </w:r>
      <w:r>
        <w:rPr>
          <w:rFonts w:hint="eastAsia"/>
        </w:rPr>
        <w:instrText xml:space="preserve"> </w:instrText>
      </w:r>
      <w:r>
        <w:instrText xml:space="preserve">PAGEREF _Toc219050302 \h</w:instrText>
      </w:r>
      <w:r>
        <w:rPr>
          <w:rFonts w:hint="eastAsia"/>
        </w:rPr>
        <w:instrText xml:space="preserve"> </w:instrText>
      </w:r>
      <w:r>
        <w:rPr>
          <w:rFonts w:hint="eastAsia"/>
        </w:rPr>
        <w:fldChar w:fldCharType="separate"/>
      </w:r>
      <w:r>
        <w:t>111</w:t>
      </w:r>
      <w:r>
        <w:rPr>
          <w:rFonts w:hint="eastAsia"/>
        </w:rPr>
        <w:fldChar w:fldCharType="end"/>
      </w:r>
      <w:r>
        <w:rPr>
          <w:rFonts w:hint="eastAsia"/>
        </w:rPr>
        <w:fldChar w:fldCharType="end"/>
      </w:r>
    </w:p>
    <w:p w14:paraId="2F3FD7AB">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"_Toc219050303" </w:instrText>
      </w:r>
      <w:r>
        <w:fldChar w:fldCharType="separate"/>
      </w:r>
      <w:r>
        <w:rPr>
          <w:rStyle w:val="51"/>
          <w:rFonts w:hint="eastAsia"/>
        </w:rPr>
        <w:t>三、效益分析</w:t>
      </w:r>
      <w:r>
        <w:rPr>
          <w:rFonts w:hint="eastAsia"/>
        </w:rPr>
        <w:tab/>
      </w:r>
      <w:r>
        <w:rPr>
          <w:rFonts w:hint="eastAsia"/>
        </w:rPr>
        <w:fldChar w:fldCharType="begin"/>
      </w:r>
      <w:r>
        <w:rPr>
          <w:rFonts w:hint="eastAsia"/>
        </w:rPr>
        <w:instrText xml:space="preserve"> </w:instrText>
      </w:r>
      <w:r>
        <w:instrText xml:space="preserve">PAGEREF _Toc219050303 \h</w:instrText>
      </w:r>
      <w:r>
        <w:rPr>
          <w:rFonts w:hint="eastAsia"/>
        </w:rPr>
        <w:instrText xml:space="preserve"> </w:instrText>
      </w:r>
      <w:r>
        <w:rPr>
          <w:rFonts w:hint="eastAsia"/>
        </w:rPr>
        <w:fldChar w:fldCharType="separate"/>
      </w:r>
      <w:r>
        <w:t>111</w:t>
      </w:r>
      <w:r>
        <w:rPr>
          <w:rFonts w:hint="eastAsia"/>
        </w:rPr>
        <w:fldChar w:fldCharType="end"/>
      </w:r>
      <w:r>
        <w:rPr>
          <w:rFonts w:hint="eastAsia"/>
        </w:rPr>
        <w:fldChar w:fldCharType="end"/>
      </w:r>
    </w:p>
    <w:p w14:paraId="3F418F57">
      <w:pPr>
        <w:pStyle w:val="30"/>
        <w:tabs>
          <w:tab w:val="right" w:leader="dot" w:pos="9344"/>
        </w:tabs>
        <w:ind w:firstLine="560"/>
        <w:rPr>
          <w:rFonts w:asciiTheme="minorHAnsi" w:hAnsiTheme="minorHAnsi" w:eastAsiaTheme="minorEastAsia" w:cstheme="minorBidi"/>
          <w:sz w:val="22"/>
          <w14:ligatures w14:val="standardContextual"/>
        </w:rPr>
      </w:pPr>
      <w:r>
        <w:fldChar w:fldCharType="begin"/>
      </w:r>
      <w:r>
        <w:instrText xml:space="preserve"> HYPERLINK \l "_Toc219050304" </w:instrText>
      </w:r>
      <w:r>
        <w:fldChar w:fldCharType="separate"/>
      </w:r>
      <w:r>
        <w:rPr>
          <w:rStyle w:val="51"/>
          <w:rFonts w:hint="eastAsia"/>
        </w:rPr>
        <w:t>第八章结论</w:t>
      </w:r>
      <w:r>
        <w:rPr>
          <w:rFonts w:hint="eastAsia"/>
        </w:rPr>
        <w:tab/>
      </w:r>
      <w:r>
        <w:rPr>
          <w:rFonts w:hint="eastAsia"/>
        </w:rPr>
        <w:fldChar w:fldCharType="begin"/>
      </w:r>
      <w:r>
        <w:rPr>
          <w:rFonts w:hint="eastAsia"/>
        </w:rPr>
        <w:instrText xml:space="preserve"> </w:instrText>
      </w:r>
      <w:r>
        <w:instrText xml:space="preserve">PAGEREF _Toc219050304 \h</w:instrText>
      </w:r>
      <w:r>
        <w:rPr>
          <w:rFonts w:hint="eastAsia"/>
        </w:rPr>
        <w:instrText xml:space="preserve"> </w:instrText>
      </w:r>
      <w:r>
        <w:rPr>
          <w:rFonts w:hint="eastAsia"/>
        </w:rPr>
        <w:fldChar w:fldCharType="separate"/>
      </w:r>
      <w:r>
        <w:t>113</w:t>
      </w:r>
      <w:r>
        <w:rPr>
          <w:rFonts w:hint="eastAsia"/>
        </w:rPr>
        <w:fldChar w:fldCharType="end"/>
      </w:r>
      <w:r>
        <w:rPr>
          <w:rFonts w:hint="eastAsia"/>
        </w:rPr>
        <w:fldChar w:fldCharType="end"/>
      </w:r>
    </w:p>
    <w:p w14:paraId="5124DCBD">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"_Toc219050305" </w:instrText>
      </w:r>
      <w:r>
        <w:fldChar w:fldCharType="separate"/>
      </w:r>
      <w:r>
        <w:rPr>
          <w:rStyle w:val="51"/>
          <w:rFonts w:hint="eastAsia"/>
        </w:rPr>
        <w:t>一、结论</w:t>
      </w:r>
      <w:r>
        <w:rPr>
          <w:rFonts w:hint="eastAsia"/>
        </w:rPr>
        <w:tab/>
      </w:r>
      <w:r>
        <w:rPr>
          <w:rFonts w:hint="eastAsia"/>
        </w:rPr>
        <w:fldChar w:fldCharType="begin"/>
      </w:r>
      <w:r>
        <w:rPr>
          <w:rFonts w:hint="eastAsia"/>
        </w:rPr>
        <w:instrText xml:space="preserve"> </w:instrText>
      </w:r>
      <w:r>
        <w:instrText xml:space="preserve">PAGEREF _Toc219050305 \h</w:instrText>
      </w:r>
      <w:r>
        <w:rPr>
          <w:rFonts w:hint="eastAsia"/>
        </w:rPr>
        <w:instrText xml:space="preserve"> </w:instrText>
      </w:r>
      <w:r>
        <w:rPr>
          <w:rFonts w:hint="eastAsia"/>
        </w:rPr>
        <w:fldChar w:fldCharType="separate"/>
      </w:r>
      <w:r>
        <w:t>113</w:t>
      </w:r>
      <w:r>
        <w:rPr>
          <w:rFonts w:hint="eastAsia"/>
        </w:rPr>
        <w:fldChar w:fldCharType="end"/>
      </w:r>
      <w:r>
        <w:rPr>
          <w:rFonts w:hint="eastAsia"/>
        </w:rPr>
        <w:fldChar w:fldCharType="end"/>
      </w:r>
    </w:p>
    <w:p w14:paraId="0E351A3A">
      <w:pPr>
        <w:pStyle w:val="35"/>
        <w:tabs>
          <w:tab w:val="right" w:leader="dot" w:pos="9344"/>
        </w:tabs>
        <w:ind w:left="560" w:firstLine="560"/>
        <w:rPr>
          <w:rFonts w:asciiTheme="minorHAnsi" w:hAnsiTheme="minorHAnsi" w:eastAsiaTheme="minorEastAsia" w:cstheme="minorBidi"/>
          <w:sz w:val="22"/>
          <w14:ligatures w14:val="standardContextual"/>
        </w:rPr>
      </w:pPr>
      <w:r>
        <w:fldChar w:fldCharType="begin"/>
      </w:r>
      <w:r>
        <w:instrText xml:space="preserve"> HYPERLINK \l "_Toc219050306" </w:instrText>
      </w:r>
      <w:r>
        <w:fldChar w:fldCharType="separate"/>
      </w:r>
      <w:r>
        <w:rPr>
          <w:rStyle w:val="51"/>
          <w:rFonts w:hint="eastAsia"/>
        </w:rPr>
        <w:t>二、建议</w:t>
      </w:r>
      <w:r>
        <w:rPr>
          <w:rFonts w:hint="eastAsia"/>
        </w:rPr>
        <w:tab/>
      </w:r>
      <w:r>
        <w:rPr>
          <w:rFonts w:hint="eastAsia"/>
        </w:rPr>
        <w:fldChar w:fldCharType="begin"/>
      </w:r>
      <w:r>
        <w:rPr>
          <w:rFonts w:hint="eastAsia"/>
        </w:rPr>
        <w:instrText xml:space="preserve"> </w:instrText>
      </w:r>
      <w:r>
        <w:instrText xml:space="preserve">PAGEREF _Toc219050306 \h</w:instrText>
      </w:r>
      <w:r>
        <w:rPr>
          <w:rFonts w:hint="eastAsia"/>
        </w:rPr>
        <w:instrText xml:space="preserve"> </w:instrText>
      </w:r>
      <w:r>
        <w:rPr>
          <w:rFonts w:hint="eastAsia"/>
        </w:rPr>
        <w:fldChar w:fldCharType="separate"/>
      </w:r>
      <w:r>
        <w:t>114</w:t>
      </w:r>
      <w:r>
        <w:rPr>
          <w:rFonts w:hint="eastAsia"/>
        </w:rPr>
        <w:fldChar w:fldCharType="end"/>
      </w:r>
      <w:r>
        <w:rPr>
          <w:rFonts w:hint="eastAsia"/>
        </w:rPr>
        <w:fldChar w:fldCharType="end"/>
      </w:r>
    </w:p>
    <w:p w14:paraId="3E2BAE8B">
      <w:pPr>
        <w:ind w:left="560" w:firstLine="0" w:firstLineChars="0"/>
        <w:jc w:val="center"/>
        <w:rPr>
          <w:b/>
          <w:bCs/>
          <w:sz w:val="32"/>
          <w:szCs w:val="32"/>
        </w:rPr>
        <w:sectPr>
          <w:pgSz w:w="11906" w:h="16838"/>
          <w:pgMar w:top="1134" w:right="1134" w:bottom="1134" w:left="1418" w:header="851" w:footer="992" w:gutter="0"/>
          <w:cols w:space="425" w:num="1"/>
          <w:docGrid w:type="linesAndChars" w:linePitch="312" w:charSpace="0"/>
        </w:sectPr>
      </w:pPr>
      <w:r>
        <w:rPr>
          <w:b/>
          <w:bCs/>
          <w:sz w:val="24"/>
        </w:rPr>
        <w:fldChar w:fldCharType="end"/>
      </w:r>
    </w:p>
    <w:p w14:paraId="4686E926">
      <w:pPr>
        <w:ind w:firstLine="482"/>
        <w:rPr>
          <w:rFonts w:hint="eastAsia" w:ascii="宋体" w:hAnsi="宋体" w:cs="宋体"/>
          <w:sz w:val="24"/>
        </w:rPr>
      </w:pPr>
      <w:bookmarkStart w:id="9" w:name="_Toc219050266"/>
      <w:bookmarkStart w:id="10" w:name="_Toc215692428"/>
      <w:r>
        <w:rPr>
          <w:rFonts w:hint="eastAsia" w:ascii="宋体" w:hAnsi="宋体" w:cs="宋体"/>
          <w:b/>
          <w:bCs/>
          <w:sz w:val="24"/>
        </w:rPr>
        <w:t>附图</w:t>
      </w:r>
    </w:p>
    <w:p w14:paraId="7744A0A2">
      <w:pPr>
        <w:ind w:firstLine="480"/>
        <w:rPr>
          <w:rFonts w:hint="eastAsia" w:ascii="宋体" w:hAnsi="宋体" w:eastAsia="宋体" w:cs="宋体"/>
          <w:sz w:val="24"/>
          <w:lang w:eastAsia="zh-CN"/>
        </w:rPr>
      </w:pPr>
      <w:r>
        <w:rPr>
          <w:rFonts w:hint="eastAsia" w:ascii="宋体" w:hAnsi="宋体" w:cs="宋体"/>
          <w:sz w:val="24"/>
        </w:rPr>
        <w:t>附图1</w:t>
      </w:r>
      <w:r>
        <w:rPr>
          <w:rFonts w:hint="eastAsia" w:ascii="宋体" w:hAnsi="宋体" w:cs="宋体"/>
          <w:sz w:val="24"/>
          <w:lang w:eastAsia="zh-CN"/>
        </w:rPr>
        <w:t>集安市中道矿业有限公司集安市清河镇二道滑石矿</w:t>
      </w:r>
    </w:p>
    <w:p w14:paraId="40AB1F56">
      <w:pPr>
        <w:ind w:firstLine="3840" w:firstLineChars="1600"/>
        <w:rPr>
          <w:rFonts w:hint="eastAsia" w:ascii="宋体" w:hAnsi="宋体" w:cs="宋体"/>
          <w:sz w:val="24"/>
        </w:rPr>
      </w:pPr>
      <w:r>
        <w:rPr>
          <w:rFonts w:hint="eastAsia" w:ascii="宋体" w:hAnsi="宋体" w:cs="宋体"/>
          <w:sz w:val="24"/>
        </w:rPr>
        <w:t>土地利用现状图</w:t>
      </w:r>
    </w:p>
    <w:p w14:paraId="2CE38FE7">
      <w:pPr>
        <w:ind w:firstLine="480"/>
        <w:rPr>
          <w:rFonts w:hint="eastAsia" w:ascii="宋体" w:hAnsi="宋体" w:eastAsia="宋体" w:cs="宋体"/>
          <w:sz w:val="24"/>
          <w:lang w:eastAsia="zh-CN"/>
        </w:rPr>
      </w:pPr>
      <w:r>
        <w:rPr>
          <w:rFonts w:hint="eastAsia" w:ascii="宋体" w:hAnsi="宋体" w:cs="宋体"/>
          <w:sz w:val="24"/>
        </w:rPr>
        <w:t>附图2</w:t>
      </w:r>
      <w:r>
        <w:rPr>
          <w:rFonts w:hint="eastAsia" w:ascii="宋体" w:hAnsi="宋体" w:cs="宋体"/>
          <w:sz w:val="24"/>
          <w:lang w:eastAsia="zh-CN"/>
        </w:rPr>
        <w:t>集安市中道矿业有限公司集安市清河镇二道滑石矿</w:t>
      </w:r>
    </w:p>
    <w:p w14:paraId="7FDDF97C">
      <w:pPr>
        <w:ind w:firstLine="3360" w:firstLineChars="1400"/>
        <w:rPr>
          <w:rFonts w:hint="eastAsia" w:ascii="宋体" w:hAnsi="宋体" w:cs="宋体"/>
          <w:sz w:val="24"/>
        </w:rPr>
      </w:pPr>
      <w:r>
        <w:rPr>
          <w:rFonts w:hint="eastAsia" w:ascii="宋体" w:hAnsi="宋体" w:cs="宋体"/>
          <w:sz w:val="24"/>
        </w:rPr>
        <w:t>矿山地质环境问题现状图</w:t>
      </w:r>
    </w:p>
    <w:p w14:paraId="76FD09E5">
      <w:pPr>
        <w:ind w:firstLine="480"/>
        <w:rPr>
          <w:rFonts w:hint="eastAsia" w:ascii="宋体" w:hAnsi="宋体" w:eastAsia="宋体" w:cs="宋体"/>
          <w:sz w:val="24"/>
          <w:lang w:eastAsia="zh-CN"/>
        </w:rPr>
      </w:pPr>
      <w:r>
        <w:rPr>
          <w:rFonts w:hint="eastAsia" w:ascii="宋体" w:hAnsi="宋体" w:cs="宋体"/>
          <w:sz w:val="24"/>
        </w:rPr>
        <w:t>附图3</w:t>
      </w:r>
      <w:r>
        <w:rPr>
          <w:rFonts w:hint="eastAsia" w:ascii="宋体" w:hAnsi="宋体" w:cs="宋体"/>
          <w:sz w:val="24"/>
          <w:lang w:eastAsia="zh-CN"/>
        </w:rPr>
        <w:t>集安市中道矿业有限公司集安市清河镇二道滑石矿</w:t>
      </w:r>
    </w:p>
    <w:p w14:paraId="01B902B0">
      <w:pPr>
        <w:ind w:firstLine="3840" w:firstLineChars="1600"/>
        <w:rPr>
          <w:rFonts w:hint="eastAsia" w:ascii="宋体" w:hAnsi="宋体" w:cs="宋体"/>
          <w:sz w:val="24"/>
        </w:rPr>
      </w:pPr>
      <w:r>
        <w:rPr>
          <w:rFonts w:hint="eastAsia" w:ascii="宋体" w:hAnsi="宋体" w:cs="宋体"/>
          <w:sz w:val="24"/>
        </w:rPr>
        <w:t>土地损毁现状图</w:t>
      </w:r>
    </w:p>
    <w:p w14:paraId="753BCB82">
      <w:pPr>
        <w:ind w:firstLine="480"/>
        <w:rPr>
          <w:rFonts w:hint="eastAsia" w:ascii="宋体" w:hAnsi="宋体" w:eastAsia="宋体" w:cs="宋体"/>
          <w:sz w:val="24"/>
          <w:lang w:eastAsia="zh-CN"/>
        </w:rPr>
      </w:pPr>
      <w:r>
        <w:rPr>
          <w:rFonts w:hint="eastAsia" w:ascii="宋体" w:hAnsi="宋体" w:cs="宋体"/>
          <w:sz w:val="24"/>
        </w:rPr>
        <w:t>附图4</w:t>
      </w:r>
      <w:r>
        <w:rPr>
          <w:rFonts w:hint="eastAsia" w:ascii="宋体" w:hAnsi="宋体" w:cs="宋体"/>
          <w:sz w:val="24"/>
          <w:lang w:eastAsia="zh-CN"/>
        </w:rPr>
        <w:t>集安市中道矿业有限公司集安市清河镇二道滑石矿</w:t>
      </w:r>
    </w:p>
    <w:p w14:paraId="31A8B823">
      <w:pPr>
        <w:ind w:firstLine="3360" w:firstLineChars="1400"/>
        <w:rPr>
          <w:rFonts w:hint="eastAsia" w:ascii="宋体" w:hAnsi="宋体" w:cs="宋体"/>
          <w:sz w:val="24"/>
        </w:rPr>
      </w:pPr>
      <w:r>
        <w:rPr>
          <w:rFonts w:hint="eastAsia" w:ascii="宋体" w:hAnsi="宋体" w:cs="宋体"/>
          <w:sz w:val="24"/>
        </w:rPr>
        <w:t>矿山地质环境问题预测图</w:t>
      </w:r>
    </w:p>
    <w:p w14:paraId="69EFAE78">
      <w:pPr>
        <w:ind w:firstLine="480"/>
        <w:rPr>
          <w:rFonts w:hint="eastAsia" w:ascii="宋体" w:hAnsi="宋体" w:eastAsia="宋体" w:cs="宋体"/>
          <w:sz w:val="24"/>
          <w:lang w:eastAsia="zh-CN"/>
        </w:rPr>
      </w:pPr>
      <w:r>
        <w:rPr>
          <w:rFonts w:hint="eastAsia" w:ascii="宋体" w:hAnsi="宋体" w:cs="宋体"/>
          <w:sz w:val="24"/>
        </w:rPr>
        <w:t>附图5</w:t>
      </w:r>
      <w:r>
        <w:rPr>
          <w:rFonts w:hint="eastAsia" w:ascii="宋体" w:hAnsi="宋体" w:cs="宋体"/>
          <w:sz w:val="24"/>
          <w:lang w:eastAsia="zh-CN"/>
        </w:rPr>
        <w:t>集安市中道矿业有限公司集安市清河镇二道滑石矿</w:t>
      </w:r>
    </w:p>
    <w:p w14:paraId="30ACD1E9">
      <w:pPr>
        <w:ind w:firstLine="3600" w:firstLineChars="1500"/>
        <w:rPr>
          <w:rFonts w:hint="eastAsia" w:ascii="宋体" w:hAnsi="宋体" w:cs="宋体"/>
          <w:sz w:val="24"/>
        </w:rPr>
      </w:pPr>
      <w:r>
        <w:rPr>
          <w:rFonts w:hint="eastAsia" w:ascii="宋体" w:hAnsi="宋体" w:cs="宋体"/>
          <w:sz w:val="24"/>
        </w:rPr>
        <w:t>土地损毁预测图</w:t>
      </w:r>
    </w:p>
    <w:p w14:paraId="7C550A54">
      <w:pPr>
        <w:ind w:firstLine="480"/>
        <w:rPr>
          <w:rFonts w:hint="eastAsia" w:ascii="宋体" w:hAnsi="宋体" w:cs="宋体"/>
          <w:sz w:val="24"/>
        </w:rPr>
      </w:pPr>
      <w:r>
        <w:rPr>
          <w:rFonts w:hint="eastAsia" w:ascii="宋体" w:hAnsi="宋体" w:cs="宋体"/>
          <w:sz w:val="24"/>
        </w:rPr>
        <w:t>附图6</w:t>
      </w:r>
      <w:r>
        <w:rPr>
          <w:rFonts w:hint="eastAsia" w:ascii="宋体" w:hAnsi="宋体" w:cs="宋体"/>
          <w:sz w:val="24"/>
          <w:lang w:eastAsia="zh-CN"/>
        </w:rPr>
        <w:t>集安市中道矿业有限公司集安市清河镇二道滑石矿</w:t>
      </w:r>
      <w:r>
        <w:rPr>
          <w:rFonts w:hint="eastAsia" w:ascii="宋体" w:hAnsi="宋体" w:cs="宋体"/>
          <w:sz w:val="24"/>
        </w:rPr>
        <w:t>矿区</w:t>
      </w:r>
    </w:p>
    <w:p w14:paraId="70FDB527">
      <w:pPr>
        <w:ind w:firstLine="3600" w:firstLineChars="1500"/>
        <w:rPr>
          <w:rFonts w:hint="eastAsia" w:ascii="宋体" w:hAnsi="宋体" w:cs="宋体"/>
          <w:sz w:val="24"/>
        </w:rPr>
      </w:pPr>
      <w:r>
        <w:rPr>
          <w:rFonts w:hint="eastAsia" w:ascii="宋体" w:hAnsi="宋体" w:cs="宋体"/>
          <w:sz w:val="24"/>
        </w:rPr>
        <w:t>生态修复工程部署图</w:t>
      </w:r>
    </w:p>
    <w:p w14:paraId="11D1B18C">
      <w:pPr>
        <w:ind w:firstLine="480"/>
        <w:rPr>
          <w:rFonts w:hint="eastAsia" w:ascii="宋体" w:hAnsi="宋体" w:cs="宋体"/>
          <w:sz w:val="24"/>
        </w:rPr>
      </w:pPr>
      <w:r>
        <w:rPr>
          <w:rFonts w:hint="eastAsia" w:ascii="宋体" w:hAnsi="宋体" w:cs="宋体"/>
          <w:sz w:val="24"/>
        </w:rPr>
        <w:t>附图</w:t>
      </w:r>
      <w:r>
        <w:rPr>
          <w:rFonts w:hint="eastAsia" w:ascii="宋体" w:hAnsi="宋体" w:cs="宋体"/>
          <w:sz w:val="24"/>
          <w:lang w:val="en-US" w:eastAsia="zh-CN"/>
        </w:rPr>
        <w:t>7</w:t>
      </w:r>
      <w:r>
        <w:rPr>
          <w:rFonts w:hint="eastAsia" w:ascii="宋体" w:hAnsi="宋体" w:cs="宋体"/>
          <w:sz w:val="24"/>
          <w:lang w:eastAsia="zh-CN"/>
        </w:rPr>
        <w:t>集安市中道矿业有限公司集安市清河镇二道滑石矿</w:t>
      </w:r>
      <w:r>
        <w:rPr>
          <w:rFonts w:hint="eastAsia" w:ascii="宋体" w:hAnsi="宋体" w:cs="宋体"/>
          <w:sz w:val="24"/>
        </w:rPr>
        <w:t>矿区</w:t>
      </w:r>
    </w:p>
    <w:p w14:paraId="563C6E04">
      <w:pPr>
        <w:ind w:firstLine="3600" w:firstLineChars="1500"/>
        <w:rPr>
          <w:rFonts w:hint="eastAsia" w:ascii="宋体" w:hAnsi="宋体" w:cs="宋体"/>
          <w:sz w:val="24"/>
          <w:lang w:val="en-US" w:eastAsia="zh-CN"/>
        </w:rPr>
      </w:pPr>
      <w:r>
        <w:rPr>
          <w:rFonts w:hint="eastAsia" w:ascii="宋体" w:hAnsi="宋体" w:cs="宋体"/>
          <w:sz w:val="24"/>
          <w:lang w:val="en-US" w:eastAsia="zh-CN"/>
        </w:rPr>
        <w:t>地貌地质图</w:t>
      </w:r>
    </w:p>
    <w:p w14:paraId="29389F15">
      <w:pPr>
        <w:ind w:firstLine="480"/>
        <w:rPr>
          <w:rFonts w:hint="eastAsia" w:ascii="宋体" w:hAnsi="宋体" w:cs="宋体"/>
          <w:sz w:val="24"/>
        </w:rPr>
      </w:pPr>
      <w:r>
        <w:rPr>
          <w:rFonts w:hint="eastAsia" w:ascii="宋体" w:hAnsi="宋体" w:cs="宋体"/>
          <w:sz w:val="24"/>
        </w:rPr>
        <w:t>附图</w:t>
      </w:r>
      <w:r>
        <w:rPr>
          <w:rFonts w:hint="eastAsia" w:ascii="宋体" w:hAnsi="宋体" w:cs="宋体"/>
          <w:sz w:val="24"/>
          <w:lang w:val="en-US" w:eastAsia="zh-CN"/>
        </w:rPr>
        <w:t>8</w:t>
      </w:r>
      <w:r>
        <w:rPr>
          <w:rFonts w:hint="eastAsia" w:ascii="宋体" w:hAnsi="宋体" w:cs="宋体"/>
          <w:sz w:val="24"/>
          <w:lang w:eastAsia="zh-CN"/>
        </w:rPr>
        <w:t>集安市中道矿业有限公司集安市清河镇二道滑石矿</w:t>
      </w:r>
      <w:r>
        <w:rPr>
          <w:rFonts w:hint="eastAsia" w:ascii="宋体" w:hAnsi="宋体" w:cs="宋体"/>
          <w:sz w:val="24"/>
        </w:rPr>
        <w:t>矿区</w:t>
      </w:r>
    </w:p>
    <w:p w14:paraId="2F47F966">
      <w:pPr>
        <w:ind w:firstLine="3600" w:firstLineChars="1500"/>
        <w:rPr>
          <w:rFonts w:hint="eastAsia" w:ascii="宋体" w:hAnsi="宋体" w:cs="宋体"/>
          <w:sz w:val="24"/>
        </w:rPr>
      </w:pPr>
      <w:r>
        <w:rPr>
          <w:rFonts w:hint="eastAsia" w:ascii="宋体" w:hAnsi="宋体" w:cs="宋体"/>
          <w:sz w:val="24"/>
          <w:lang w:val="en-US" w:eastAsia="zh-CN"/>
        </w:rPr>
        <w:t>土地利用现状图</w:t>
      </w:r>
      <w:r>
        <w:rPr>
          <w:rFonts w:hint="eastAsia" w:ascii="宋体" w:hAnsi="宋体" w:cs="宋体"/>
          <w:sz w:val="24"/>
          <w:lang w:val="en-US" w:eastAsia="zh-CN"/>
        </w:rPr>
        <w:br w:type="textWrapping"/>
      </w:r>
      <w:r>
        <w:rPr>
          <w:rFonts w:hint="eastAsia" w:ascii="宋体" w:hAnsi="宋体" w:cs="宋体"/>
          <w:b/>
          <w:bCs/>
          <w:sz w:val="24"/>
        </w:rPr>
        <w:t>附件</w:t>
      </w:r>
    </w:p>
    <w:p w14:paraId="7737915F">
      <w:pPr>
        <w:pStyle w:val="18"/>
        <w:spacing w:line="360" w:lineRule="auto"/>
        <w:ind w:firstLine="480"/>
        <w:rPr>
          <w:rFonts w:hint="eastAsia" w:ascii="宋体" w:hAnsi="宋体" w:cs="宋体"/>
          <w:sz w:val="24"/>
          <w:szCs w:val="24"/>
        </w:rPr>
      </w:pPr>
      <w:r>
        <w:rPr>
          <w:rFonts w:hint="eastAsia" w:ascii="宋体" w:hAnsi="宋体" w:cs="宋体"/>
          <w:sz w:val="24"/>
          <w:szCs w:val="24"/>
        </w:rPr>
        <w:t>1.公众参与意见</w:t>
      </w:r>
    </w:p>
    <w:p w14:paraId="32F3E81A">
      <w:pPr>
        <w:pStyle w:val="18"/>
        <w:spacing w:line="360" w:lineRule="auto"/>
        <w:ind w:firstLine="480"/>
        <w:rPr>
          <w:rFonts w:hint="eastAsia" w:ascii="宋体" w:hAnsi="宋体" w:cs="宋体"/>
          <w:sz w:val="24"/>
          <w:szCs w:val="24"/>
        </w:rPr>
      </w:pPr>
      <w:r>
        <w:rPr>
          <w:rFonts w:hint="eastAsia" w:ascii="宋体" w:hAnsi="宋体" w:cs="宋体"/>
          <w:sz w:val="24"/>
          <w:szCs w:val="24"/>
        </w:rPr>
        <w:t>2.委托书</w:t>
      </w:r>
    </w:p>
    <w:p w14:paraId="39103F83">
      <w:pPr>
        <w:pStyle w:val="18"/>
        <w:spacing w:line="360" w:lineRule="auto"/>
        <w:ind w:firstLine="480"/>
        <w:rPr>
          <w:rFonts w:hint="eastAsia" w:ascii="宋体" w:hAnsi="宋体" w:cs="宋体"/>
          <w:sz w:val="24"/>
          <w:szCs w:val="24"/>
        </w:rPr>
      </w:pPr>
      <w:r>
        <w:rPr>
          <w:rFonts w:hint="eastAsia" w:ascii="宋体" w:hAnsi="宋体" w:cs="宋体"/>
          <w:sz w:val="24"/>
          <w:szCs w:val="24"/>
        </w:rPr>
        <w:t>3.采矿许可证</w:t>
      </w:r>
    </w:p>
    <w:p w14:paraId="4169EEA0">
      <w:pPr>
        <w:pStyle w:val="18"/>
        <w:spacing w:line="360" w:lineRule="auto"/>
        <w:ind w:firstLine="480"/>
        <w:rPr>
          <w:rFonts w:hint="eastAsia" w:ascii="宋体" w:hAnsi="宋体" w:cs="宋体"/>
          <w:sz w:val="24"/>
          <w:szCs w:val="24"/>
        </w:rPr>
      </w:pPr>
      <w:r>
        <w:rPr>
          <w:rFonts w:hint="eastAsia" w:ascii="宋体" w:hAnsi="宋体" w:cs="宋体"/>
          <w:sz w:val="24"/>
          <w:szCs w:val="24"/>
        </w:rPr>
        <w:t>4.预存基金承诺</w:t>
      </w:r>
    </w:p>
    <w:p w14:paraId="6791AC71">
      <w:pPr>
        <w:pStyle w:val="18"/>
        <w:spacing w:line="360" w:lineRule="auto"/>
        <w:ind w:firstLine="480"/>
        <w:rPr>
          <w:rFonts w:hint="eastAsia" w:ascii="宋体" w:hAnsi="宋体" w:cs="宋体"/>
          <w:sz w:val="24"/>
          <w:szCs w:val="24"/>
        </w:rPr>
      </w:pPr>
      <w:r>
        <w:rPr>
          <w:rFonts w:hint="eastAsia" w:ascii="宋体" w:hAnsi="宋体" w:cs="宋体"/>
          <w:sz w:val="24"/>
          <w:szCs w:val="24"/>
        </w:rPr>
        <w:t>5.项目单位承诺书</w:t>
      </w:r>
    </w:p>
    <w:p w14:paraId="5A91535A">
      <w:pPr>
        <w:pStyle w:val="18"/>
        <w:spacing w:line="360" w:lineRule="auto"/>
        <w:ind w:firstLine="480"/>
        <w:rPr>
          <w:rFonts w:hint="eastAsia" w:ascii="宋体" w:hAnsi="宋体" w:cs="宋体"/>
          <w:sz w:val="24"/>
          <w:szCs w:val="24"/>
        </w:rPr>
      </w:pPr>
      <w:r>
        <w:rPr>
          <w:rFonts w:hint="eastAsia" w:ascii="宋体" w:hAnsi="宋体" w:cs="宋体"/>
          <w:sz w:val="24"/>
          <w:szCs w:val="24"/>
        </w:rPr>
        <w:t>6.编制单位承诺书</w:t>
      </w:r>
    </w:p>
    <w:p w14:paraId="1437778B">
      <w:pPr>
        <w:pStyle w:val="18"/>
        <w:spacing w:line="360" w:lineRule="auto"/>
        <w:ind w:firstLine="480"/>
        <w:rPr>
          <w:rFonts w:hint="eastAsia" w:ascii="宋体" w:hAnsi="宋体" w:cs="宋体"/>
          <w:sz w:val="24"/>
          <w:szCs w:val="24"/>
        </w:rPr>
      </w:pPr>
      <w:r>
        <w:rPr>
          <w:rFonts w:hint="eastAsia" w:ascii="宋体" w:hAnsi="宋体" w:cs="宋体"/>
          <w:sz w:val="24"/>
          <w:szCs w:val="24"/>
        </w:rPr>
        <w:t>7.土地权属证明</w:t>
      </w:r>
    </w:p>
    <w:p w14:paraId="2EF1CCCA">
      <w:pPr>
        <w:pStyle w:val="18"/>
        <w:spacing w:line="360" w:lineRule="auto"/>
        <w:ind w:firstLine="480"/>
        <w:rPr>
          <w:rFonts w:hint="eastAsia" w:ascii="宋体" w:hAnsi="宋体" w:cs="宋体"/>
          <w:sz w:val="24"/>
          <w:szCs w:val="24"/>
        </w:rPr>
      </w:pPr>
      <w:r>
        <w:rPr>
          <w:rFonts w:hint="eastAsia" w:ascii="宋体" w:hAnsi="宋体" w:cs="宋体"/>
          <w:sz w:val="24"/>
          <w:szCs w:val="24"/>
        </w:rPr>
        <w:t>8.土地权属人意见</w:t>
      </w:r>
    </w:p>
    <w:p w14:paraId="0D4A2B31">
      <w:pPr>
        <w:pStyle w:val="18"/>
        <w:spacing w:line="360" w:lineRule="auto"/>
        <w:ind w:firstLine="480"/>
        <w:rPr>
          <w:rFonts w:hint="eastAsia" w:ascii="宋体" w:hAnsi="宋体" w:cs="宋体"/>
          <w:sz w:val="24"/>
          <w:szCs w:val="24"/>
        </w:rPr>
      </w:pPr>
      <w:r>
        <w:rPr>
          <w:rFonts w:hint="eastAsia" w:ascii="宋体" w:hAnsi="宋体" w:cs="宋体"/>
          <w:sz w:val="24"/>
          <w:szCs w:val="24"/>
        </w:rPr>
        <w:t>10.</w:t>
      </w:r>
      <w:r>
        <w:rPr>
          <w:rFonts w:hint="eastAsia" w:ascii="宋体" w:hAnsi="宋体" w:cs="宋体"/>
          <w:sz w:val="24"/>
          <w:szCs w:val="24"/>
          <w:lang w:val="en-US" w:eastAsia="zh-CN"/>
        </w:rPr>
        <w:t>生态修复</w:t>
      </w:r>
      <w:r>
        <w:rPr>
          <w:rFonts w:hint="eastAsia" w:ascii="宋体" w:hAnsi="宋体" w:cs="宋体"/>
          <w:sz w:val="24"/>
          <w:szCs w:val="24"/>
        </w:rPr>
        <w:t>承诺书</w:t>
      </w:r>
    </w:p>
    <w:p w14:paraId="30809D07">
      <w:pPr>
        <w:pStyle w:val="18"/>
        <w:spacing w:line="360" w:lineRule="auto"/>
        <w:ind w:firstLine="480"/>
        <w:rPr>
          <w:rFonts w:hint="eastAsia" w:ascii="宋体" w:hAnsi="宋体" w:cs="宋体"/>
          <w:sz w:val="24"/>
          <w:szCs w:val="24"/>
        </w:rPr>
      </w:pPr>
      <w:r>
        <w:rPr>
          <w:rFonts w:hint="eastAsia" w:ascii="宋体" w:hAnsi="宋体" w:cs="宋体"/>
          <w:sz w:val="24"/>
          <w:szCs w:val="24"/>
        </w:rPr>
        <w:t>11.检测报告（水质</w:t>
      </w:r>
      <w:r>
        <w:rPr>
          <w:rFonts w:ascii="宋体" w:hAnsi="宋体" w:cs="宋体"/>
          <w:sz w:val="24"/>
          <w:szCs w:val="24"/>
        </w:rPr>
        <w:t>、土壤</w:t>
      </w:r>
      <w:r>
        <w:rPr>
          <w:rFonts w:hint="eastAsia" w:ascii="宋体" w:hAnsi="宋体" w:cs="宋体"/>
          <w:sz w:val="24"/>
          <w:szCs w:val="24"/>
        </w:rPr>
        <w:t>）</w:t>
      </w:r>
    </w:p>
    <w:p w14:paraId="5114E065">
      <w:pPr>
        <w:pStyle w:val="18"/>
        <w:spacing w:line="360" w:lineRule="auto"/>
        <w:ind w:firstLine="480"/>
        <w:rPr>
          <w:rFonts w:hint="eastAsia" w:ascii="宋体" w:hAnsi="宋体" w:cs="宋体"/>
          <w:sz w:val="24"/>
          <w:szCs w:val="24"/>
        </w:rPr>
      </w:pPr>
      <w:r>
        <w:rPr>
          <w:rFonts w:hint="eastAsia" w:ascii="宋体" w:hAnsi="宋体" w:cs="宋体"/>
          <w:sz w:val="24"/>
          <w:szCs w:val="24"/>
        </w:rPr>
        <w:t>13.内审意见</w:t>
      </w:r>
    </w:p>
    <w:p w14:paraId="28F16E24">
      <w:pPr>
        <w:pStyle w:val="18"/>
        <w:spacing w:line="360" w:lineRule="auto"/>
        <w:ind w:firstLine="480"/>
        <w:rPr>
          <w:rFonts w:hint="eastAsia" w:ascii="宋体" w:hAnsi="宋体" w:cs="宋体"/>
          <w:sz w:val="24"/>
          <w:szCs w:val="24"/>
        </w:rPr>
      </w:pPr>
      <w:r>
        <w:rPr>
          <w:rFonts w:hint="eastAsia" w:ascii="宋体" w:hAnsi="宋体" w:cs="宋体"/>
          <w:sz w:val="24"/>
          <w:szCs w:val="24"/>
        </w:rPr>
        <w:t>14.</w:t>
      </w:r>
      <w:r>
        <w:rPr>
          <w:rFonts w:hint="eastAsia" w:ascii="宋体" w:hAnsi="宋体" w:cs="宋体"/>
          <w:sz w:val="24"/>
          <w:szCs w:val="24"/>
          <w:lang w:eastAsia="zh-CN"/>
        </w:rPr>
        <w:t>集安市</w:t>
      </w:r>
      <w:r>
        <w:rPr>
          <w:rFonts w:hint="eastAsia" w:ascii="宋体" w:hAnsi="宋体" w:cs="宋体"/>
          <w:sz w:val="24"/>
          <w:szCs w:val="24"/>
        </w:rPr>
        <w:t>自然资源局的意见</w:t>
      </w:r>
    </w:p>
    <w:p w14:paraId="511B20B0">
      <w:pPr>
        <w:pStyle w:val="18"/>
        <w:spacing w:line="360" w:lineRule="auto"/>
        <w:ind w:firstLine="480"/>
        <w:rPr>
          <w:rFonts w:hint="eastAsia" w:ascii="宋体" w:hAnsi="宋体" w:cs="宋体"/>
          <w:sz w:val="24"/>
          <w:szCs w:val="24"/>
        </w:rPr>
      </w:pPr>
      <w:r>
        <w:rPr>
          <w:rFonts w:hint="eastAsia" w:ascii="宋体" w:hAnsi="宋体" w:cs="宋体"/>
          <w:sz w:val="24"/>
          <w:szCs w:val="24"/>
        </w:rPr>
        <w:t>15.开发利用方案意见</w:t>
      </w:r>
    </w:p>
    <w:p w14:paraId="18C1CFF7">
      <w:pPr>
        <w:pStyle w:val="18"/>
        <w:spacing w:line="360" w:lineRule="auto"/>
        <w:ind w:firstLine="480"/>
        <w:rPr>
          <w:rFonts w:hint="eastAsia" w:ascii="宋体" w:hAnsi="宋体" w:cs="宋体"/>
          <w:sz w:val="24"/>
          <w:szCs w:val="24"/>
        </w:rPr>
      </w:pPr>
      <w:r>
        <w:rPr>
          <w:rFonts w:hint="eastAsia" w:ascii="宋体" w:hAnsi="宋体" w:cs="宋体"/>
          <w:sz w:val="24"/>
          <w:szCs w:val="24"/>
        </w:rPr>
        <w:t>16.原二合一方案评审意见</w:t>
      </w:r>
    </w:p>
    <w:p w14:paraId="5E53E9E8">
      <w:pPr>
        <w:pStyle w:val="18"/>
        <w:spacing w:line="360" w:lineRule="auto"/>
        <w:ind w:firstLine="480"/>
        <w:rPr>
          <w:rFonts w:hint="eastAsia" w:ascii="宋体" w:hAnsi="宋体" w:cs="宋体"/>
          <w:sz w:val="24"/>
          <w:szCs w:val="24"/>
        </w:rPr>
      </w:pPr>
      <w:r>
        <w:rPr>
          <w:rFonts w:hint="eastAsia" w:ascii="宋体" w:hAnsi="宋体" w:cs="宋体"/>
          <w:sz w:val="24"/>
          <w:szCs w:val="24"/>
        </w:rPr>
        <w:t>17.</w:t>
      </w:r>
      <w:r>
        <w:rPr>
          <w:rFonts w:hint="eastAsia" w:ascii="宋体" w:hAnsi="宋体" w:cs="宋体"/>
          <w:sz w:val="24"/>
          <w:szCs w:val="24"/>
          <w:lang w:val="en-US" w:eastAsia="zh-CN"/>
        </w:rPr>
        <w:t>购土协议</w:t>
      </w:r>
    </w:p>
    <w:p w14:paraId="48468960">
      <w:pPr>
        <w:pStyle w:val="18"/>
        <w:spacing w:line="360" w:lineRule="auto"/>
        <w:ind w:firstLine="480"/>
        <w:rPr>
          <w:rFonts w:hint="default" w:ascii="宋体" w:hAnsi="宋体" w:cs="宋体"/>
          <w:sz w:val="24"/>
          <w:szCs w:val="24"/>
          <w:lang w:val="en-US" w:eastAsia="zh-CN"/>
        </w:rPr>
        <w:sectPr>
          <w:footerReference r:id="rId11" w:type="default"/>
          <w:pgSz w:w="11906" w:h="16838"/>
          <w:pgMar w:top="1134" w:right="1134" w:bottom="1134" w:left="1418" w:header="851" w:footer="567" w:gutter="0"/>
          <w:pgNumType w:start="1"/>
          <w:cols w:space="720" w:num="1"/>
          <w:docGrid w:type="linesAndChars" w:linePitch="381" w:charSpace="0"/>
        </w:sectPr>
      </w:pPr>
      <w:r>
        <w:rPr>
          <w:rFonts w:hint="eastAsia" w:ascii="宋体" w:hAnsi="宋体" w:cs="宋体"/>
          <w:sz w:val="24"/>
          <w:szCs w:val="24"/>
          <w:lang w:val="en-US" w:eastAsia="zh-CN"/>
        </w:rPr>
        <w:t>18.</w:t>
      </w:r>
      <w:r>
        <w:rPr>
          <w:rFonts w:hint="eastAsia" w:ascii="宋体" w:hAnsi="宋体" w:cs="宋体"/>
          <w:sz w:val="24"/>
          <w:szCs w:val="24"/>
        </w:rPr>
        <w:t>保证金银行证明</w:t>
      </w:r>
    </w:p>
    <w:p w14:paraId="2CD3E72F">
      <w:pPr>
        <w:pStyle w:val="3"/>
      </w:pPr>
      <w:r>
        <w:t>前言</w:t>
      </w:r>
      <w:bookmarkEnd w:id="8"/>
      <w:bookmarkEnd w:id="9"/>
      <w:bookmarkEnd w:id="10"/>
    </w:p>
    <w:p w14:paraId="5858C400">
      <w:pPr>
        <w:pStyle w:val="4"/>
        <w:ind w:firstLine="602"/>
        <w:rPr>
          <w:rFonts w:ascii="Times New Roman" w:hAnsi="Times New Roman"/>
        </w:rPr>
      </w:pPr>
      <w:bookmarkStart w:id="11" w:name="_Toc215692429"/>
      <w:bookmarkStart w:id="12" w:name="_Toc219050267"/>
      <w:bookmarkStart w:id="13" w:name="_Toc211790721"/>
      <w:r>
        <w:rPr>
          <w:rFonts w:ascii="Times New Roman" w:hAnsi="Times New Roman"/>
        </w:rPr>
        <w:t>一、编制目的</w:t>
      </w:r>
      <w:bookmarkEnd w:id="11"/>
      <w:bookmarkEnd w:id="12"/>
      <w:bookmarkEnd w:id="13"/>
    </w:p>
    <w:p w14:paraId="60640A3E">
      <w:pPr>
        <w:pStyle w:val="5"/>
        <w:ind w:firstLine="562"/>
      </w:pPr>
      <w:bookmarkStart w:id="14" w:name="_Toc211790722"/>
      <w:r>
        <w:t>（一）任务的由来</w:t>
      </w:r>
      <w:bookmarkEnd w:id="14"/>
    </w:p>
    <w:p w14:paraId="78E9C8FB">
      <w:pPr>
        <w:wordWrap w:val="0"/>
        <w:ind w:firstLine="560"/>
      </w:pPr>
      <w:r>
        <w:rPr>
          <w:rFonts w:hint="eastAsia"/>
          <w:lang w:eastAsia="zh-CN"/>
        </w:rPr>
        <w:t>集安市清河镇二道滑石矿</w:t>
      </w:r>
      <w:r>
        <w:t>（以下简称：</w:t>
      </w:r>
      <w:r>
        <w:rPr>
          <w:rFonts w:hint="eastAsia"/>
          <w:lang w:eastAsia="zh-CN"/>
        </w:rPr>
        <w:t>二道滑石矿</w:t>
      </w:r>
      <w:r>
        <w:t>）为</w:t>
      </w:r>
      <w:r>
        <w:rPr>
          <w:rFonts w:hint="eastAsia"/>
          <w:lang w:eastAsia="zh-CN"/>
        </w:rPr>
        <w:t>停产矿山</w:t>
      </w:r>
      <w:r>
        <w:t>，采矿权人为</w:t>
      </w:r>
      <w:r>
        <w:rPr>
          <w:rFonts w:hint="eastAsia"/>
          <w:lang w:eastAsia="zh-CN"/>
        </w:rPr>
        <w:t>集安市中道矿业有限公司</w:t>
      </w:r>
      <w:r>
        <w:t>，现持有采矿许可证：</w:t>
      </w:r>
      <w:r>
        <w:rPr>
          <w:rFonts w:hint="eastAsia"/>
          <w:lang w:eastAsia="zh-CN"/>
        </w:rPr>
        <w:t>C2205002010127120085505</w:t>
      </w:r>
      <w:r>
        <w:t>，矿山</w:t>
      </w:r>
      <w:r>
        <w:rPr>
          <w:szCs w:val="28"/>
        </w:rPr>
        <w:t>采矿权</w:t>
      </w:r>
      <w:r>
        <w:t>面积：</w:t>
      </w:r>
      <w:r>
        <w:rPr>
          <w:rFonts w:hint="eastAsia"/>
          <w:lang w:eastAsia="zh-CN"/>
        </w:rPr>
        <w:t>0.2501</w:t>
      </w:r>
      <w:r>
        <w:t>k</w:t>
      </w:r>
      <w:r>
        <w:rPr>
          <w:rFonts w:hint="eastAsia"/>
        </w:rPr>
        <w:t>m²</w:t>
      </w:r>
      <w:r>
        <w:t>，开采标高：</w:t>
      </w:r>
      <w:r>
        <w:rPr>
          <w:rFonts w:hint="eastAsia"/>
          <w:lang w:eastAsia="zh-CN"/>
        </w:rPr>
        <w:t>+</w:t>
      </w:r>
      <w:r>
        <w:rPr>
          <w:rFonts w:hint="eastAsia"/>
          <w:lang w:val="en-US" w:eastAsia="zh-CN"/>
        </w:rPr>
        <w:t>574</w:t>
      </w:r>
      <w:r>
        <w:rPr>
          <w:rFonts w:hint="eastAsia"/>
          <w:lang w:eastAsia="zh-CN"/>
        </w:rPr>
        <w:t>m至+</w:t>
      </w:r>
      <w:r>
        <w:rPr>
          <w:rFonts w:hint="eastAsia"/>
          <w:lang w:val="en-US" w:eastAsia="zh-CN"/>
        </w:rPr>
        <w:t>524</w:t>
      </w:r>
      <w:r>
        <w:rPr>
          <w:rFonts w:hint="eastAsia"/>
          <w:lang w:eastAsia="zh-CN"/>
        </w:rPr>
        <w:t>m</w:t>
      </w:r>
      <w:r>
        <w:t>，开采矿种为</w:t>
      </w:r>
      <w:r>
        <w:rPr>
          <w:rFonts w:hint="eastAsia"/>
          <w:lang w:eastAsia="zh-CN"/>
        </w:rPr>
        <w:t>滑石</w:t>
      </w:r>
      <w:r>
        <w:t>，开采方式为</w:t>
      </w:r>
      <w:r>
        <w:rPr>
          <w:rFonts w:hint="eastAsia"/>
          <w:lang w:val="en-US" w:eastAsia="zh-CN"/>
        </w:rPr>
        <w:t>露天/</w:t>
      </w:r>
      <w:r>
        <w:rPr>
          <w:rFonts w:hint="eastAsia"/>
        </w:rPr>
        <w:t>地下</w:t>
      </w:r>
      <w:r>
        <w:t>开采</w:t>
      </w:r>
      <w:r>
        <w:rPr>
          <w:rFonts w:hint="eastAsia"/>
        </w:rPr>
        <w:t>，开采规模为</w:t>
      </w:r>
      <w:r>
        <w:rPr>
          <w:rFonts w:hint="eastAsia"/>
          <w:lang w:val="en-US" w:eastAsia="zh-CN"/>
        </w:rPr>
        <w:t>0.2</w:t>
      </w:r>
      <w:r>
        <w:rPr>
          <w:rFonts w:hint="eastAsia"/>
          <w:lang w:eastAsia="zh-CN"/>
        </w:rPr>
        <w:t>万</w:t>
      </w:r>
      <w:r>
        <w:rPr>
          <w:rFonts w:hint="eastAsia"/>
        </w:rPr>
        <w:t>t/a</w:t>
      </w:r>
      <w:r>
        <w:t>。</w:t>
      </w:r>
    </w:p>
    <w:p w14:paraId="3BD04AEE">
      <w:pPr>
        <w:wordWrap w:val="0"/>
        <w:ind w:firstLine="560"/>
      </w:pPr>
      <w:r>
        <w:rPr>
          <w:rFonts w:hint="eastAsia"/>
        </w:rPr>
        <w:t>原《方案》由</w:t>
      </w:r>
      <w:r>
        <w:rPr>
          <w:rFonts w:hint="eastAsia"/>
          <w:lang w:eastAsia="zh-CN"/>
        </w:rPr>
        <w:t>吉林省宏信地质环境工程有限公司</w:t>
      </w:r>
      <w:r>
        <w:rPr>
          <w:rFonts w:hint="eastAsia"/>
        </w:rPr>
        <w:t>202</w:t>
      </w:r>
      <w:r>
        <w:rPr>
          <w:rFonts w:hint="eastAsia"/>
          <w:lang w:val="en-US" w:eastAsia="zh-CN"/>
        </w:rPr>
        <w:t>1</w:t>
      </w:r>
      <w:r>
        <w:rPr>
          <w:rFonts w:hint="eastAsia"/>
        </w:rPr>
        <w:t>年</w:t>
      </w:r>
      <w:r>
        <w:rPr>
          <w:rFonts w:hint="eastAsia"/>
          <w:lang w:val="en-US" w:eastAsia="zh-CN"/>
        </w:rPr>
        <w:t>12</w:t>
      </w:r>
      <w:r>
        <w:rPr>
          <w:rFonts w:hint="eastAsia"/>
        </w:rPr>
        <w:t>月编制，适用期5年，现已超过适用期限</w:t>
      </w:r>
      <w:r>
        <w:t>，</w:t>
      </w:r>
      <w:r>
        <w:rPr>
          <w:rFonts w:hint="eastAsia"/>
          <w:lang w:val="en-US" w:eastAsia="zh-CN"/>
        </w:rPr>
        <w:t>且变更开采方式和开采规模。根据最新开发利用方案，</w:t>
      </w:r>
      <w:r>
        <w:t>开采标高：</w:t>
      </w:r>
      <w:r>
        <w:rPr>
          <w:rFonts w:hint="eastAsia"/>
          <w:lang w:eastAsia="zh-CN"/>
        </w:rPr>
        <w:t>+58</w:t>
      </w:r>
      <w:r>
        <w:rPr>
          <w:rFonts w:hint="eastAsia"/>
          <w:lang w:val="en-US" w:eastAsia="zh-CN"/>
        </w:rPr>
        <w:t>4</w:t>
      </w:r>
      <w:r>
        <w:rPr>
          <w:rFonts w:hint="eastAsia"/>
          <w:lang w:eastAsia="zh-CN"/>
        </w:rPr>
        <w:t>m至+352m</w:t>
      </w:r>
      <w:r>
        <w:t>，开采方式为</w:t>
      </w:r>
      <w:r>
        <w:rPr>
          <w:rFonts w:hint="eastAsia"/>
        </w:rPr>
        <w:t>地下</w:t>
      </w:r>
      <w:r>
        <w:t>开采</w:t>
      </w:r>
      <w:r>
        <w:rPr>
          <w:rFonts w:hint="eastAsia"/>
        </w:rPr>
        <w:t>，开采规模为</w:t>
      </w:r>
      <w:r>
        <w:rPr>
          <w:rFonts w:hint="eastAsia"/>
          <w:lang w:eastAsia="zh-CN"/>
        </w:rPr>
        <w:t>5万</w:t>
      </w:r>
      <w:r>
        <w:rPr>
          <w:rFonts w:hint="eastAsia"/>
        </w:rPr>
        <w:t>t/a</w:t>
      </w:r>
      <w:r>
        <w:t>。按照《土地复垦条例</w:t>
      </w:r>
      <w:r>
        <w:rPr>
          <w:rFonts w:hint="eastAsia"/>
        </w:rPr>
        <w:t>》、《</w:t>
      </w:r>
      <w:r>
        <w:t>矿山地质环境保护规定》和《</w:t>
      </w:r>
      <w:bookmarkStart w:id="15" w:name="_Hlk218953261"/>
      <w:r>
        <w:t>吉林省自然资源厅生态修复处关于做好过渡期内矿区生态修复方案编制评审有关工作的通知</w:t>
      </w:r>
      <w:bookmarkEnd w:id="15"/>
      <w:r>
        <w:t>》的文件要求，</w:t>
      </w:r>
      <w:r>
        <w:rPr>
          <w:rFonts w:hint="eastAsia"/>
          <w:lang w:eastAsia="zh-CN"/>
        </w:rPr>
        <w:t>集安市清河镇二道滑石矿</w:t>
      </w:r>
      <w:r>
        <w:t>委托</w:t>
      </w:r>
      <w:r>
        <w:rPr>
          <w:rFonts w:hint="eastAsia"/>
          <w:lang w:eastAsia="zh-CN"/>
        </w:rPr>
        <w:t>吉林省邦州地质环境工程有限公司</w:t>
      </w:r>
      <w:r>
        <w:t>开展了《</w:t>
      </w:r>
      <w:r>
        <w:rPr>
          <w:rFonts w:hint="eastAsia"/>
          <w:lang w:eastAsia="zh-CN"/>
        </w:rPr>
        <w:t>集安市中道矿业有限公司集安市清河镇二道滑石矿</w:t>
      </w:r>
      <w:r>
        <w:t>矿区生态修复方案》（以下简称《方案》）的</w:t>
      </w:r>
      <w:r>
        <w:rPr>
          <w:rFonts w:hint="eastAsia"/>
        </w:rPr>
        <w:t>修编</w:t>
      </w:r>
      <w:r>
        <w:t>工作。</w:t>
      </w:r>
    </w:p>
    <w:p w14:paraId="40D76F24">
      <w:pPr>
        <w:pStyle w:val="5"/>
        <w:ind w:firstLine="562"/>
      </w:pPr>
      <w:bookmarkStart w:id="16" w:name="_Toc211790723"/>
      <w:r>
        <w:t>（二）编制目的</w:t>
      </w:r>
      <w:bookmarkEnd w:id="16"/>
    </w:p>
    <w:p w14:paraId="23CF9A63">
      <w:pPr>
        <w:ind w:firstLine="560"/>
      </w:pPr>
      <w:r>
        <w:t>通过编制《方案》并加以实施，一方面落实有关法律规定和政策要求，保证采矿权人生态修复义务的落实，保证矿区生态修复任务、措施、计划和资金落到实处，为自然资源主管部门实施监管和矿山业主申请办理采矿许可证提供依据；另一方面使矿山生产过程中矿山地质灾害危害降低到最低程度，减少矿业活动造成的矿区生态环境破坏，促进矿产资源的合理开发利用和经济社会、资源环境的协调发展，实现闭坑后矿山生态环境的明显好转。</w:t>
      </w:r>
    </w:p>
    <w:p w14:paraId="6E62876D">
      <w:pPr>
        <w:ind w:firstLine="560"/>
      </w:pPr>
      <w:r>
        <w:t>根据上述目的，本次方案编制的主要任务如下：</w:t>
      </w:r>
    </w:p>
    <w:p w14:paraId="54F25B08">
      <w:pPr>
        <w:ind w:firstLine="560"/>
      </w:pPr>
      <w:r>
        <w:t>（1）通过收集资料并结合野外调查，了解矿山企业概况，包括企业名称、位置、范围、相邻矿山的分布与概况；矿山企业的性质、矿山建设规模及工程布局；矿山设计生产能力、设计生产服务年限；矿产资源储量、矿层赋存特征；矿山开采历史及现状；矿山开拓、采区或开采阶段布置、开采方式、开采顺序、固体与液体废物的排放与处置情况</w:t>
      </w:r>
      <w:r>
        <w:rPr>
          <w:rFonts w:hint="eastAsia"/>
        </w:rPr>
        <w:t>、</w:t>
      </w:r>
      <w:r>
        <w:t>矿区社会经济概况等。</w:t>
      </w:r>
    </w:p>
    <w:p w14:paraId="709B1440">
      <w:pPr>
        <w:ind w:firstLine="560"/>
      </w:pPr>
      <w:r>
        <w:t>（2）查明矿区地质环境条件和土地利用现状，包括：地形地貌、气象水文、地层岩性、地质构造、水文地质、工程地质现象、土地利用现状及规划等。</w:t>
      </w:r>
    </w:p>
    <w:p w14:paraId="0864CCFF">
      <w:pPr>
        <w:ind w:firstLine="560"/>
      </w:pPr>
      <w:r>
        <w:t>（3）查明矿区地质环境问题、地质灾害发育现状及造成的危害，产生地质环境问题的背景，分析研究主要地质环境问题的分布规律、形成机理及影响因素；对评估区地质环境影响进行现状、预测评估，并进行矿区生态修复分区。</w:t>
      </w:r>
    </w:p>
    <w:p w14:paraId="1E18FBED">
      <w:pPr>
        <w:ind w:firstLine="560"/>
      </w:pPr>
      <w:r>
        <w:t>（4）查明矿区土地损毁现状，并对矿山建设可能造成的土地损毁进行预测评估，确定生态修复单元，参照相邻生态系统对生态修复方向进行适宜性评价。</w:t>
      </w:r>
    </w:p>
    <w:p w14:paraId="3F8569CC">
      <w:pPr>
        <w:ind w:firstLine="560"/>
      </w:pPr>
      <w:r>
        <w:t>（5）针对矿区生态修复分区，提出生态修复治理措施、监测方案及部署。</w:t>
      </w:r>
    </w:p>
    <w:p w14:paraId="7C388183">
      <w:pPr>
        <w:ind w:firstLine="560"/>
      </w:pPr>
      <w:r>
        <w:t>（6）根据生态修复工程量和工作部署，做出经费估算与进度安排，提出矿山生态环境保障措施。</w:t>
      </w:r>
    </w:p>
    <w:p w14:paraId="1ECD6698">
      <w:pPr>
        <w:pStyle w:val="5"/>
        <w:ind w:firstLine="562"/>
        <w:rPr>
          <w:szCs w:val="28"/>
        </w:rPr>
      </w:pPr>
      <w:bookmarkStart w:id="17" w:name="_Toc211790724"/>
      <w:r>
        <w:t>（三）编制过程</w:t>
      </w:r>
      <w:bookmarkEnd w:id="17"/>
    </w:p>
    <w:p w14:paraId="48E58D31">
      <w:pPr>
        <w:ind w:firstLine="560"/>
        <w:jc w:val="both"/>
        <w:rPr>
          <w:szCs w:val="28"/>
        </w:rPr>
      </w:pPr>
      <w:r>
        <w:rPr>
          <w:szCs w:val="28"/>
        </w:rPr>
        <w:t>本次方案编制工作由</w:t>
      </w:r>
      <w:r>
        <w:rPr>
          <w:rFonts w:hint="eastAsia"/>
          <w:lang w:eastAsia="zh-CN"/>
        </w:rPr>
        <w:t>集安市清河镇二道滑石矿</w:t>
      </w:r>
      <w:r>
        <w:rPr>
          <w:szCs w:val="28"/>
        </w:rPr>
        <w:t>和</w:t>
      </w:r>
      <w:r>
        <w:rPr>
          <w:rFonts w:hint="eastAsia"/>
          <w:szCs w:val="28"/>
          <w:lang w:eastAsia="zh-CN"/>
        </w:rPr>
        <w:t>吉林省邦州地质环境工程有限公司</w:t>
      </w:r>
      <w:r>
        <w:rPr>
          <w:szCs w:val="28"/>
        </w:rPr>
        <w:t>相关技术人员组成联合调查组，共同进行现场踏勘和资料收集。调查了矿山地质及土地资源等情况、矿区建设及生产情况、当地的土地利用状况、土壤情况、已实施的恢复治理与土地复垦工程、土壤及</w:t>
      </w:r>
      <w:r>
        <w:rPr>
          <w:rFonts w:hint="eastAsia"/>
          <w:szCs w:val="28"/>
        </w:rPr>
        <w:t>水质</w:t>
      </w:r>
      <w:r>
        <w:rPr>
          <w:szCs w:val="28"/>
        </w:rPr>
        <w:t>污染情况、农业生产及农民收入状况、材料价格及人工费用情况等，开展了公众参与调查，收集了矿山相关资料、土地利用现状图等技术资料。确定了矿山地质环境评估范围以及土地复垦区域，研究提出矿区生态修复措施、方向，形成该方案。编制工作的编制程序及工作方法如下：</w:t>
      </w:r>
    </w:p>
    <w:p w14:paraId="29665E94">
      <w:pPr>
        <w:ind w:firstLine="562"/>
        <w:jc w:val="both"/>
        <w:rPr>
          <w:b/>
          <w:bCs/>
          <w:szCs w:val="28"/>
        </w:rPr>
      </w:pPr>
      <w:r>
        <w:rPr>
          <w:b/>
          <w:bCs/>
          <w:szCs w:val="28"/>
        </w:rPr>
        <w:t>1.编制程序</w:t>
      </w:r>
    </w:p>
    <w:p w14:paraId="57471C12">
      <w:pPr>
        <w:ind w:firstLine="560"/>
        <w:jc w:val="both"/>
        <w:rPr>
          <w:szCs w:val="28"/>
        </w:rPr>
      </w:pPr>
      <w:r>
        <w:rPr>
          <w:szCs w:val="28"/>
        </w:rPr>
        <w:t>本方案的编制按《矿区生态修复方案编制指南（临时）》《矿山地质环境保护与恢复治理方案编制规范》（DZ/T0223-2011）和《土地复垦方案编制规程》（TD/T103.1-2011）规定的程序进行，方案编制程序见图0-</w:t>
      </w:r>
      <w:r>
        <w:rPr>
          <w:rFonts w:hint="eastAsia"/>
          <w:szCs w:val="28"/>
          <w:lang w:val="en-US" w:eastAsia="zh-CN"/>
        </w:rPr>
        <w:t>1</w:t>
      </w:r>
      <w:r>
        <w:rPr>
          <w:szCs w:val="28"/>
        </w:rPr>
        <w:t>。</w:t>
      </w:r>
    </w:p>
    <w:p w14:paraId="6ACB9A33">
      <w:pPr>
        <w:ind w:firstLine="562"/>
        <w:jc w:val="both"/>
      </w:pPr>
      <w:r>
        <w:drawing>
          <wp:inline distT="0" distB="0" distL="114300" distR="114300">
            <wp:extent cx="4772660" cy="6945630"/>
            <wp:effectExtent l="0" t="0" r="889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3"/>
                    <a:stretch>
                      <a:fillRect/>
                    </a:stretch>
                  </pic:blipFill>
                  <pic:spPr>
                    <a:xfrm>
                      <a:off x="0" y="0"/>
                      <a:ext cx="4780511" cy="6956744"/>
                    </a:xfrm>
                    <a:prstGeom prst="rect">
                      <a:avLst/>
                    </a:prstGeom>
                    <a:noFill/>
                    <a:ln>
                      <a:noFill/>
                    </a:ln>
                  </pic:spPr>
                </pic:pic>
              </a:graphicData>
            </a:graphic>
          </wp:inline>
        </w:drawing>
      </w:r>
    </w:p>
    <w:p w14:paraId="3826F878">
      <w:pPr>
        <w:pStyle w:val="66"/>
        <w:ind w:firstLine="420"/>
      </w:pPr>
      <w:r>
        <w:rPr>
          <w:rFonts w:ascii="Times New Roman" w:hAnsi="Times New Roman"/>
        </w:rPr>
        <w:t>图0-</w:t>
      </w:r>
      <w:r>
        <w:rPr>
          <w:rFonts w:hint="eastAsia" w:ascii="Times New Roman" w:hAnsi="Times New Roman"/>
        </w:rPr>
        <w:t>1</w:t>
      </w:r>
      <w:r>
        <w:rPr>
          <w:rFonts w:ascii="Times New Roman" w:hAnsi="Times New Roman"/>
        </w:rPr>
        <w:t>方案编制程序流程图</w:t>
      </w:r>
    </w:p>
    <w:p w14:paraId="2069FD06">
      <w:pPr>
        <w:ind w:firstLine="562"/>
        <w:jc w:val="both"/>
        <w:rPr>
          <w:b/>
          <w:bCs/>
          <w:szCs w:val="28"/>
        </w:rPr>
      </w:pPr>
      <w:r>
        <w:rPr>
          <w:rFonts w:hint="eastAsia"/>
          <w:b/>
          <w:bCs/>
          <w:szCs w:val="28"/>
        </w:rPr>
        <w:t>2</w:t>
      </w:r>
      <w:r>
        <w:rPr>
          <w:b/>
          <w:bCs/>
          <w:szCs w:val="28"/>
        </w:rPr>
        <w:t>.工作方法</w:t>
      </w:r>
    </w:p>
    <w:p w14:paraId="1D1C9B29">
      <w:pPr>
        <w:ind w:firstLine="560"/>
        <w:jc w:val="both"/>
        <w:rPr>
          <w:szCs w:val="28"/>
        </w:rPr>
      </w:pPr>
      <w:r>
        <w:rPr>
          <w:szCs w:val="28"/>
        </w:rPr>
        <w:t>根据《矿山地质环境保护规定》《土地复垦条例》及《矿区生态修复方案编制指南（临时）》中确定的矿区生态修复工作的基本要求包括基础调查与问题识别诊断、可行性分析、方案编制、工程实施、管理维护、监测评价与适应性管理。</w:t>
      </w:r>
    </w:p>
    <w:p w14:paraId="6D792E69">
      <w:pPr>
        <w:ind w:firstLine="560"/>
        <w:jc w:val="both"/>
        <w:rPr>
          <w:color w:val="000000"/>
          <w:szCs w:val="28"/>
        </w:rPr>
      </w:pPr>
      <w:r>
        <w:rPr>
          <w:color w:val="000000"/>
          <w:szCs w:val="28"/>
        </w:rPr>
        <w:t>（1）资料收集与分析</w:t>
      </w:r>
    </w:p>
    <w:p w14:paraId="5CF66D07">
      <w:pPr>
        <w:ind w:firstLine="560"/>
        <w:jc w:val="both"/>
        <w:rPr>
          <w:color w:val="000000"/>
          <w:szCs w:val="28"/>
        </w:rPr>
      </w:pPr>
      <w:r>
        <w:rPr>
          <w:rFonts w:hint="eastAsia"/>
          <w:lang w:eastAsia="zh-CN"/>
        </w:rPr>
        <w:t>集安市清河镇二道滑石矿</w:t>
      </w:r>
      <w:r>
        <w:rPr>
          <w:szCs w:val="28"/>
        </w:rPr>
        <w:t>和</w:t>
      </w:r>
      <w:r>
        <w:rPr>
          <w:rFonts w:hint="eastAsia"/>
          <w:szCs w:val="28"/>
          <w:lang w:eastAsia="zh-CN"/>
        </w:rPr>
        <w:t>吉林省邦州地质环境工程有限公司</w:t>
      </w:r>
      <w:r>
        <w:rPr>
          <w:color w:val="000000"/>
          <w:szCs w:val="28"/>
        </w:rPr>
        <w:t>相关技术人员组成联合调查组，在现场调查前收集《</w:t>
      </w:r>
      <w:r>
        <w:rPr>
          <w:rFonts w:hint="eastAsia"/>
          <w:lang w:eastAsia="zh-CN"/>
        </w:rPr>
        <w:t>集安市清河镇二道滑石矿</w:t>
      </w:r>
      <w:r>
        <w:rPr>
          <w:color w:val="000000"/>
          <w:szCs w:val="28"/>
        </w:rPr>
        <w:t>矿山地质环境保护与土地复垦方案》（202</w:t>
      </w:r>
      <w:r>
        <w:rPr>
          <w:rFonts w:hint="eastAsia"/>
          <w:color w:val="000000"/>
          <w:szCs w:val="28"/>
          <w:lang w:val="en-US" w:eastAsia="zh-CN"/>
        </w:rPr>
        <w:t>1</w:t>
      </w:r>
      <w:r>
        <w:rPr>
          <w:color w:val="000000"/>
          <w:szCs w:val="28"/>
        </w:rPr>
        <w:t>年</w:t>
      </w:r>
      <w:r>
        <w:rPr>
          <w:rFonts w:hint="eastAsia"/>
          <w:color w:val="000000"/>
          <w:szCs w:val="28"/>
          <w:lang w:val="en-US" w:eastAsia="zh-CN"/>
        </w:rPr>
        <w:t>12</w:t>
      </w:r>
      <w:r>
        <w:rPr>
          <w:color w:val="000000"/>
          <w:szCs w:val="28"/>
        </w:rPr>
        <w:t>月）、《</w:t>
      </w:r>
      <w:r>
        <w:rPr>
          <w:rFonts w:hint="eastAsia" w:cs="Times New Roman"/>
          <w:color w:val="000000"/>
          <w:szCs w:val="28"/>
          <w:lang w:eastAsia="zh-CN"/>
        </w:rPr>
        <w:t>吉林省集安市清河镇二道滑石矿开采方案</w:t>
      </w:r>
      <w:r>
        <w:rPr>
          <w:rFonts w:ascii="Times New Roman" w:hAnsi="Times New Roman" w:eastAsia="宋体" w:cs="Times New Roman"/>
          <w:color w:val="000000"/>
          <w:szCs w:val="28"/>
        </w:rPr>
        <w:t>》（202</w:t>
      </w:r>
      <w:r>
        <w:rPr>
          <w:rFonts w:hint="eastAsia" w:ascii="Times New Roman" w:hAnsi="Times New Roman" w:eastAsia="宋体" w:cs="Times New Roman"/>
          <w:color w:val="000000"/>
          <w:szCs w:val="28"/>
          <w:lang w:val="en-US" w:eastAsia="zh-CN"/>
        </w:rPr>
        <w:t>5</w:t>
      </w:r>
      <w:r>
        <w:rPr>
          <w:rFonts w:ascii="Times New Roman" w:hAnsi="Times New Roman" w:eastAsia="宋体" w:cs="Times New Roman"/>
          <w:color w:val="000000"/>
          <w:szCs w:val="28"/>
        </w:rPr>
        <w:t>年</w:t>
      </w:r>
      <w:r>
        <w:rPr>
          <w:rFonts w:hint="eastAsia" w:ascii="Times New Roman" w:hAnsi="Times New Roman" w:eastAsia="宋体" w:cs="Times New Roman"/>
          <w:color w:val="000000"/>
          <w:szCs w:val="28"/>
          <w:lang w:val="en-US" w:eastAsia="zh-CN"/>
        </w:rPr>
        <w:t>11</w:t>
      </w:r>
      <w:r>
        <w:rPr>
          <w:rFonts w:ascii="Times New Roman" w:hAnsi="Times New Roman" w:eastAsia="宋体" w:cs="Times New Roman"/>
          <w:color w:val="000000"/>
          <w:szCs w:val="28"/>
        </w:rPr>
        <w:t>月）</w:t>
      </w:r>
      <w:r>
        <w:rPr>
          <w:rFonts w:hint="eastAsia" w:ascii="Times New Roman" w:hAnsi="Times New Roman" w:eastAsia="宋体" w:cs="Times New Roman"/>
          <w:color w:val="000000"/>
          <w:szCs w:val="28"/>
        </w:rPr>
        <w:t>、《吉林省集安市清河镇二道滑石矿资源储量核实及深部（524米标高以下）和外围详查报告》</w:t>
      </w:r>
      <w:r>
        <w:rPr>
          <w:rFonts w:ascii="Times New Roman" w:hAnsi="Times New Roman" w:eastAsia="宋体" w:cs="Times New Roman"/>
          <w:color w:val="000000"/>
          <w:szCs w:val="28"/>
        </w:rPr>
        <w:t>（202</w:t>
      </w:r>
      <w:r>
        <w:rPr>
          <w:rFonts w:hint="eastAsia" w:ascii="Times New Roman" w:hAnsi="Times New Roman" w:eastAsia="宋体" w:cs="Times New Roman"/>
          <w:color w:val="000000"/>
          <w:szCs w:val="28"/>
          <w:lang w:val="en-US" w:eastAsia="zh-CN"/>
        </w:rPr>
        <w:t>5</w:t>
      </w:r>
      <w:r>
        <w:rPr>
          <w:rFonts w:ascii="Times New Roman" w:hAnsi="Times New Roman" w:eastAsia="宋体" w:cs="Times New Roman"/>
          <w:color w:val="000000"/>
          <w:szCs w:val="28"/>
        </w:rPr>
        <w:t>年</w:t>
      </w:r>
      <w:r>
        <w:rPr>
          <w:rFonts w:hint="eastAsia" w:ascii="Times New Roman" w:hAnsi="Times New Roman" w:eastAsia="宋体" w:cs="Times New Roman"/>
          <w:color w:val="000000"/>
          <w:szCs w:val="28"/>
        </w:rPr>
        <w:t>7</w:t>
      </w:r>
      <w:r>
        <w:rPr>
          <w:rFonts w:ascii="Times New Roman" w:hAnsi="Times New Roman" w:eastAsia="宋体" w:cs="Times New Roman"/>
          <w:color w:val="000000"/>
          <w:szCs w:val="28"/>
        </w:rPr>
        <w:t>月）以及矿区的土地利用现状图等资料，</w:t>
      </w:r>
      <w:r>
        <w:rPr>
          <w:color w:val="000000"/>
          <w:szCs w:val="28"/>
        </w:rPr>
        <w:t>初步掌握了矿区地质环境条件、矿山概况及矿区土地利用现状、矿区内采矿工艺、工业布局、项目所在地主要建筑材料单价以及其他工程造价信息等。收集了区内有关地形图、地质图等图件作为评估工作底图和野外工作用图，结合矿山特点，分析已有资料，确定需要补充的资料，初步确定野外主要调查内容、调查方法和调查路线。</w:t>
      </w:r>
    </w:p>
    <w:p w14:paraId="74C17B2F">
      <w:pPr>
        <w:ind w:firstLine="560"/>
        <w:jc w:val="both"/>
        <w:rPr>
          <w:szCs w:val="28"/>
        </w:rPr>
      </w:pPr>
      <w:r>
        <w:rPr>
          <w:szCs w:val="28"/>
        </w:rPr>
        <w:t>（2）野外调查</w:t>
      </w:r>
    </w:p>
    <w:p w14:paraId="3D9FAB84">
      <w:pPr>
        <w:ind w:firstLine="560"/>
        <w:jc w:val="both"/>
        <w:rPr>
          <w:color w:val="000000"/>
          <w:szCs w:val="28"/>
        </w:rPr>
      </w:pPr>
      <w:r>
        <w:rPr>
          <w:szCs w:val="28"/>
        </w:rPr>
        <w:t>在对收集的资料初步分析后，项目组于2025年11月7日进行了野外调查。在调查过程中，积极访问矿区工作人员和周围居民，查明了矿山开采历史、生产现状，项目区各类土地、土壤、植被情况，项目区的地下水类型及补径排等情况，主要地质环境问题的发育和分布以及矿区土地利用等情况。野外调查采用1:1000地形图为底图，对重点地段的地质环境问题点和主要地质现象点进行实测描述，调查分析其发生时间、基本特征、危害程度，并对其进行GPS定位、数码拍照和填制调查表格等工作，并及时调整室内设计的野外调查路线，优化野</w:t>
      </w:r>
      <w:r>
        <w:rPr>
          <w:color w:val="000000"/>
          <w:szCs w:val="28"/>
        </w:rPr>
        <w:t>外调查工作方法。</w:t>
      </w:r>
    </w:p>
    <w:p w14:paraId="3183C118">
      <w:pPr>
        <w:ind w:firstLine="560"/>
        <w:jc w:val="both"/>
        <w:rPr>
          <w:color w:val="000000"/>
          <w:szCs w:val="28"/>
        </w:rPr>
      </w:pPr>
      <w:r>
        <w:rPr>
          <w:color w:val="000000"/>
          <w:szCs w:val="28"/>
        </w:rPr>
        <w:t>（3）</w:t>
      </w:r>
      <w:bookmarkStart w:id="18" w:name="OLE_LINK3"/>
      <w:r>
        <w:rPr>
          <w:color w:val="000000"/>
          <w:szCs w:val="28"/>
        </w:rPr>
        <w:t>室内资料整理</w:t>
      </w:r>
      <w:bookmarkEnd w:id="18"/>
      <w:r>
        <w:rPr>
          <w:color w:val="000000"/>
          <w:szCs w:val="28"/>
        </w:rPr>
        <w:t>及综合分析</w:t>
      </w:r>
    </w:p>
    <w:p w14:paraId="0BC56D66">
      <w:pPr>
        <w:ind w:firstLine="560"/>
        <w:jc w:val="both"/>
        <w:rPr>
          <w:color w:val="000000"/>
          <w:szCs w:val="28"/>
        </w:rPr>
      </w:pPr>
      <w:r>
        <w:rPr>
          <w:color w:val="000000"/>
          <w:szCs w:val="28"/>
        </w:rPr>
        <w:t>在综合分析研究已有资料和现场调查的基础上，编制了矿区土地利用现状图、矿区地质环境问题现状图、矿区土地损毁现状图、矿区地质环境问题预测图、矿区土地损毁预测图、矿区生态修复工程部署图，以图件形式反映评估区地质环境问题的分布、土地利用情况、影响程度和</w:t>
      </w:r>
      <w:r>
        <w:rPr>
          <w:rFonts w:hint="eastAsia"/>
          <w:color w:val="000000"/>
          <w:szCs w:val="28"/>
        </w:rPr>
        <w:t>生态修复</w:t>
      </w:r>
      <w:r>
        <w:rPr>
          <w:color w:val="000000"/>
          <w:szCs w:val="28"/>
        </w:rPr>
        <w:t>工程，编写了《</w:t>
      </w:r>
      <w:r>
        <w:rPr>
          <w:rFonts w:hint="eastAsia"/>
          <w:lang w:eastAsia="zh-CN"/>
        </w:rPr>
        <w:t>集安市中道矿业有限公司集安市清河镇二道滑石矿</w:t>
      </w:r>
      <w:r>
        <w:rPr>
          <w:color w:val="000000"/>
          <w:szCs w:val="28"/>
        </w:rPr>
        <w:t>矿区生态修复方案》。</w:t>
      </w:r>
    </w:p>
    <w:p w14:paraId="550AB847">
      <w:pPr>
        <w:ind w:firstLine="562"/>
        <w:jc w:val="both"/>
        <w:rPr>
          <w:b/>
          <w:bCs/>
          <w:szCs w:val="28"/>
        </w:rPr>
      </w:pPr>
      <w:r>
        <w:rPr>
          <w:rFonts w:hint="eastAsia"/>
          <w:b/>
          <w:bCs/>
          <w:szCs w:val="28"/>
        </w:rPr>
        <w:t>3</w:t>
      </w:r>
      <w:r>
        <w:rPr>
          <w:b/>
          <w:bCs/>
          <w:szCs w:val="28"/>
        </w:rPr>
        <w:t>.工作质量控制</w:t>
      </w:r>
    </w:p>
    <w:p w14:paraId="174C6E49">
      <w:pPr>
        <w:ind w:firstLine="560"/>
        <w:jc w:val="both"/>
        <w:rPr>
          <w:szCs w:val="28"/>
        </w:rPr>
      </w:pPr>
      <w:r>
        <w:rPr>
          <w:szCs w:val="28"/>
        </w:rPr>
        <w:t>本方案是在全面收集矿山有关资料以及现场实地调查的基础上，严格按照《矿区生态修复方案编制指南》及其他国家现行的有关规范、规程、技术要求进行编制的。为了此次项目能够按时、保质、保量地完成，公司采取一系列的质量控制措施对项目的管理、进度、质量等方面控制，具体措施如下：</w:t>
      </w:r>
    </w:p>
    <w:p w14:paraId="6A2FAEF9">
      <w:pPr>
        <w:ind w:firstLine="560"/>
        <w:jc w:val="both"/>
        <w:rPr>
          <w:szCs w:val="28"/>
        </w:rPr>
      </w:pPr>
      <w:r>
        <w:rPr>
          <w:szCs w:val="28"/>
        </w:rPr>
        <w:t>（1）实施统一规程、统一计划、统一组织、统一验收、分步实施和责任到人的分级目标管理。由项目管理组负责任务总体安排、总体进度控制和总体协调管理工作，保证质量体系的正常运作，做好与</w:t>
      </w:r>
      <w:r>
        <w:rPr>
          <w:rFonts w:hint="eastAsia"/>
          <w:szCs w:val="28"/>
          <w:lang w:eastAsia="zh-CN"/>
        </w:rPr>
        <w:t>二道滑石矿</w:t>
      </w:r>
      <w:r>
        <w:rPr>
          <w:szCs w:val="28"/>
        </w:rPr>
        <w:t>项目涉及</w:t>
      </w:r>
      <w:r>
        <w:rPr>
          <w:rFonts w:hint="eastAsia"/>
          <w:szCs w:val="28"/>
        </w:rPr>
        <w:t>主管部门</w:t>
      </w:r>
      <w:r>
        <w:rPr>
          <w:szCs w:val="28"/>
        </w:rPr>
        <w:t>和</w:t>
      </w:r>
      <w:r>
        <w:rPr>
          <w:rFonts w:hint="eastAsia"/>
          <w:szCs w:val="28"/>
        </w:rPr>
        <w:t>村委、</w:t>
      </w:r>
      <w:r>
        <w:rPr>
          <w:szCs w:val="28"/>
        </w:rPr>
        <w:t>村民的协调、沟通和配合工作；</w:t>
      </w:r>
    </w:p>
    <w:p w14:paraId="42587919">
      <w:pPr>
        <w:ind w:firstLine="560"/>
        <w:jc w:val="both"/>
        <w:rPr>
          <w:szCs w:val="28"/>
        </w:rPr>
      </w:pPr>
      <w:r>
        <w:rPr>
          <w:szCs w:val="28"/>
        </w:rPr>
        <w:t>（2）主要参加编写技术方案的人员具备十年以上相关的工作经验，长期从事矿山地质环境保护与治理恢复方案和土地复垦方案编制经历，并在其中担任技术负责人，对其他参加编写人员进行必要的岗位培训，以认真负责的科学态度对待方案工作；</w:t>
      </w:r>
    </w:p>
    <w:p w14:paraId="572A8A79">
      <w:pPr>
        <w:ind w:firstLine="560"/>
        <w:jc w:val="both"/>
        <w:rPr>
          <w:szCs w:val="28"/>
        </w:rPr>
      </w:pPr>
      <w:r>
        <w:rPr>
          <w:szCs w:val="28"/>
        </w:rPr>
        <w:t>（3）项目组负责人对方案编制工作进行全过程质量监控，对野外矿山地质环境调查工作、室内综合研究和报告编制等工作及时进行质量检查和验收，并组织有关专家对矿山地质环境条件、评估级别、矿山地质灾害、矿区含水层破坏、地形地貌景观、水土环境污染、土地占用与损毁等关键问题进行重点把关；</w:t>
      </w:r>
    </w:p>
    <w:p w14:paraId="160F2E5C">
      <w:pPr>
        <w:ind w:firstLine="560"/>
        <w:jc w:val="both"/>
        <w:rPr>
          <w:szCs w:val="28"/>
        </w:rPr>
      </w:pPr>
      <w:r>
        <w:rPr>
          <w:szCs w:val="28"/>
        </w:rPr>
        <w:t>（4）保证所使用的各种规范、规定和图式统一，保证使用数据的真实性和科学性。所使用的各种规范、规定和图式是指导方案编写、图件制作的标准，只有严格执行，才能保证成果质量标准的唯一性。</w:t>
      </w:r>
    </w:p>
    <w:p w14:paraId="0B312487">
      <w:pPr>
        <w:spacing w:line="240" w:lineRule="auto"/>
        <w:ind w:firstLine="0" w:firstLineChars="0"/>
        <w:jc w:val="center"/>
        <w:rPr>
          <w:szCs w:val="28"/>
        </w:rPr>
      </w:pPr>
    </w:p>
    <w:p w14:paraId="57E9F99C">
      <w:pPr>
        <w:pStyle w:val="5"/>
        <w:ind w:firstLine="562"/>
      </w:pPr>
      <w:r>
        <w:rPr>
          <w:rFonts w:hint="eastAsia"/>
        </w:rPr>
        <w:t>（四）编制依据</w:t>
      </w:r>
    </w:p>
    <w:p w14:paraId="4619BECC">
      <w:pPr>
        <w:ind w:firstLine="562"/>
        <w:rPr>
          <w:b/>
          <w:bCs/>
        </w:rPr>
      </w:pPr>
      <w:r>
        <w:rPr>
          <w:rFonts w:hint="eastAsia"/>
          <w:b/>
          <w:bCs/>
        </w:rPr>
        <w:t>1.法律法规及重要文件</w:t>
      </w:r>
    </w:p>
    <w:p w14:paraId="54ED56B0">
      <w:pPr>
        <w:ind w:firstLine="560"/>
      </w:pPr>
      <w:r>
        <w:rPr>
          <w:rFonts w:hint="eastAsia"/>
        </w:rPr>
        <w:t>（1）</w:t>
      </w:r>
      <w:r>
        <w:t>《中华人民共和国矿山安全法》（2009年8月27日）；</w:t>
      </w:r>
    </w:p>
    <w:p w14:paraId="3E3C3B5C">
      <w:pPr>
        <w:ind w:firstLine="560"/>
      </w:pPr>
      <w:r>
        <w:rPr>
          <w:rFonts w:hint="eastAsia"/>
        </w:rPr>
        <w:t>（2）</w:t>
      </w:r>
      <w:r>
        <w:t>《中华人民共和国矿产资源法》（2025年7月1日）；</w:t>
      </w:r>
    </w:p>
    <w:p w14:paraId="26FDCAD0">
      <w:pPr>
        <w:ind w:firstLine="560"/>
      </w:pPr>
      <w:r>
        <w:rPr>
          <w:rFonts w:hint="eastAsia"/>
        </w:rPr>
        <w:t>（3）</w:t>
      </w:r>
      <w:r>
        <w:t>《中华人民共和国土地管理法》（2019年8月26日）；</w:t>
      </w:r>
    </w:p>
    <w:p w14:paraId="004E8843">
      <w:pPr>
        <w:ind w:firstLine="560"/>
      </w:pPr>
      <w:r>
        <w:rPr>
          <w:rFonts w:hint="eastAsia"/>
        </w:rPr>
        <w:t>（4）</w:t>
      </w:r>
      <w:r>
        <w:t>《中华人民共和国土壤污染防治法》（2019年1月1日）；</w:t>
      </w:r>
    </w:p>
    <w:p w14:paraId="093029FD">
      <w:pPr>
        <w:ind w:firstLine="560"/>
      </w:pPr>
      <w:r>
        <w:rPr>
          <w:rFonts w:hint="eastAsia"/>
        </w:rPr>
        <w:t>（5）</w:t>
      </w:r>
      <w:r>
        <w:t>《中华人民共和国水土保持法》（2011年3月1日）；</w:t>
      </w:r>
    </w:p>
    <w:p w14:paraId="7B7036C8">
      <w:pPr>
        <w:ind w:firstLine="560"/>
      </w:pPr>
      <w:r>
        <w:rPr>
          <w:rFonts w:hint="eastAsia"/>
        </w:rPr>
        <w:t>（6）</w:t>
      </w:r>
      <w:r>
        <w:t>《中华人民共和国环境保护法》（2015年1月1日）；</w:t>
      </w:r>
    </w:p>
    <w:p w14:paraId="68E29876">
      <w:pPr>
        <w:ind w:firstLine="560"/>
      </w:pPr>
      <w:r>
        <w:rPr>
          <w:rFonts w:hint="eastAsia"/>
        </w:rPr>
        <w:t>（7）</w:t>
      </w:r>
      <w:r>
        <w:t>《中华人民共和国固体废弃物污染环境防治法》（2020年9月1日）；</w:t>
      </w:r>
    </w:p>
    <w:p w14:paraId="0BFAB5A0">
      <w:pPr>
        <w:ind w:firstLine="560"/>
      </w:pPr>
      <w:r>
        <w:rPr>
          <w:rFonts w:hint="eastAsia"/>
        </w:rPr>
        <w:t>（8）</w:t>
      </w:r>
      <w:r>
        <w:t>《中华人民共和国环境影响评价法》（2018年12月29日）；</w:t>
      </w:r>
    </w:p>
    <w:p w14:paraId="72FFC2BA">
      <w:pPr>
        <w:ind w:firstLine="560"/>
      </w:pPr>
      <w:r>
        <w:rPr>
          <w:rFonts w:hint="eastAsia"/>
        </w:rPr>
        <w:t>（9）</w:t>
      </w:r>
      <w:r>
        <w:t>《地质灾害防治条例》（国务院第394号令），2003年11月29日国务院常务会议通过，自2004年3月1日起施行；</w:t>
      </w:r>
    </w:p>
    <w:p w14:paraId="648E799B">
      <w:pPr>
        <w:ind w:firstLine="560"/>
      </w:pPr>
      <w:r>
        <w:rPr>
          <w:rFonts w:hint="eastAsia"/>
        </w:rPr>
        <w:t>（10）</w:t>
      </w:r>
      <w:r>
        <w:t>《基本农田保护条例》（2011年修正）；</w:t>
      </w:r>
    </w:p>
    <w:p w14:paraId="3C99E581">
      <w:pPr>
        <w:ind w:firstLine="560"/>
      </w:pPr>
      <w:r>
        <w:rPr>
          <w:rFonts w:hint="eastAsia"/>
        </w:rPr>
        <w:t>（11）</w:t>
      </w:r>
      <w:r>
        <w:t>《中华人民共和国土地复垦条例》（中华人民共和国国务院令〔2011〕第592号）；</w:t>
      </w:r>
    </w:p>
    <w:p w14:paraId="47CC4E01">
      <w:pPr>
        <w:ind w:firstLine="560"/>
      </w:pPr>
      <w:r>
        <w:rPr>
          <w:rFonts w:hint="eastAsia"/>
        </w:rPr>
        <w:t>（12）</w:t>
      </w:r>
      <w:r>
        <w:t>《土地复垦条例实施办法》自然资源部令第5号（2019年7月24日）；</w:t>
      </w:r>
    </w:p>
    <w:p w14:paraId="46CF37E7">
      <w:pPr>
        <w:ind w:firstLine="560"/>
      </w:pPr>
      <w:r>
        <w:rPr>
          <w:rFonts w:hint="eastAsia"/>
        </w:rPr>
        <w:t>（13）</w:t>
      </w:r>
      <w:r>
        <w:t>《地质环境监测管理办法》自然资源部令第5号（2019年7月24日）；</w:t>
      </w:r>
    </w:p>
    <w:p w14:paraId="258480F6">
      <w:pPr>
        <w:ind w:firstLine="560"/>
      </w:pPr>
      <w:r>
        <w:rPr>
          <w:rFonts w:hint="eastAsia"/>
        </w:rPr>
        <w:t>（14）</w:t>
      </w:r>
      <w:r>
        <w:t>《中华人民共和国土地管理法实施条例》（2021年9月1日）；</w:t>
      </w:r>
    </w:p>
    <w:p w14:paraId="1F44FE13">
      <w:pPr>
        <w:ind w:firstLine="560"/>
      </w:pPr>
      <w:r>
        <w:rPr>
          <w:rFonts w:hint="eastAsia"/>
        </w:rPr>
        <w:t>（15）</w:t>
      </w:r>
      <w:r>
        <w:t>《吉林省地质灾害防治条例》（2015年11月20日）；</w:t>
      </w:r>
    </w:p>
    <w:p w14:paraId="3EC75310">
      <w:pPr>
        <w:ind w:firstLine="560"/>
      </w:pPr>
      <w:r>
        <w:rPr>
          <w:rFonts w:hint="eastAsia"/>
        </w:rPr>
        <w:t>（16）《自然资源部办公厅关于做好〈矿产资源法〉实施过渡期内矿区生态修复方案编制评审有关工作的通知》（自然资办函〔2025〕2043号）</w:t>
      </w:r>
      <w:r>
        <w:t>；</w:t>
      </w:r>
    </w:p>
    <w:p w14:paraId="13C25B7B">
      <w:pPr>
        <w:ind w:firstLine="560"/>
      </w:pPr>
      <w:r>
        <w:rPr>
          <w:rFonts w:hint="eastAsia"/>
        </w:rPr>
        <w:t>（17）</w:t>
      </w:r>
      <w:r>
        <w:t>《国务院关于印发矿产资源权益金制度改革方案的通知》（国发〔2017〕29号）；</w:t>
      </w:r>
    </w:p>
    <w:p w14:paraId="7A08C5A2">
      <w:pPr>
        <w:ind w:firstLine="560"/>
      </w:pPr>
      <w:r>
        <w:rPr>
          <w:rFonts w:hint="eastAsia"/>
        </w:rPr>
        <w:t>（18）</w:t>
      </w:r>
      <w:r>
        <w:t>《财政部国土资源部环境保护部关于取消矿山地质环境治理恢复保证金建立矿山地质环境治理恢复基金的指导意见》（财建〔2017〕638号）；</w:t>
      </w:r>
    </w:p>
    <w:p w14:paraId="43C8363B">
      <w:pPr>
        <w:ind w:firstLine="560"/>
      </w:pPr>
      <w:r>
        <w:rPr>
          <w:rFonts w:hint="eastAsia"/>
        </w:rPr>
        <w:t>（19）</w:t>
      </w:r>
      <w:r>
        <w:t>《矿山地质环境保护规定》</w:t>
      </w:r>
      <w:r>
        <w:rPr>
          <w:rFonts w:hint="eastAsia"/>
        </w:rPr>
        <w:t>(国土资源部令第4</w:t>
      </w:r>
      <w:r>
        <w:t>4</w:t>
      </w:r>
      <w:r>
        <w:rPr>
          <w:rFonts w:hint="eastAsia"/>
        </w:rPr>
        <w:t>号)</w:t>
      </w:r>
      <w:r>
        <w:t>；</w:t>
      </w:r>
    </w:p>
    <w:p w14:paraId="6BE38A88">
      <w:pPr>
        <w:ind w:firstLine="560"/>
      </w:pPr>
      <w:r>
        <w:rPr>
          <w:rFonts w:hint="eastAsia"/>
        </w:rPr>
        <w:t>（20）</w:t>
      </w:r>
      <w:r>
        <w:t>《自然资源部关于印发＜国土空间调查、规划、用途管制用地用海分类指南＞》的通知》（自然资发〔2023〕234号）；</w:t>
      </w:r>
    </w:p>
    <w:p w14:paraId="70F5E36B">
      <w:pPr>
        <w:ind w:firstLine="560"/>
      </w:pPr>
      <w:r>
        <w:rPr>
          <w:rFonts w:hint="eastAsia"/>
        </w:rPr>
        <w:t>（21）</w:t>
      </w:r>
      <w:r>
        <w:t>《吉林省自然资源厅关于采矿生产项目土地复垦费预存纳入矿山地质环境治理恢复基金管理有关问题的通知》（吉自然资函〔2020〕266号）；</w:t>
      </w:r>
    </w:p>
    <w:p w14:paraId="256B2F8D">
      <w:pPr>
        <w:ind w:firstLine="560"/>
      </w:pPr>
      <w:r>
        <w:rPr>
          <w:rFonts w:hint="eastAsia"/>
        </w:rPr>
        <w:t>（22）</w:t>
      </w:r>
      <w:r>
        <w:t>《</w:t>
      </w:r>
      <w:r>
        <w:rPr>
          <w:rFonts w:hint="eastAsia"/>
        </w:rPr>
        <w:t>吉林省人民政府办公厅关于印发吉林省建设占用耕地耕作层土壤剥离利用管理办法的通知</w:t>
      </w:r>
      <w:r>
        <w:t>》（吉政办发〔2022〕17号）。</w:t>
      </w:r>
    </w:p>
    <w:p w14:paraId="5A1CFF59">
      <w:pPr>
        <w:ind w:firstLine="562"/>
        <w:rPr>
          <w:b/>
          <w:bCs/>
        </w:rPr>
      </w:pPr>
      <w:r>
        <w:rPr>
          <w:rFonts w:hint="eastAsia"/>
          <w:b/>
          <w:bCs/>
        </w:rPr>
        <w:t>2.规范及相关文件</w:t>
      </w:r>
    </w:p>
    <w:p w14:paraId="54D21378">
      <w:pPr>
        <w:ind w:firstLine="560"/>
        <w:rPr>
          <w:color w:val="000000"/>
        </w:rPr>
      </w:pPr>
      <w:r>
        <w:rPr>
          <w:rFonts w:hint="eastAsia"/>
          <w:color w:val="000000"/>
        </w:rPr>
        <w:t>（1）</w:t>
      </w:r>
      <w:r>
        <w:rPr>
          <w:color w:val="000000"/>
        </w:rPr>
        <w:t>《综合工程地质图图例及色标》（GB/T12328-1990）；</w:t>
      </w:r>
    </w:p>
    <w:p w14:paraId="65AA8E38">
      <w:pPr>
        <w:ind w:firstLine="560"/>
        <w:rPr>
          <w:rFonts w:hint="eastAsia" w:eastAsia="宋体"/>
          <w:color w:val="000000"/>
          <w:lang w:eastAsia="zh-CN"/>
        </w:rPr>
      </w:pPr>
      <w:r>
        <w:rPr>
          <w:rFonts w:hint="eastAsia"/>
          <w:color w:val="000000"/>
        </w:rPr>
        <w:t>（2）</w:t>
      </w:r>
      <w:r>
        <w:rPr>
          <w:color w:val="000000"/>
        </w:rPr>
        <w:t>《综合水文地质图图例及色标》（GB/T14538-1993）；</w:t>
      </w:r>
    </w:p>
    <w:p w14:paraId="4D5F2B77">
      <w:pPr>
        <w:ind w:firstLine="560"/>
        <w:rPr>
          <w:color w:val="000000"/>
        </w:rPr>
      </w:pPr>
      <w:r>
        <w:rPr>
          <w:rFonts w:hint="eastAsia"/>
          <w:color w:val="000000"/>
        </w:rPr>
        <w:t>（3）</w:t>
      </w:r>
      <w:r>
        <w:rPr>
          <w:color w:val="000000"/>
        </w:rPr>
        <w:t>《1:50000地质图地理底图编绘规范》（DZ/T0157-1995）；</w:t>
      </w:r>
    </w:p>
    <w:p w14:paraId="191A2C10">
      <w:pPr>
        <w:ind w:firstLine="560"/>
        <w:rPr>
          <w:color w:val="000000"/>
        </w:rPr>
      </w:pPr>
      <w:r>
        <w:rPr>
          <w:rFonts w:hint="eastAsia"/>
          <w:color w:val="000000"/>
        </w:rPr>
        <w:t>（4）</w:t>
      </w:r>
      <w:r>
        <w:rPr>
          <w:color w:val="000000"/>
        </w:rPr>
        <w:t>《地质图用色标准及用色原则》（DZ/T0179-1997）；</w:t>
      </w:r>
    </w:p>
    <w:p w14:paraId="083E95F9">
      <w:pPr>
        <w:ind w:firstLine="560"/>
        <w:rPr>
          <w:color w:val="000000"/>
        </w:rPr>
      </w:pPr>
      <w:r>
        <w:rPr>
          <w:rFonts w:hint="eastAsia"/>
          <w:color w:val="000000"/>
        </w:rPr>
        <w:t>（5）</w:t>
      </w:r>
      <w:r>
        <w:rPr>
          <w:color w:val="000000"/>
        </w:rPr>
        <w:t>《生态公益林建设技术规程》（GB/T18337.2-2001）；</w:t>
      </w:r>
    </w:p>
    <w:p w14:paraId="42AC6294">
      <w:pPr>
        <w:ind w:firstLine="560"/>
        <w:rPr>
          <w:color w:val="000000"/>
        </w:rPr>
      </w:pPr>
      <w:r>
        <w:rPr>
          <w:rFonts w:hint="eastAsia"/>
          <w:color w:val="000000"/>
        </w:rPr>
        <w:t>（6）</w:t>
      </w:r>
      <w:r>
        <w:rPr>
          <w:color w:val="000000"/>
        </w:rPr>
        <w:t>《地表水环境质量标准》（GB3838-2002）；</w:t>
      </w:r>
    </w:p>
    <w:p w14:paraId="6829EB7E">
      <w:pPr>
        <w:ind w:firstLine="560"/>
        <w:rPr>
          <w:color w:val="000000"/>
        </w:rPr>
      </w:pPr>
      <w:r>
        <w:rPr>
          <w:rFonts w:hint="eastAsia"/>
          <w:color w:val="000000"/>
        </w:rPr>
        <w:t>（7）</w:t>
      </w:r>
      <w:r>
        <w:rPr>
          <w:color w:val="000000"/>
        </w:rPr>
        <w:t>《土地基本术语》（GB/T19231-2003）；</w:t>
      </w:r>
    </w:p>
    <w:p w14:paraId="3EAFE9DC">
      <w:pPr>
        <w:ind w:firstLine="560"/>
        <w:rPr>
          <w:color w:val="000000"/>
        </w:rPr>
      </w:pPr>
      <w:r>
        <w:rPr>
          <w:rFonts w:hint="eastAsia"/>
          <w:color w:val="000000"/>
        </w:rPr>
        <w:t>（8）</w:t>
      </w:r>
      <w:r>
        <w:rPr>
          <w:color w:val="000000"/>
        </w:rPr>
        <w:t>《造林作业设计规程》（LY/T1607-2003）；</w:t>
      </w:r>
    </w:p>
    <w:p w14:paraId="3442FC2C">
      <w:pPr>
        <w:ind w:firstLine="560"/>
        <w:rPr>
          <w:color w:val="000000"/>
        </w:rPr>
      </w:pPr>
      <w:r>
        <w:rPr>
          <w:rFonts w:hint="eastAsia"/>
          <w:color w:val="000000"/>
        </w:rPr>
        <w:t>（9）</w:t>
      </w:r>
      <w:r>
        <w:rPr>
          <w:color w:val="000000"/>
        </w:rPr>
        <w:t>《地下水监测规范》（SL/T183-2005）；</w:t>
      </w:r>
    </w:p>
    <w:p w14:paraId="50BE0654">
      <w:pPr>
        <w:ind w:firstLine="560"/>
        <w:rPr>
          <w:color w:val="000000"/>
        </w:rPr>
      </w:pPr>
      <w:r>
        <w:rPr>
          <w:rFonts w:hint="eastAsia"/>
          <w:color w:val="000000"/>
        </w:rPr>
        <w:t>（10）</w:t>
      </w:r>
      <w:r>
        <w:rPr>
          <w:color w:val="000000"/>
        </w:rPr>
        <w:t>《滑坡防治工程勘查规范》（DZ/T0218-2006）；</w:t>
      </w:r>
    </w:p>
    <w:p w14:paraId="65BB0228">
      <w:pPr>
        <w:ind w:firstLine="560"/>
        <w:rPr>
          <w:color w:val="000000"/>
        </w:rPr>
      </w:pPr>
      <w:r>
        <w:rPr>
          <w:rFonts w:hint="eastAsia"/>
          <w:color w:val="000000"/>
        </w:rPr>
        <w:t>（11）</w:t>
      </w:r>
      <w:r>
        <w:rPr>
          <w:color w:val="000000"/>
        </w:rPr>
        <w:t>《滑坡防治工程设计与施工技术规范》（DZ/T0219-2006）；</w:t>
      </w:r>
    </w:p>
    <w:p w14:paraId="2EA4F1E8">
      <w:pPr>
        <w:ind w:firstLine="560"/>
        <w:rPr>
          <w:color w:val="000000"/>
        </w:rPr>
      </w:pPr>
      <w:r>
        <w:rPr>
          <w:rFonts w:hint="eastAsia"/>
          <w:color w:val="000000"/>
        </w:rPr>
        <w:t>（12）</w:t>
      </w:r>
      <w:r>
        <w:rPr>
          <w:color w:val="000000"/>
        </w:rPr>
        <w:t>《泥石流灾害防治工程勘查规范》（DZ/T0220-2006）；</w:t>
      </w:r>
    </w:p>
    <w:p w14:paraId="3C9A0B7A">
      <w:pPr>
        <w:ind w:firstLine="560"/>
        <w:rPr>
          <w:color w:val="000000"/>
        </w:rPr>
      </w:pPr>
      <w:r>
        <w:rPr>
          <w:rFonts w:hint="eastAsia"/>
          <w:color w:val="000000"/>
        </w:rPr>
        <w:t>（13）</w:t>
      </w:r>
      <w:r>
        <w:rPr>
          <w:color w:val="000000"/>
        </w:rPr>
        <w:t>《崩塌、滑坡、泥石流监测规范》（DZ/T0221-2006）；</w:t>
      </w:r>
    </w:p>
    <w:p w14:paraId="15669743">
      <w:pPr>
        <w:ind w:firstLine="560"/>
        <w:rPr>
          <w:rFonts w:hint="eastAsia" w:eastAsia="宋体"/>
          <w:color w:val="000000"/>
          <w:lang w:eastAsia="zh-CN"/>
        </w:rPr>
      </w:pPr>
      <w:r>
        <w:rPr>
          <w:rFonts w:hint="eastAsia"/>
          <w:color w:val="000000"/>
        </w:rPr>
        <w:t>（14）</w:t>
      </w:r>
      <w:r>
        <w:rPr>
          <w:color w:val="000000"/>
        </w:rPr>
        <w:t>《水土保持综合治理技术规范》（GB/T16453-2008）</w:t>
      </w:r>
    </w:p>
    <w:p w14:paraId="0A33312F">
      <w:pPr>
        <w:ind w:firstLine="560"/>
        <w:rPr>
          <w:color w:val="000000"/>
        </w:rPr>
      </w:pPr>
      <w:r>
        <w:rPr>
          <w:rFonts w:hint="eastAsia"/>
          <w:color w:val="000000"/>
        </w:rPr>
        <w:t>（15）</w:t>
      </w:r>
      <w:r>
        <w:rPr>
          <w:color w:val="000000"/>
        </w:rPr>
        <w:t>《岩土工程勘察规范》（GB50021-2001，2009年版）；</w:t>
      </w:r>
    </w:p>
    <w:p w14:paraId="3A764231">
      <w:pPr>
        <w:ind w:firstLine="560"/>
        <w:rPr>
          <w:color w:val="000000"/>
        </w:rPr>
      </w:pPr>
      <w:r>
        <w:rPr>
          <w:rFonts w:hint="eastAsia"/>
          <w:color w:val="000000"/>
        </w:rPr>
        <w:t>（16）</w:t>
      </w:r>
      <w:r>
        <w:rPr>
          <w:color w:val="000000"/>
        </w:rPr>
        <w:t>《生态修复方案编制规范》（DZ/T0223-2011）；</w:t>
      </w:r>
    </w:p>
    <w:p w14:paraId="6197A3CE">
      <w:pPr>
        <w:ind w:firstLine="560"/>
        <w:rPr>
          <w:color w:val="000000"/>
        </w:rPr>
      </w:pPr>
      <w:r>
        <w:rPr>
          <w:rFonts w:hint="eastAsia"/>
          <w:color w:val="000000"/>
        </w:rPr>
        <w:t>（17）</w:t>
      </w:r>
      <w:r>
        <w:rPr>
          <w:color w:val="000000"/>
        </w:rPr>
        <w:t>《土地复垦方案编制规程-通则》（TD/T1031.1-2011）；</w:t>
      </w:r>
    </w:p>
    <w:p w14:paraId="28E3C454">
      <w:pPr>
        <w:ind w:firstLine="560"/>
        <w:rPr>
          <w:color w:val="000000"/>
        </w:rPr>
      </w:pPr>
      <w:r>
        <w:rPr>
          <w:rFonts w:hint="eastAsia"/>
          <w:color w:val="000000"/>
        </w:rPr>
        <w:t>（18）</w:t>
      </w:r>
      <w:r>
        <w:rPr>
          <w:color w:val="000000"/>
        </w:rPr>
        <w:t>《土地复垦方案编制规程第3部分:井工</w:t>
      </w:r>
      <w:r>
        <w:rPr>
          <w:rFonts w:hint="eastAsia"/>
          <w:color w:val="000000"/>
          <w:lang w:eastAsia="zh-CN"/>
        </w:rPr>
        <w:t>滑石</w:t>
      </w:r>
      <w:r>
        <w:rPr>
          <w:color w:val="000000"/>
        </w:rPr>
        <w:t>矿》（TD/T1031.3-2011）；</w:t>
      </w:r>
    </w:p>
    <w:p w14:paraId="38AF06A9">
      <w:pPr>
        <w:ind w:firstLine="560"/>
        <w:rPr>
          <w:color w:val="000000"/>
        </w:rPr>
      </w:pPr>
      <w:r>
        <w:rPr>
          <w:rFonts w:hint="eastAsia"/>
          <w:color w:val="000000"/>
        </w:rPr>
        <w:t>（19）</w:t>
      </w:r>
      <w:r>
        <w:rPr>
          <w:color w:val="000000"/>
        </w:rPr>
        <w:t>财政部、国土资源部《土地开发整理项目预算定额标准》（财综（2011）128号）；</w:t>
      </w:r>
    </w:p>
    <w:p w14:paraId="57088C9F">
      <w:pPr>
        <w:ind w:firstLine="560"/>
        <w:rPr>
          <w:color w:val="000000"/>
        </w:rPr>
      </w:pPr>
      <w:r>
        <w:rPr>
          <w:rFonts w:hint="eastAsia"/>
          <w:color w:val="000000"/>
        </w:rPr>
        <w:t>（20）</w:t>
      </w:r>
      <w:r>
        <w:rPr>
          <w:color w:val="000000"/>
        </w:rPr>
        <w:t>《土地复垦质量控制标准》（TD/T1036-2013）；</w:t>
      </w:r>
    </w:p>
    <w:p w14:paraId="03281FC2">
      <w:pPr>
        <w:ind w:firstLine="560"/>
        <w:rPr>
          <w:rFonts w:hint="eastAsia" w:eastAsia="宋体"/>
          <w:color w:val="000000"/>
          <w:lang w:eastAsia="zh-CN"/>
        </w:rPr>
      </w:pPr>
      <w:r>
        <w:rPr>
          <w:rFonts w:hint="eastAsia"/>
          <w:color w:val="000000"/>
        </w:rPr>
        <w:t>（21）</w:t>
      </w:r>
      <w:r>
        <w:rPr>
          <w:color w:val="000000"/>
        </w:rPr>
        <w:t>《建筑边坡工程技术规范》（GB50330-2013）；</w:t>
      </w:r>
    </w:p>
    <w:p w14:paraId="66D14C62">
      <w:pPr>
        <w:ind w:firstLine="560"/>
        <w:rPr>
          <w:color w:val="000000"/>
        </w:rPr>
      </w:pPr>
      <w:r>
        <w:rPr>
          <w:rFonts w:hint="eastAsia"/>
          <w:color w:val="000000"/>
        </w:rPr>
        <w:t>（22）</w:t>
      </w:r>
      <w:r>
        <w:rPr>
          <w:color w:val="000000"/>
        </w:rPr>
        <w:t>《生产项目土地复垦验收规程》（TD/T1044-2014）；</w:t>
      </w:r>
    </w:p>
    <w:p w14:paraId="7FA87D6A">
      <w:pPr>
        <w:ind w:firstLine="560"/>
        <w:rPr>
          <w:color w:val="000000"/>
        </w:rPr>
      </w:pPr>
      <w:r>
        <w:rPr>
          <w:rFonts w:hint="eastAsia"/>
          <w:color w:val="000000"/>
        </w:rPr>
        <w:t>（23）</w:t>
      </w:r>
      <w:r>
        <w:rPr>
          <w:color w:val="000000"/>
        </w:rPr>
        <w:t>《区域地质图图例》（GB/T958-2015）；</w:t>
      </w:r>
    </w:p>
    <w:p w14:paraId="217A6ECB">
      <w:pPr>
        <w:ind w:firstLine="560"/>
        <w:rPr>
          <w:color w:val="000000"/>
        </w:rPr>
      </w:pPr>
      <w:r>
        <w:rPr>
          <w:rFonts w:hint="eastAsia"/>
          <w:color w:val="000000"/>
        </w:rPr>
        <w:t>（24）</w:t>
      </w:r>
      <w:r>
        <w:rPr>
          <w:color w:val="000000"/>
        </w:rPr>
        <w:t>《生态环境状况评价技术规范》（HJ/T192-2015）；</w:t>
      </w:r>
    </w:p>
    <w:p w14:paraId="220E5695">
      <w:pPr>
        <w:ind w:firstLine="560"/>
        <w:rPr>
          <w:color w:val="000000"/>
        </w:rPr>
      </w:pPr>
      <w:r>
        <w:rPr>
          <w:rFonts w:hint="eastAsia"/>
          <w:color w:val="000000"/>
        </w:rPr>
        <w:t>（25）</w:t>
      </w:r>
      <w:r>
        <w:rPr>
          <w:color w:val="000000"/>
        </w:rPr>
        <w:t>《矿区生态修复方案编制指南（临时）》（2025年7月1日）；</w:t>
      </w:r>
    </w:p>
    <w:p w14:paraId="2B0DEA49">
      <w:pPr>
        <w:ind w:firstLine="560"/>
        <w:rPr>
          <w:color w:val="000000"/>
        </w:rPr>
      </w:pPr>
      <w:r>
        <w:rPr>
          <w:rFonts w:hint="eastAsia"/>
          <w:color w:val="000000"/>
        </w:rPr>
        <w:t>（26）</w:t>
      </w:r>
      <w:r>
        <w:rPr>
          <w:color w:val="000000"/>
        </w:rPr>
        <w:t>《土地整治项目规划设计规范》（TD/T1012-2016）；</w:t>
      </w:r>
    </w:p>
    <w:p w14:paraId="23B77F1D">
      <w:pPr>
        <w:ind w:firstLine="560"/>
        <w:rPr>
          <w:color w:val="000000"/>
        </w:rPr>
      </w:pPr>
      <w:r>
        <w:rPr>
          <w:rFonts w:hint="eastAsia"/>
          <w:color w:val="000000"/>
        </w:rPr>
        <w:t>（27）</w:t>
      </w:r>
      <w:r>
        <w:rPr>
          <w:color w:val="000000"/>
        </w:rPr>
        <w:t>《建筑物、水体、铁路及主要井巷</w:t>
      </w:r>
      <w:r>
        <w:rPr>
          <w:rFonts w:hint="eastAsia"/>
          <w:color w:val="000000"/>
          <w:lang w:eastAsia="zh-CN"/>
        </w:rPr>
        <w:t>滑石</w:t>
      </w:r>
      <w:r>
        <w:rPr>
          <w:color w:val="000000"/>
        </w:rPr>
        <w:t>柱留设与压</w:t>
      </w:r>
      <w:r>
        <w:rPr>
          <w:rFonts w:hint="eastAsia"/>
          <w:color w:val="000000"/>
          <w:lang w:eastAsia="zh-CN"/>
        </w:rPr>
        <w:t>滑石</w:t>
      </w:r>
      <w:r>
        <w:rPr>
          <w:color w:val="000000"/>
        </w:rPr>
        <w:t>开采规范》（2017版）；</w:t>
      </w:r>
    </w:p>
    <w:p w14:paraId="4096ACD3">
      <w:pPr>
        <w:ind w:firstLine="560"/>
        <w:rPr>
          <w:color w:val="000000"/>
        </w:rPr>
      </w:pPr>
      <w:r>
        <w:rPr>
          <w:rFonts w:hint="eastAsia"/>
          <w:color w:val="000000"/>
        </w:rPr>
        <w:t>（28）</w:t>
      </w:r>
      <w:r>
        <w:rPr>
          <w:color w:val="000000"/>
        </w:rPr>
        <w:t>《地下水质量标准》（GB/T14848-2017）；</w:t>
      </w:r>
    </w:p>
    <w:p w14:paraId="5D3D81FA">
      <w:pPr>
        <w:ind w:firstLine="560"/>
        <w:rPr>
          <w:color w:val="000000"/>
        </w:rPr>
      </w:pPr>
      <w:r>
        <w:rPr>
          <w:rFonts w:hint="eastAsia"/>
          <w:color w:val="000000"/>
        </w:rPr>
        <w:t>（29）</w:t>
      </w:r>
      <w:r>
        <w:rPr>
          <w:color w:val="000000"/>
        </w:rPr>
        <w:t>《土壤环境质量农用地土壤污染风险管控标准（试行）（GB15168-2018）》；</w:t>
      </w:r>
    </w:p>
    <w:p w14:paraId="72D13EF9">
      <w:pPr>
        <w:ind w:firstLine="560"/>
        <w:rPr>
          <w:rFonts w:hint="eastAsia" w:eastAsia="宋体"/>
          <w:color w:val="000000"/>
          <w:lang w:eastAsia="zh-CN"/>
        </w:rPr>
      </w:pPr>
      <w:r>
        <w:rPr>
          <w:rFonts w:hint="eastAsia"/>
          <w:color w:val="000000"/>
        </w:rPr>
        <w:t>（30）</w:t>
      </w:r>
      <w:r>
        <w:rPr>
          <w:color w:val="000000"/>
        </w:rPr>
        <w:t>《土壤环境质量建设用地土壤污染风险管控标准（试行）（GB36600-2018）》；</w:t>
      </w:r>
    </w:p>
    <w:p w14:paraId="1A6E3820">
      <w:pPr>
        <w:ind w:firstLine="560"/>
        <w:rPr>
          <w:color w:val="000000"/>
        </w:rPr>
      </w:pPr>
      <w:r>
        <w:rPr>
          <w:rFonts w:hint="eastAsia"/>
          <w:color w:val="000000"/>
        </w:rPr>
        <w:t>（31）</w:t>
      </w:r>
      <w:r>
        <w:rPr>
          <w:color w:val="000000"/>
        </w:rPr>
        <w:t>《第三次全国国土调查技术规程》（TD/T1055-2019）；</w:t>
      </w:r>
    </w:p>
    <w:p w14:paraId="51BA73B8">
      <w:pPr>
        <w:ind w:firstLine="560"/>
        <w:rPr>
          <w:color w:val="000000"/>
        </w:rPr>
      </w:pPr>
      <w:r>
        <w:rPr>
          <w:rFonts w:hint="eastAsia"/>
          <w:color w:val="000000"/>
        </w:rPr>
        <w:t>（32）</w:t>
      </w:r>
      <w:r>
        <w:rPr>
          <w:color w:val="000000"/>
        </w:rPr>
        <w:t>《矿区水文地质工程地质勘探规范》（GBT12719-2021）；</w:t>
      </w:r>
    </w:p>
    <w:p w14:paraId="57E11D31">
      <w:pPr>
        <w:ind w:firstLine="560"/>
        <w:rPr>
          <w:color w:val="000000"/>
        </w:rPr>
      </w:pPr>
      <w:r>
        <w:rPr>
          <w:rFonts w:hint="eastAsia"/>
          <w:color w:val="000000"/>
        </w:rPr>
        <w:t>（33）</w:t>
      </w:r>
      <w:r>
        <w:rPr>
          <w:color w:val="000000"/>
        </w:rPr>
        <w:t>《地质灾害危险性评估规范》（GB/T40112-2021）；</w:t>
      </w:r>
    </w:p>
    <w:p w14:paraId="4C8F1317">
      <w:pPr>
        <w:ind w:firstLine="560"/>
        <w:rPr>
          <w:color w:val="000000"/>
        </w:rPr>
      </w:pPr>
      <w:r>
        <w:rPr>
          <w:rFonts w:hint="eastAsia"/>
          <w:color w:val="000000"/>
        </w:rPr>
        <w:t>（34）</w:t>
      </w:r>
      <w:r>
        <w:rPr>
          <w:color w:val="000000"/>
        </w:rPr>
        <w:t>《矿山生态修复技术规范第1部分:通则》（TD/T1070.1-2022）；</w:t>
      </w:r>
    </w:p>
    <w:p w14:paraId="31DD8866">
      <w:pPr>
        <w:ind w:firstLine="560"/>
        <w:rPr>
          <w:rFonts w:hint="eastAsia" w:eastAsia="宋体"/>
          <w:color w:val="000000"/>
          <w:lang w:eastAsia="zh-CN"/>
        </w:rPr>
      </w:pPr>
      <w:r>
        <w:rPr>
          <w:rFonts w:hint="eastAsia"/>
          <w:color w:val="000000"/>
        </w:rPr>
        <w:t>（35）</w:t>
      </w:r>
      <w:r>
        <w:rPr>
          <w:color w:val="000000"/>
        </w:rPr>
        <w:t>《矿山生态修复技术规范第2部分:</w:t>
      </w:r>
      <w:r>
        <w:rPr>
          <w:rFonts w:hint="eastAsia"/>
          <w:color w:val="000000"/>
          <w:lang w:eastAsia="zh-CN"/>
        </w:rPr>
        <w:t>滑石</w:t>
      </w:r>
      <w:r>
        <w:rPr>
          <w:color w:val="000000"/>
        </w:rPr>
        <w:t>矿山》（TD/T1070.2-2022）；</w:t>
      </w:r>
    </w:p>
    <w:p w14:paraId="473A481E">
      <w:pPr>
        <w:ind w:firstLine="560"/>
        <w:rPr>
          <w:color w:val="000000"/>
        </w:rPr>
      </w:pPr>
      <w:r>
        <w:rPr>
          <w:rFonts w:hint="eastAsia"/>
          <w:color w:val="000000"/>
        </w:rPr>
        <w:t>（36）</w:t>
      </w:r>
      <w:r>
        <w:rPr>
          <w:color w:val="000000"/>
        </w:rPr>
        <w:t>《</w:t>
      </w:r>
      <w:r>
        <w:rPr>
          <w:rFonts w:hint="eastAsia"/>
          <w:color w:val="000000"/>
          <w:lang w:eastAsia="zh-CN"/>
        </w:rPr>
        <w:t>滑石</w:t>
      </w:r>
      <w:r>
        <w:rPr>
          <w:color w:val="000000"/>
        </w:rPr>
        <w:t>矿土地复垦与生态修复技术规范》（GB/T43934-2024）；</w:t>
      </w:r>
    </w:p>
    <w:p w14:paraId="094D266F">
      <w:pPr>
        <w:ind w:firstLine="560"/>
        <w:rPr>
          <w:color w:val="000000"/>
        </w:rPr>
      </w:pPr>
      <w:r>
        <w:rPr>
          <w:rFonts w:hint="eastAsia"/>
          <w:color w:val="000000"/>
        </w:rPr>
        <w:t>（37）</w:t>
      </w:r>
      <w:r>
        <w:rPr>
          <w:color w:val="000000"/>
        </w:rPr>
        <w:t>《矿山土地复垦与生态修复监测评价技术规范》（GB/T43935-2024）</w:t>
      </w:r>
    </w:p>
    <w:p w14:paraId="11181810">
      <w:pPr>
        <w:pStyle w:val="5"/>
        <w:ind w:firstLine="562"/>
        <w:rPr>
          <w:rFonts w:hint="eastAsia" w:eastAsia="宋体"/>
          <w:lang w:eastAsia="zh-CN"/>
        </w:rPr>
      </w:pPr>
      <w:r>
        <w:t>（三）有关资料</w:t>
      </w:r>
    </w:p>
    <w:p w14:paraId="1594418C">
      <w:pPr>
        <w:ind w:firstLine="560"/>
        <w:rPr>
          <w:color w:val="000000"/>
        </w:rPr>
      </w:pPr>
      <w:r>
        <w:rPr>
          <w:color w:val="000000"/>
        </w:rPr>
        <w:t>1.《吉林省区域地质志》，吉林省地质矿产局，1982年；</w:t>
      </w:r>
    </w:p>
    <w:p w14:paraId="1AEB363C">
      <w:pPr>
        <w:ind w:firstLine="560"/>
        <w:rPr>
          <w:color w:val="000000"/>
        </w:rPr>
      </w:pPr>
      <w:r>
        <w:rPr>
          <w:color w:val="000000"/>
        </w:rPr>
        <w:t>2.《吉林省区域地质环境调查说明书》，吉林省地质调查院，2000年；</w:t>
      </w:r>
    </w:p>
    <w:p w14:paraId="3D5FA6E3">
      <w:pPr>
        <w:ind w:firstLine="560"/>
        <w:rPr>
          <w:color w:val="000000"/>
        </w:rPr>
      </w:pPr>
      <w:r>
        <w:rPr>
          <w:color w:val="000000"/>
        </w:rPr>
        <w:t>3.《</w:t>
      </w:r>
      <w:r>
        <w:rPr>
          <w:rFonts w:hint="eastAsia"/>
          <w:color w:val="000000"/>
          <w:lang w:eastAsia="zh-CN"/>
        </w:rPr>
        <w:t>通化市集安市</w:t>
      </w:r>
      <w:r>
        <w:rPr>
          <w:color w:val="000000"/>
        </w:rPr>
        <w:t>国土空间总体规划（202</w:t>
      </w:r>
      <w:r>
        <w:rPr>
          <w:rFonts w:hint="eastAsia"/>
          <w:color w:val="000000"/>
        </w:rPr>
        <w:t>1</w:t>
      </w:r>
      <w:r>
        <w:rPr>
          <w:color w:val="000000"/>
        </w:rPr>
        <w:t>—2035年）》；</w:t>
      </w:r>
    </w:p>
    <w:p w14:paraId="77F8D9C1">
      <w:pPr>
        <w:ind w:firstLine="560"/>
        <w:rPr>
          <w:rFonts w:hint="eastAsia"/>
          <w:color w:val="000000"/>
          <w:lang w:eastAsia="zh-CN"/>
        </w:rPr>
      </w:pPr>
      <w:r>
        <w:rPr>
          <w:rFonts w:hint="eastAsia"/>
          <w:color w:val="000000"/>
          <w:lang w:eastAsia="zh-CN"/>
        </w:rPr>
        <w:t>4.《通化市集安市矿产资源总体规划（2021—2025年）》；</w:t>
      </w:r>
    </w:p>
    <w:p w14:paraId="39471032">
      <w:pPr>
        <w:ind w:firstLine="560"/>
        <w:rPr>
          <w:rFonts w:hint="eastAsia"/>
          <w:color w:val="000000"/>
          <w:lang w:eastAsia="zh-CN"/>
        </w:rPr>
      </w:pPr>
      <w:r>
        <w:rPr>
          <w:rFonts w:hint="eastAsia"/>
          <w:color w:val="000000"/>
          <w:lang w:val="en-US" w:eastAsia="zh-CN"/>
        </w:rPr>
        <w:t>5.</w:t>
      </w:r>
      <w:r>
        <w:rPr>
          <w:rFonts w:hint="eastAsia"/>
          <w:color w:val="000000"/>
          <w:lang w:eastAsia="zh-CN"/>
        </w:rPr>
        <w:t>《集安市国土空间生态修复规划》（2021-2035）；</w:t>
      </w:r>
    </w:p>
    <w:p w14:paraId="6DA549FE">
      <w:pPr>
        <w:ind w:firstLine="560"/>
        <w:rPr>
          <w:color w:val="000000"/>
        </w:rPr>
      </w:pPr>
      <w:r>
        <w:rPr>
          <w:rFonts w:hint="eastAsia"/>
          <w:color w:val="000000"/>
          <w:lang w:val="en-US" w:eastAsia="zh-CN"/>
        </w:rPr>
        <w:t>6</w:t>
      </w:r>
      <w:r>
        <w:rPr>
          <w:rFonts w:hint="eastAsia"/>
          <w:color w:val="000000"/>
          <w:lang w:eastAsia="zh-CN"/>
        </w:rPr>
        <w:t>.《吉林省集安市清河镇二道滑石矿开采方案》，</w:t>
      </w:r>
      <w:r>
        <w:rPr>
          <w:rFonts w:hint="eastAsia"/>
          <w:color w:val="000000"/>
          <w:lang w:val="en-US" w:eastAsia="zh-CN"/>
        </w:rPr>
        <w:t>通化市智信地质矿产勘查技术服务有限公司</w:t>
      </w:r>
      <w:r>
        <w:rPr>
          <w:color w:val="000000"/>
        </w:rPr>
        <w:t>，20</w:t>
      </w:r>
      <w:r>
        <w:rPr>
          <w:rFonts w:hint="eastAsia"/>
          <w:color w:val="000000"/>
        </w:rPr>
        <w:t>2</w:t>
      </w:r>
      <w:r>
        <w:rPr>
          <w:rFonts w:hint="eastAsia"/>
          <w:color w:val="000000"/>
          <w:lang w:val="en-US" w:eastAsia="zh-CN"/>
        </w:rPr>
        <w:t>5</w:t>
      </w:r>
      <w:r>
        <w:rPr>
          <w:color w:val="000000"/>
        </w:rPr>
        <w:t>年</w:t>
      </w:r>
      <w:r>
        <w:rPr>
          <w:rFonts w:hint="eastAsia"/>
          <w:color w:val="000000"/>
          <w:lang w:val="en-US" w:eastAsia="zh-CN"/>
        </w:rPr>
        <w:t>11</w:t>
      </w:r>
      <w:r>
        <w:rPr>
          <w:color w:val="000000"/>
        </w:rPr>
        <w:t>月；</w:t>
      </w:r>
    </w:p>
    <w:p w14:paraId="62992322">
      <w:pPr>
        <w:ind w:firstLine="560"/>
        <w:rPr>
          <w:color w:val="000000"/>
        </w:rPr>
      </w:pPr>
      <w:r>
        <w:rPr>
          <w:rFonts w:hint="eastAsia"/>
          <w:color w:val="000000"/>
          <w:lang w:val="en-US" w:eastAsia="zh-CN"/>
        </w:rPr>
        <w:t>7</w:t>
      </w:r>
      <w:r>
        <w:rPr>
          <w:color w:val="000000"/>
        </w:rPr>
        <w:t>.《</w:t>
      </w:r>
      <w:r>
        <w:rPr>
          <w:rFonts w:hint="eastAsia"/>
          <w:color w:val="000000"/>
          <w:lang w:eastAsia="zh-CN"/>
        </w:rPr>
        <w:t>集安市中道矿业有限公司集安市清河镇二道滑石矿</w:t>
      </w:r>
      <w:r>
        <w:rPr>
          <w:color w:val="000000"/>
        </w:rPr>
        <w:t>矿山地质环境保护与土地复垦方案》，</w:t>
      </w:r>
      <w:r>
        <w:rPr>
          <w:rFonts w:hint="eastAsia"/>
          <w:color w:val="000000"/>
          <w:lang w:eastAsia="zh-CN"/>
        </w:rPr>
        <w:t>吉林省宏信地质环境工程有限公司</w:t>
      </w:r>
      <w:r>
        <w:rPr>
          <w:color w:val="000000"/>
        </w:rPr>
        <w:t>，20</w:t>
      </w:r>
      <w:r>
        <w:rPr>
          <w:rFonts w:hint="eastAsia"/>
          <w:color w:val="000000"/>
          <w:lang w:val="en-US" w:eastAsia="zh-CN"/>
        </w:rPr>
        <w:t>21</w:t>
      </w:r>
      <w:r>
        <w:rPr>
          <w:color w:val="000000"/>
        </w:rPr>
        <w:t>年</w:t>
      </w:r>
      <w:r>
        <w:rPr>
          <w:rFonts w:hint="eastAsia"/>
          <w:color w:val="000000"/>
          <w:lang w:val="en-US" w:eastAsia="zh-CN"/>
        </w:rPr>
        <w:t>12</w:t>
      </w:r>
      <w:r>
        <w:rPr>
          <w:color w:val="000000"/>
        </w:rPr>
        <w:t>月；</w:t>
      </w:r>
    </w:p>
    <w:p w14:paraId="76785A89">
      <w:pPr>
        <w:ind w:firstLine="560"/>
        <w:rPr>
          <w:color w:val="000000"/>
        </w:rPr>
      </w:pPr>
      <w:r>
        <w:rPr>
          <w:rFonts w:hint="eastAsia" w:cs="Times New Roman"/>
          <w:color w:val="000000"/>
          <w:lang w:val="en-US" w:eastAsia="zh-CN"/>
        </w:rPr>
        <w:t>8</w:t>
      </w:r>
      <w:r>
        <w:rPr>
          <w:rFonts w:hint="eastAsia" w:ascii="Times New Roman" w:hAnsi="Times New Roman" w:eastAsia="宋体" w:cs="Times New Roman"/>
          <w:color w:val="000000"/>
          <w:lang w:eastAsia="zh-CN"/>
        </w:rPr>
        <w:t>.《吉林省集安市清河镇二道滑石矿资源储量核实及深部（524米标高以下）和外围详查报告</w:t>
      </w:r>
      <w:r>
        <w:rPr>
          <w:color w:val="000000"/>
        </w:rPr>
        <w:t>》，</w:t>
      </w:r>
      <w:r>
        <w:rPr>
          <w:sz w:val="28"/>
          <w:szCs w:val="28"/>
        </w:rPr>
        <w:t>中国建筑材料工业地质勘查中心吉林总队</w:t>
      </w:r>
      <w:r>
        <w:rPr>
          <w:color w:val="000000"/>
        </w:rPr>
        <w:t>，202</w:t>
      </w:r>
      <w:r>
        <w:rPr>
          <w:rFonts w:hint="eastAsia"/>
          <w:color w:val="000000"/>
          <w:lang w:val="en-US" w:eastAsia="zh-CN"/>
        </w:rPr>
        <w:t>5</w:t>
      </w:r>
      <w:r>
        <w:rPr>
          <w:color w:val="000000"/>
        </w:rPr>
        <w:t>年</w:t>
      </w:r>
      <w:r>
        <w:rPr>
          <w:rFonts w:hint="eastAsia"/>
          <w:color w:val="000000"/>
        </w:rPr>
        <w:t>7</w:t>
      </w:r>
      <w:r>
        <w:rPr>
          <w:color w:val="000000"/>
        </w:rPr>
        <w:t>月；</w:t>
      </w:r>
    </w:p>
    <w:p w14:paraId="3C2778CA">
      <w:pPr>
        <w:ind w:firstLine="560"/>
        <w:rPr>
          <w:color w:val="000000"/>
        </w:rPr>
      </w:pPr>
      <w:r>
        <w:rPr>
          <w:rFonts w:hint="eastAsia"/>
          <w:color w:val="000000"/>
          <w:lang w:val="en-US" w:eastAsia="zh-CN"/>
        </w:rPr>
        <w:t>9</w:t>
      </w:r>
      <w:r>
        <w:rPr>
          <w:color w:val="000000"/>
        </w:rPr>
        <w:t>.采矿证及其他相关资料。</w:t>
      </w:r>
    </w:p>
    <w:p w14:paraId="6C6538F0">
      <w:pPr>
        <w:pStyle w:val="5"/>
        <w:ind w:firstLine="562"/>
      </w:pPr>
      <w:bookmarkStart w:id="19" w:name="_Toc211790725"/>
      <w:r>
        <w:t>（</w:t>
      </w:r>
      <w:r>
        <w:rPr>
          <w:rFonts w:hint="eastAsia"/>
        </w:rPr>
        <w:t>五</w:t>
      </w:r>
      <w:r>
        <w:t>）矿区生态修复方案对比分析</w:t>
      </w:r>
      <w:bookmarkEnd w:id="19"/>
    </w:p>
    <w:p w14:paraId="02464A00">
      <w:pPr>
        <w:ind w:firstLine="562"/>
        <w:jc w:val="both"/>
        <w:rPr>
          <w:b/>
          <w:bCs/>
          <w:szCs w:val="28"/>
        </w:rPr>
      </w:pPr>
      <w:r>
        <w:rPr>
          <w:b/>
          <w:bCs/>
          <w:szCs w:val="28"/>
        </w:rPr>
        <w:t>1.原《矿山地质环境保护与土地复垦方案》概况</w:t>
      </w:r>
    </w:p>
    <w:p w14:paraId="5D918A63">
      <w:pPr>
        <w:ind w:firstLine="560"/>
        <w:rPr>
          <w:color w:val="000000"/>
        </w:rPr>
      </w:pPr>
      <w:r>
        <w:rPr>
          <w:rFonts w:hint="eastAsia"/>
          <w:color w:val="000000"/>
          <w:lang w:eastAsia="zh-CN"/>
        </w:rPr>
        <w:t>2021年12月</w:t>
      </w:r>
      <w:r>
        <w:rPr>
          <w:color w:val="000000"/>
        </w:rPr>
        <w:t>由</w:t>
      </w:r>
      <w:r>
        <w:rPr>
          <w:rFonts w:hint="eastAsia"/>
          <w:color w:val="000000"/>
          <w:lang w:eastAsia="zh-CN"/>
        </w:rPr>
        <w:t>吉林省宏信地质环境工程有限公司</w:t>
      </w:r>
      <w:r>
        <w:rPr>
          <w:color w:val="000000"/>
        </w:rPr>
        <w:t>编制的《</w:t>
      </w:r>
      <w:r>
        <w:rPr>
          <w:rFonts w:hint="eastAsia"/>
          <w:color w:val="000000"/>
          <w:lang w:eastAsia="zh-CN"/>
        </w:rPr>
        <w:t>集安市中道矿业有限公司集安市清河镇二道滑石矿</w:t>
      </w:r>
      <w:r>
        <w:rPr>
          <w:color w:val="000000"/>
        </w:rPr>
        <w:t>矿山地质环境保护与土地复垦方案》主要内容如下（引用）：</w:t>
      </w:r>
    </w:p>
    <w:p w14:paraId="3376CE23">
      <w:pPr>
        <w:ind w:firstLine="560"/>
      </w:pPr>
      <w:r>
        <w:t>（1）</w:t>
      </w:r>
      <w:r>
        <w:rPr>
          <w:rFonts w:hint="eastAsia"/>
          <w:color w:val="000000"/>
          <w:lang w:eastAsia="zh-CN"/>
        </w:rPr>
        <w:t>二道滑石矿滑石</w:t>
      </w:r>
      <w:r>
        <w:rPr>
          <w:color w:val="000000"/>
        </w:rPr>
        <w:t>矿开采矿种为</w:t>
      </w:r>
      <w:r>
        <w:rPr>
          <w:rFonts w:hint="eastAsia"/>
          <w:color w:val="000000"/>
          <w:lang w:eastAsia="zh-CN"/>
        </w:rPr>
        <w:t>滑石</w:t>
      </w:r>
      <w:r>
        <w:rPr>
          <w:color w:val="000000"/>
        </w:rPr>
        <w:t>，开采方式为</w:t>
      </w:r>
      <w:r>
        <w:rPr>
          <w:rFonts w:hint="eastAsia"/>
          <w:color w:val="000000"/>
          <w:lang w:val="en-US" w:eastAsia="zh-CN"/>
        </w:rPr>
        <w:t>露天/</w:t>
      </w:r>
      <w:r>
        <w:rPr>
          <w:color w:val="000000"/>
        </w:rPr>
        <w:t>地下开采。矿山剩余服务年限为</w:t>
      </w:r>
      <w:r>
        <w:rPr>
          <w:rFonts w:hint="eastAsia"/>
          <w:color w:val="000000"/>
          <w:lang w:val="en-US" w:eastAsia="zh-CN"/>
        </w:rPr>
        <w:t>2.0</w:t>
      </w:r>
      <w:r>
        <w:rPr>
          <w:color w:val="000000"/>
        </w:rPr>
        <w:t>年。本“方案”服务年限自</w:t>
      </w:r>
      <w:r>
        <w:rPr>
          <w:rFonts w:hint="eastAsia" w:hAnsi="Times New Roman"/>
        </w:rPr>
        <w:t>2021年12月</w:t>
      </w:r>
      <w:r>
        <w:rPr>
          <w:rFonts w:hAnsi="Times New Roman"/>
        </w:rPr>
        <w:t>至</w:t>
      </w:r>
      <w:r>
        <w:rPr>
          <w:rFonts w:hint="eastAsia" w:hAnsi="Times New Roman"/>
        </w:rPr>
        <w:t>2027年12月</w:t>
      </w:r>
      <w:r>
        <w:rPr>
          <w:color w:val="000000"/>
        </w:rPr>
        <w:t>，共</w:t>
      </w:r>
      <w:r>
        <w:rPr>
          <w:rFonts w:hint="eastAsia"/>
          <w:color w:val="000000"/>
          <w:lang w:val="en-US" w:eastAsia="zh-CN"/>
        </w:rPr>
        <w:t>6.0</w:t>
      </w:r>
      <w:r>
        <w:rPr>
          <w:color w:val="000000"/>
        </w:rPr>
        <w:t>年。</w:t>
      </w:r>
    </w:p>
    <w:p w14:paraId="6FCEDAD8">
      <w:pPr>
        <w:ind w:firstLine="560"/>
      </w:pPr>
      <w:r>
        <w:t>（2）</w:t>
      </w:r>
      <w:r>
        <w:rPr>
          <w:rFonts w:hint="eastAsia"/>
          <w:lang w:eastAsia="zh-CN"/>
        </w:rPr>
        <w:t>集安市清河镇二道滑石矿</w:t>
      </w:r>
      <w:r>
        <w:rPr>
          <w:rFonts w:hint="eastAsia"/>
        </w:rPr>
        <w:t>矿区面积</w:t>
      </w:r>
      <w:r>
        <w:rPr>
          <w:rFonts w:hint="eastAsia"/>
          <w:lang w:eastAsia="zh-CN"/>
        </w:rPr>
        <w:t>25.01</w:t>
      </w:r>
      <w:r>
        <w:rPr>
          <w:rFonts w:hint="eastAsia"/>
        </w:rPr>
        <w:t>hm²，项目区面积</w:t>
      </w:r>
      <w:r>
        <w:rPr>
          <w:rFonts w:hint="eastAsia"/>
          <w:lang w:eastAsia="zh-CN"/>
        </w:rPr>
        <w:t>0.47</w:t>
      </w:r>
      <w:r>
        <w:rPr>
          <w:rFonts w:hint="eastAsia"/>
        </w:rPr>
        <w:t>hm²。复垦责任范围</w:t>
      </w:r>
      <w:r>
        <w:rPr>
          <w:rFonts w:hint="eastAsia"/>
          <w:lang w:val="en-US" w:eastAsia="zh-CN"/>
        </w:rPr>
        <w:t>0.3608</w:t>
      </w:r>
      <w:r>
        <w:rPr>
          <w:rFonts w:hint="eastAsia"/>
        </w:rPr>
        <w:t>hm</w:t>
      </w:r>
      <w:r>
        <w:rPr>
          <w:rFonts w:hint="eastAsia"/>
          <w:vertAlign w:val="superscript"/>
        </w:rPr>
        <w:t>2</w:t>
      </w:r>
      <w:r>
        <w:rPr>
          <w:rFonts w:hint="eastAsia"/>
        </w:rPr>
        <w:t>，土地所有权为</w:t>
      </w:r>
      <w:r>
        <w:rPr>
          <w:rFonts w:hint="eastAsia"/>
          <w:lang w:eastAsia="zh-CN"/>
        </w:rPr>
        <w:t>通化市集安市清河镇二道村</w:t>
      </w:r>
      <w:r>
        <w:rPr>
          <w:rFonts w:hint="eastAsia"/>
        </w:rPr>
        <w:t>集体土地，</w:t>
      </w:r>
      <w:r>
        <w:rPr>
          <w:rFonts w:hint="eastAsia"/>
          <w:lang w:eastAsia="zh-CN"/>
        </w:rPr>
        <w:t>集安市清河镇二道滑石矿</w:t>
      </w:r>
      <w:r>
        <w:rPr>
          <w:rFonts w:hint="eastAsia"/>
        </w:rPr>
        <w:t>通过租赁的方式获得使用权，土地权属清晰。</w:t>
      </w:r>
    </w:p>
    <w:p w14:paraId="6DAE9145">
      <w:pPr>
        <w:ind w:firstLine="560"/>
      </w:pPr>
      <w:r>
        <w:t>（3）矿山设计开采规模为</w:t>
      </w:r>
      <w:r>
        <w:rPr>
          <w:rFonts w:hint="eastAsia"/>
          <w:lang w:eastAsia="zh-CN"/>
        </w:rPr>
        <w:t>0.2万</w:t>
      </w:r>
      <w:r>
        <w:t>t/a的</w:t>
      </w:r>
      <w:r>
        <w:rPr>
          <w:rFonts w:hint="eastAsia"/>
          <w:lang w:val="en-US" w:eastAsia="zh-CN"/>
        </w:rPr>
        <w:t>小</w:t>
      </w:r>
      <w:r>
        <w:t>型矿山，矿山地质环境条件复杂程度</w:t>
      </w:r>
      <w:r>
        <w:rPr>
          <w:rFonts w:hint="eastAsia"/>
          <w:lang w:eastAsia="zh-CN"/>
        </w:rPr>
        <w:t>为中等</w:t>
      </w:r>
      <w:r>
        <w:t>，评估区重要程度</w:t>
      </w:r>
      <w:r>
        <w:rPr>
          <w:rFonts w:hint="eastAsia"/>
          <w:lang w:eastAsia="zh-CN"/>
        </w:rPr>
        <w:t>为较重要区</w:t>
      </w:r>
      <w:r>
        <w:t>，据此确定本次矿山地质环境影响评估级别</w:t>
      </w:r>
      <w:r>
        <w:rPr>
          <w:rFonts w:hint="eastAsia"/>
          <w:lang w:eastAsia="zh-CN"/>
        </w:rPr>
        <w:t>为二级</w:t>
      </w:r>
      <w:r>
        <w:t>。</w:t>
      </w:r>
    </w:p>
    <w:p w14:paraId="5D07E732">
      <w:pPr>
        <w:ind w:firstLine="560"/>
      </w:pPr>
      <w:r>
        <w:t>（4）</w:t>
      </w:r>
      <w:r>
        <w:rPr>
          <w:rFonts w:hint="eastAsia"/>
        </w:rPr>
        <w:t>现状评估矿山地质灾害危险性小；对地下水资源影响和破坏程度</w:t>
      </w:r>
      <w:r>
        <w:rPr>
          <w:rFonts w:hint="eastAsia"/>
          <w:lang w:val="en-US" w:eastAsia="zh-CN"/>
        </w:rPr>
        <w:t>较轻</w:t>
      </w:r>
      <w:r>
        <w:rPr>
          <w:rFonts w:hint="eastAsia"/>
        </w:rPr>
        <w:t>；</w:t>
      </w:r>
      <w:r>
        <w:rPr>
          <w:rFonts w:hint="eastAsia"/>
          <w:lang w:eastAsia="zh-CN"/>
        </w:rPr>
        <w:t>现状工业广场、三处废弃</w:t>
      </w:r>
      <w:r>
        <w:rPr>
          <w:rFonts w:hint="eastAsia"/>
          <w:lang w:val="en-US" w:eastAsia="zh-CN"/>
        </w:rPr>
        <w:t>平硐</w:t>
      </w:r>
      <w:r>
        <w:rPr>
          <w:rFonts w:hint="eastAsia"/>
        </w:rPr>
        <w:t>地对地形地貌景观和土地资源破坏影响程度较严重。综上，现状评估将评估区内</w:t>
      </w:r>
      <w:r>
        <w:rPr>
          <w:rFonts w:hint="eastAsia"/>
          <w:lang w:eastAsia="zh-CN"/>
        </w:rPr>
        <w:t>现状工业广场、三处废弃</w:t>
      </w:r>
      <w:r>
        <w:rPr>
          <w:rFonts w:hint="eastAsia"/>
          <w:lang w:val="en-US" w:eastAsia="zh-CN"/>
        </w:rPr>
        <w:t>平硐</w:t>
      </w:r>
      <w:r>
        <w:rPr>
          <w:rFonts w:hint="eastAsia"/>
        </w:rPr>
        <w:t>所在区域划分为矿山地质环境影响严重区，面积</w:t>
      </w:r>
      <w:r>
        <w:rPr>
          <w:rFonts w:hint="eastAsia"/>
          <w:lang w:val="en-US" w:eastAsia="zh-CN"/>
        </w:rPr>
        <w:t>0.3608</w:t>
      </w:r>
      <w:r>
        <w:rPr>
          <w:rFonts w:hint="eastAsia"/>
        </w:rPr>
        <w:t>hm²；其他区域划分为矿山地质环境影响较轻区，面积</w:t>
      </w:r>
      <w:r>
        <w:rPr>
          <w:rFonts w:hint="eastAsia"/>
          <w:lang w:eastAsia="zh-CN"/>
        </w:rPr>
        <w:t>46.6392</w:t>
      </w:r>
      <w:r>
        <w:rPr>
          <w:rFonts w:hint="eastAsia"/>
        </w:rPr>
        <w:t>hm²。</w:t>
      </w:r>
    </w:p>
    <w:p w14:paraId="133D4EFF">
      <w:pPr>
        <w:ind w:firstLine="560"/>
      </w:pPr>
      <w:r>
        <w:t>（5）预测评估矿山</w:t>
      </w:r>
      <w:r>
        <w:rPr>
          <w:rFonts w:hint="eastAsia"/>
          <w:lang w:val="en-US" w:eastAsia="zh-CN"/>
        </w:rPr>
        <w:t>地裂缝</w:t>
      </w:r>
      <w:r>
        <w:rPr>
          <w:rFonts w:hint="eastAsia"/>
        </w:rPr>
        <w:t>地质灾害可能性</w:t>
      </w:r>
      <w:r>
        <w:rPr>
          <w:rFonts w:hint="eastAsia"/>
          <w:lang w:val="en-US" w:eastAsia="zh-CN"/>
        </w:rPr>
        <w:t>小</w:t>
      </w:r>
      <w:r>
        <w:rPr>
          <w:rFonts w:hint="eastAsia"/>
        </w:rPr>
        <w:t>，危险性</w:t>
      </w:r>
      <w:r>
        <w:rPr>
          <w:rFonts w:hint="eastAsia"/>
          <w:lang w:val="en-US" w:eastAsia="zh-CN"/>
        </w:rPr>
        <w:t>小</w:t>
      </w:r>
      <w:r>
        <w:rPr>
          <w:rFonts w:hint="eastAsia"/>
        </w:rPr>
        <w:t>；预测矿山开采对地下水资源影响和破坏程度</w:t>
      </w:r>
      <w:r>
        <w:rPr>
          <w:rFonts w:hint="eastAsia"/>
          <w:lang w:val="en-US" w:eastAsia="zh-CN"/>
        </w:rPr>
        <w:t>较轻</w:t>
      </w:r>
      <w:r>
        <w:rPr>
          <w:rFonts w:hint="eastAsia"/>
        </w:rPr>
        <w:t>；</w:t>
      </w:r>
      <w:r>
        <w:rPr>
          <w:rFonts w:hint="eastAsia"/>
          <w:lang w:eastAsia="zh-CN"/>
        </w:rPr>
        <w:t>现状工业广场、三处废弃</w:t>
      </w:r>
      <w:r>
        <w:rPr>
          <w:rFonts w:hint="eastAsia"/>
          <w:lang w:val="en-US" w:eastAsia="zh-CN"/>
        </w:rPr>
        <w:t>平硐</w:t>
      </w:r>
      <w:r>
        <w:rPr>
          <w:rFonts w:hint="eastAsia"/>
        </w:rPr>
        <w:t>对地形地貌景观和土地资源破坏影响程度较严重。综上，预测评估将以上区域划分为矿山地质环境影响严重区，面积</w:t>
      </w:r>
      <w:r>
        <w:rPr>
          <w:rFonts w:hint="eastAsia"/>
          <w:lang w:val="en-US" w:eastAsia="zh-CN"/>
        </w:rPr>
        <w:t>0.3608</w:t>
      </w:r>
      <w:r>
        <w:rPr>
          <w:rFonts w:hint="eastAsia"/>
        </w:rPr>
        <w:t>hm²；其他区域划分为矿山地质环境影响较轻区，面积</w:t>
      </w:r>
      <w:r>
        <w:rPr>
          <w:rFonts w:hint="eastAsia"/>
          <w:lang w:eastAsia="zh-CN"/>
        </w:rPr>
        <w:t>46.6392</w:t>
      </w:r>
      <w:r>
        <w:rPr>
          <w:rFonts w:hint="eastAsia"/>
        </w:rPr>
        <w:t>hm²。</w:t>
      </w:r>
    </w:p>
    <w:p w14:paraId="320C3A58">
      <w:pPr>
        <w:ind w:firstLine="560"/>
      </w:pPr>
      <w:r>
        <w:t>（6）</w:t>
      </w:r>
      <w:r>
        <w:rPr>
          <w:rFonts w:hint="eastAsia"/>
        </w:rPr>
        <w:t>将评估区划分为重点防治区和一般防治区。矿山地质环境重点防治区：</w:t>
      </w:r>
      <w:r>
        <w:rPr>
          <w:rFonts w:hint="eastAsia"/>
          <w:lang w:eastAsia="zh-CN"/>
        </w:rPr>
        <w:t>现状工业广场0.</w:t>
      </w:r>
      <w:r>
        <w:rPr>
          <w:rFonts w:hint="eastAsia"/>
          <w:lang w:val="en-US" w:eastAsia="zh-CN"/>
        </w:rPr>
        <w:t>3608</w:t>
      </w:r>
      <w:r>
        <w:rPr>
          <w:rFonts w:hint="eastAsia"/>
        </w:rPr>
        <w:t>hm²</w:t>
      </w:r>
      <w:r>
        <w:rPr>
          <w:rFonts w:hint="eastAsia"/>
          <w:lang w:eastAsia="zh-CN"/>
        </w:rPr>
        <w:t>、三处废弃</w:t>
      </w:r>
      <w:r>
        <w:rPr>
          <w:rFonts w:hint="eastAsia"/>
          <w:lang w:val="en-US" w:eastAsia="zh-CN"/>
        </w:rPr>
        <w:t>平硐</w:t>
      </w:r>
      <w:r>
        <w:rPr>
          <w:rFonts w:hint="eastAsia"/>
        </w:rPr>
        <w:t>面积</w:t>
      </w:r>
      <w:r>
        <w:rPr>
          <w:rFonts w:hint="eastAsia"/>
          <w:lang w:val="en-US" w:eastAsia="zh-CN"/>
        </w:rPr>
        <w:t>0</w:t>
      </w:r>
      <w:r>
        <w:rPr>
          <w:rFonts w:hint="eastAsia"/>
        </w:rPr>
        <w:t>hm²；矿山地质环境一般防治区：评估区内的其他区域，面积</w:t>
      </w:r>
      <w:r>
        <w:rPr>
          <w:rFonts w:hint="eastAsia"/>
          <w:lang w:eastAsia="zh-CN"/>
        </w:rPr>
        <w:t>46.6392</w:t>
      </w:r>
      <w:r>
        <w:rPr>
          <w:rFonts w:hint="eastAsia"/>
        </w:rPr>
        <w:t>hm²。</w:t>
      </w:r>
    </w:p>
    <w:p w14:paraId="1A27142B">
      <w:pPr>
        <w:ind w:firstLine="560"/>
        <w:rPr>
          <w:highlight w:val="none"/>
        </w:rPr>
      </w:pPr>
      <w:r>
        <w:t>（7）</w:t>
      </w:r>
      <w:r>
        <w:rPr>
          <w:rFonts w:hint="eastAsia"/>
          <w:lang w:eastAsia="zh-CN"/>
        </w:rPr>
        <w:t>集安市清河镇二道滑石矿</w:t>
      </w:r>
      <w:r>
        <w:rPr>
          <w:rFonts w:hint="eastAsia"/>
        </w:rPr>
        <w:t>评估区面积</w:t>
      </w:r>
      <w:r>
        <w:rPr>
          <w:rFonts w:hint="eastAsia"/>
          <w:lang w:eastAsia="zh-CN"/>
        </w:rPr>
        <w:t>47</w:t>
      </w:r>
      <w:r>
        <w:rPr>
          <w:rFonts w:hint="eastAsia"/>
        </w:rPr>
        <w:t>hm²，矿区面积</w:t>
      </w:r>
      <w:r>
        <w:rPr>
          <w:rFonts w:hint="eastAsia"/>
          <w:lang w:val="en-US" w:eastAsia="zh-CN"/>
        </w:rPr>
        <w:t>25.01</w:t>
      </w:r>
      <w:r>
        <w:rPr>
          <w:rFonts w:hint="eastAsia"/>
        </w:rPr>
        <w:t>hm²，复垦区面积</w:t>
      </w:r>
      <w:r>
        <w:rPr>
          <w:rFonts w:hint="eastAsia"/>
          <w:lang w:val="en-US" w:eastAsia="zh-CN"/>
        </w:rPr>
        <w:t>0.3608</w:t>
      </w:r>
      <w:r>
        <w:rPr>
          <w:rFonts w:hint="eastAsia"/>
        </w:rPr>
        <w:t>hm²，复垦责任范围面积</w:t>
      </w:r>
      <w:r>
        <w:rPr>
          <w:rFonts w:hint="eastAsia"/>
          <w:lang w:val="en-US" w:eastAsia="zh-CN"/>
        </w:rPr>
        <w:t>0.3608</w:t>
      </w:r>
      <w:r>
        <w:rPr>
          <w:rFonts w:hint="eastAsia"/>
        </w:rPr>
        <w:t>hm²，其中</w:t>
      </w:r>
      <w:r>
        <w:rPr>
          <w:rFonts w:hint="eastAsia"/>
          <w:lang w:eastAsia="zh-CN"/>
        </w:rPr>
        <w:t>现状工业广场</w:t>
      </w:r>
      <w:r>
        <w:rPr>
          <w:rFonts w:hint="eastAsia"/>
        </w:rPr>
        <w:t>场地</w:t>
      </w:r>
      <w:r>
        <w:rPr>
          <w:rFonts w:hint="eastAsia"/>
          <w:lang w:val="en-US" w:eastAsia="zh-CN"/>
        </w:rPr>
        <w:t>0.3608</w:t>
      </w:r>
      <w:r>
        <w:rPr>
          <w:rFonts w:hint="eastAsia"/>
        </w:rPr>
        <w:t>hm²、</w:t>
      </w:r>
      <w:r>
        <w:rPr>
          <w:rFonts w:hint="eastAsia"/>
          <w:lang w:val="en-US" w:eastAsia="zh-CN"/>
        </w:rPr>
        <w:t>三处废弃平硐0</w:t>
      </w:r>
      <w:r>
        <w:rPr>
          <w:rFonts w:hint="eastAsia"/>
        </w:rPr>
        <w:t>hm²。</w:t>
      </w:r>
      <w:r>
        <w:rPr>
          <w:rFonts w:hint="eastAsia"/>
          <w:highlight w:val="none"/>
        </w:rPr>
        <w:t>损毁地类包括</w:t>
      </w:r>
      <w:r>
        <w:rPr>
          <w:rFonts w:hint="eastAsia"/>
          <w:highlight w:val="none"/>
          <w:lang w:val="en-US" w:eastAsia="zh-CN"/>
        </w:rPr>
        <w:t>有林地0.3608</w:t>
      </w:r>
      <w:r>
        <w:rPr>
          <w:rFonts w:hint="eastAsia"/>
          <w:highlight w:val="none"/>
        </w:rPr>
        <w:t>hm²、其中压占土地</w:t>
      </w:r>
      <w:r>
        <w:rPr>
          <w:rFonts w:hint="eastAsia"/>
          <w:highlight w:val="none"/>
          <w:lang w:val="en-US" w:eastAsia="zh-CN"/>
        </w:rPr>
        <w:t>0.3608</w:t>
      </w:r>
      <w:r>
        <w:rPr>
          <w:rFonts w:hint="eastAsia"/>
          <w:highlight w:val="none"/>
        </w:rPr>
        <w:t>hm²、确定复垦区面积</w:t>
      </w:r>
      <w:r>
        <w:rPr>
          <w:rFonts w:hint="eastAsia"/>
          <w:highlight w:val="none"/>
          <w:lang w:eastAsia="zh-CN"/>
        </w:rPr>
        <w:t>0.</w:t>
      </w:r>
      <w:r>
        <w:rPr>
          <w:rFonts w:hint="eastAsia"/>
          <w:highlight w:val="none"/>
          <w:lang w:val="en-US" w:eastAsia="zh-CN"/>
        </w:rPr>
        <w:t>3608</w:t>
      </w:r>
      <w:r>
        <w:rPr>
          <w:rFonts w:hint="eastAsia"/>
          <w:highlight w:val="none"/>
        </w:rPr>
        <w:t>hm²。</w:t>
      </w:r>
    </w:p>
    <w:p w14:paraId="683D730F">
      <w:pPr>
        <w:ind w:firstLine="560"/>
      </w:pPr>
      <w:r>
        <w:t>（8）</w:t>
      </w:r>
      <w:r>
        <w:rPr>
          <w:rFonts w:hint="eastAsia"/>
        </w:rPr>
        <w:t>本项目复垦责任范围为</w:t>
      </w:r>
      <w:r>
        <w:rPr>
          <w:rFonts w:hint="eastAsia"/>
          <w:lang w:val="en-US" w:eastAsia="zh-CN"/>
        </w:rPr>
        <w:t>0.3608</w:t>
      </w:r>
      <w:r>
        <w:rPr>
          <w:rFonts w:hint="eastAsia"/>
        </w:rPr>
        <w:t>hm²、实际复垦面积</w:t>
      </w:r>
      <w:r>
        <w:rPr>
          <w:rFonts w:hint="eastAsia"/>
          <w:lang w:val="en-US" w:eastAsia="zh-CN"/>
        </w:rPr>
        <w:t>0.3608</w:t>
      </w:r>
      <w:r>
        <w:rPr>
          <w:rFonts w:hint="eastAsia"/>
        </w:rPr>
        <w:t>hm²，复垦方向为</w:t>
      </w:r>
      <w:r>
        <w:rPr>
          <w:rFonts w:hint="eastAsia"/>
          <w:lang w:val="en-US" w:eastAsia="zh-CN"/>
        </w:rPr>
        <w:t>有林地0.3608</w:t>
      </w:r>
      <w:r>
        <w:t>hm²</w:t>
      </w:r>
      <w:r>
        <w:rPr>
          <w:rFonts w:hint="eastAsia"/>
        </w:rPr>
        <w:t>、土地复垦率为100%。</w:t>
      </w:r>
    </w:p>
    <w:p w14:paraId="1874048E">
      <w:pPr>
        <w:ind w:firstLine="560"/>
      </w:pPr>
      <w:r>
        <w:t>（9）环境治理与土地复垦工程技术措施及设计工程量。主要工程量有：</w:t>
      </w:r>
    </w:p>
    <w:p w14:paraId="7C35ABB4">
      <w:pPr>
        <w:ind w:firstLine="560"/>
      </w:pPr>
      <w:r>
        <w:rPr>
          <w:rFonts w:hint="eastAsia"/>
        </w:rPr>
        <w:t>恢复治理：</w:t>
      </w:r>
      <w:r>
        <w:rPr>
          <w:rFonts w:hint="eastAsia"/>
          <w:lang w:val="en-US" w:eastAsia="zh-CN"/>
        </w:rPr>
        <w:t>建筑物拆除120</w:t>
      </w:r>
      <w:r>
        <w:rPr>
          <w:rFonts w:hint="eastAsia"/>
        </w:rPr>
        <w:t>m</w:t>
      </w:r>
      <w:r>
        <w:rPr>
          <w:rFonts w:hint="eastAsia"/>
          <w:vertAlign w:val="superscript"/>
        </w:rPr>
        <w:t>3</w:t>
      </w:r>
      <w:r>
        <w:rPr>
          <w:rFonts w:hint="eastAsia"/>
        </w:rPr>
        <w:t>、运输拆除建筑物及废石</w:t>
      </w:r>
      <w:r>
        <w:rPr>
          <w:rFonts w:hint="eastAsia"/>
          <w:lang w:val="en-US" w:eastAsia="zh-CN"/>
        </w:rPr>
        <w:t>559</w:t>
      </w:r>
      <w:r>
        <w:rPr>
          <w:rFonts w:hint="eastAsia"/>
        </w:rPr>
        <w:t>m</w:t>
      </w:r>
      <w:r>
        <w:rPr>
          <w:rFonts w:hint="eastAsia"/>
          <w:vertAlign w:val="superscript"/>
        </w:rPr>
        <w:t>3</w:t>
      </w:r>
      <w:r>
        <w:rPr>
          <w:rFonts w:hint="eastAsia"/>
        </w:rPr>
        <w:t>、</w:t>
      </w:r>
      <w:r>
        <w:rPr>
          <w:rFonts w:hint="eastAsia"/>
          <w:lang w:val="en-US" w:eastAsia="zh-CN"/>
        </w:rPr>
        <w:t>回填封堵封平硐口559</w:t>
      </w:r>
      <w:r>
        <w:rPr>
          <w:rFonts w:hint="eastAsia"/>
        </w:rPr>
        <w:t>m</w:t>
      </w:r>
      <w:r>
        <w:rPr>
          <w:rFonts w:hint="eastAsia"/>
          <w:vertAlign w:val="superscript"/>
        </w:rPr>
        <w:t>3</w:t>
      </w:r>
      <w:r>
        <w:rPr>
          <w:rFonts w:hint="eastAsia"/>
        </w:rPr>
        <w:t>、</w:t>
      </w:r>
      <w:r>
        <w:rPr>
          <w:rFonts w:hint="eastAsia"/>
          <w:lang w:val="en-US" w:eastAsia="zh-CN"/>
        </w:rPr>
        <w:t>封堵平硐口90</w:t>
      </w:r>
      <w:r>
        <w:rPr>
          <w:rFonts w:hint="eastAsia"/>
        </w:rPr>
        <w:t>m</w:t>
      </w:r>
      <w:r>
        <w:rPr>
          <w:rFonts w:hint="eastAsia"/>
          <w:vertAlign w:val="superscript"/>
        </w:rPr>
        <w:t>3</w:t>
      </w:r>
      <w:r>
        <w:rPr>
          <w:rFonts w:hint="eastAsia"/>
        </w:rPr>
        <w:t>、</w:t>
      </w:r>
      <w:r>
        <w:rPr>
          <w:rFonts w:hint="eastAsia"/>
          <w:lang w:val="en-US" w:eastAsia="zh-CN"/>
        </w:rPr>
        <w:t>清理硬盖层回填采空区721.6</w:t>
      </w:r>
      <w:r>
        <w:rPr>
          <w:rFonts w:hint="eastAsia"/>
        </w:rPr>
        <w:t>m</w:t>
      </w:r>
      <w:r>
        <w:rPr>
          <w:rFonts w:hint="eastAsia"/>
          <w:vertAlign w:val="superscript"/>
        </w:rPr>
        <w:t>3</w:t>
      </w:r>
      <w:r>
        <w:rPr>
          <w:rFonts w:hint="eastAsia"/>
        </w:rPr>
        <w:t>、</w:t>
      </w:r>
      <w:r>
        <w:rPr>
          <w:rFonts w:hint="eastAsia"/>
          <w:lang w:val="en-US" w:eastAsia="zh-CN"/>
        </w:rPr>
        <w:t>场地平整360.8</w:t>
      </w:r>
      <w:r>
        <w:rPr>
          <w:rFonts w:hint="eastAsia"/>
        </w:rPr>
        <w:t>m</w:t>
      </w:r>
      <w:r>
        <w:rPr>
          <w:rFonts w:hint="eastAsia"/>
          <w:vertAlign w:val="superscript"/>
        </w:rPr>
        <w:t>3</w:t>
      </w:r>
      <w:r>
        <w:rPr>
          <w:rFonts w:hint="eastAsia"/>
        </w:rPr>
        <w:t>、</w:t>
      </w:r>
      <w:r>
        <w:rPr>
          <w:rFonts w:hint="eastAsia"/>
          <w:lang w:val="en-US" w:eastAsia="zh-CN"/>
        </w:rPr>
        <w:t>警示牌4个</w:t>
      </w:r>
      <w:r>
        <w:rPr>
          <w:rFonts w:hint="eastAsia"/>
        </w:rPr>
        <w:t>、</w:t>
      </w:r>
      <w:r>
        <w:rPr>
          <w:rFonts w:hint="eastAsia"/>
          <w:lang w:val="en-US" w:eastAsia="zh-CN"/>
        </w:rPr>
        <w:t>铁丝网600m</w:t>
      </w:r>
      <w:r>
        <w:rPr>
          <w:rFonts w:hint="eastAsia"/>
        </w:rPr>
        <w:t>。</w:t>
      </w:r>
    </w:p>
    <w:p w14:paraId="32091B24">
      <w:pPr>
        <w:ind w:firstLine="560"/>
        <w:rPr>
          <w:rFonts w:hint="eastAsia" w:eastAsia="宋体"/>
          <w:lang w:eastAsia="zh-CN"/>
        </w:rPr>
      </w:pPr>
      <w:r>
        <w:rPr>
          <w:rFonts w:hint="eastAsia"/>
        </w:rPr>
        <w:t>土地复垦：外购</w:t>
      </w:r>
      <w:r>
        <w:rPr>
          <w:rFonts w:hint="eastAsia"/>
          <w:lang w:val="en-US" w:eastAsia="zh-CN"/>
        </w:rPr>
        <w:t>客土及运输1082.4</w:t>
      </w:r>
      <w:r>
        <w:rPr>
          <w:rFonts w:hint="eastAsia"/>
        </w:rPr>
        <w:t>m</w:t>
      </w:r>
      <w:r>
        <w:rPr>
          <w:rFonts w:hint="eastAsia"/>
          <w:vertAlign w:val="superscript"/>
        </w:rPr>
        <w:t>3</w:t>
      </w:r>
      <w:r>
        <w:rPr>
          <w:rFonts w:hint="eastAsia"/>
        </w:rPr>
        <w:t>、</w:t>
      </w:r>
      <w:r>
        <w:rPr>
          <w:rFonts w:hint="eastAsia"/>
          <w:lang w:val="en-US" w:eastAsia="zh-CN"/>
        </w:rPr>
        <w:t>客土回填1082.4</w:t>
      </w:r>
      <w:r>
        <w:rPr>
          <w:rFonts w:hint="eastAsia"/>
        </w:rPr>
        <w:t>m</w:t>
      </w:r>
      <w:r>
        <w:rPr>
          <w:rFonts w:hint="eastAsia"/>
          <w:vertAlign w:val="superscript"/>
        </w:rPr>
        <w:t>3</w:t>
      </w:r>
      <w:r>
        <w:rPr>
          <w:rFonts w:hint="eastAsia"/>
        </w:rPr>
        <w:t>、栽植落叶松9</w:t>
      </w:r>
      <w:r>
        <w:rPr>
          <w:rFonts w:hint="eastAsia"/>
          <w:lang w:val="en-US" w:eastAsia="zh-CN"/>
        </w:rPr>
        <w:t>02</w:t>
      </w:r>
      <w:r>
        <w:rPr>
          <w:rFonts w:hint="eastAsia"/>
        </w:rPr>
        <w:t>株、</w:t>
      </w:r>
      <w:r>
        <w:rPr>
          <w:rFonts w:hint="eastAsia"/>
          <w:lang w:val="en-US" w:eastAsia="zh-CN"/>
        </w:rPr>
        <w:t>撒播草籽</w:t>
      </w:r>
      <w:r>
        <w:rPr>
          <w:rFonts w:hint="eastAsia"/>
        </w:rPr>
        <w:t>。土地翻耕</w:t>
      </w:r>
      <w:r>
        <w:rPr>
          <w:rFonts w:hint="eastAsia"/>
          <w:lang w:eastAsia="zh-CN"/>
        </w:rPr>
        <w:t>0.47</w:t>
      </w:r>
      <w:r>
        <w:rPr>
          <w:rFonts w:hint="eastAsia"/>
        </w:rPr>
        <w:t>hm</w:t>
      </w:r>
      <w:r>
        <w:rPr>
          <w:rFonts w:hint="eastAsia"/>
          <w:vertAlign w:val="superscript"/>
        </w:rPr>
        <w:t>2</w:t>
      </w:r>
      <w:r>
        <w:rPr>
          <w:rFonts w:hint="eastAsia"/>
        </w:rPr>
        <w:t>。</w:t>
      </w:r>
    </w:p>
    <w:p w14:paraId="2F42875B">
      <w:pPr>
        <w:ind w:firstLine="560"/>
      </w:pPr>
      <w:r>
        <w:rPr>
          <w:rFonts w:hint="eastAsia"/>
        </w:rPr>
        <w:t>监测部分：</w:t>
      </w:r>
      <w:r>
        <w:rPr>
          <w:rFonts w:hint="eastAsia"/>
          <w:lang w:val="en-US" w:eastAsia="zh-CN"/>
        </w:rPr>
        <w:t>复垦监测16次、</w:t>
      </w:r>
      <w:r>
        <w:rPr>
          <w:rFonts w:hint="eastAsia"/>
        </w:rPr>
        <w:t>管护3年。</w:t>
      </w:r>
    </w:p>
    <w:p w14:paraId="670D5A3A">
      <w:pPr>
        <w:ind w:firstLine="560"/>
      </w:pPr>
      <w:r>
        <w:t>（10）</w:t>
      </w:r>
      <w:r>
        <w:rPr>
          <w:rFonts w:hint="eastAsia"/>
        </w:rPr>
        <w:t>根据矿山地质环境保护与土地复垦工作部署、工程量及工程技术手段，参照相关标准，</w:t>
      </w:r>
      <w:r>
        <w:rPr>
          <w:rFonts w:hint="eastAsia"/>
          <w:lang w:eastAsia="zh-CN"/>
        </w:rPr>
        <w:t>集安市清河镇二道滑石矿滑石</w:t>
      </w:r>
      <w:r>
        <w:rPr>
          <w:rFonts w:hint="eastAsia"/>
        </w:rPr>
        <w:t>矿矿山地质环境保护与土地复垦总工程经费预算为</w:t>
      </w:r>
      <w:r>
        <w:rPr>
          <w:rFonts w:hint="eastAsia"/>
          <w:lang w:val="en-US" w:eastAsia="zh-CN"/>
        </w:rPr>
        <w:t>20.78</w:t>
      </w:r>
      <w:r>
        <w:rPr>
          <w:rFonts w:hint="eastAsia"/>
        </w:rPr>
        <w:t>万元；其中恢复治理项目经费</w:t>
      </w:r>
      <w:r>
        <w:rPr>
          <w:rFonts w:hint="eastAsia"/>
          <w:lang w:eastAsia="zh-CN"/>
        </w:rPr>
        <w:t>11.38</w:t>
      </w:r>
      <w:r>
        <w:rPr>
          <w:rFonts w:hint="eastAsia"/>
        </w:rPr>
        <w:t>万元，土地复垦总投资</w:t>
      </w:r>
      <w:r>
        <w:rPr>
          <w:rFonts w:hint="eastAsia"/>
          <w:lang w:eastAsia="zh-CN"/>
        </w:rPr>
        <w:t>9.4</w:t>
      </w:r>
      <w:r>
        <w:rPr>
          <w:rFonts w:hint="eastAsia"/>
        </w:rPr>
        <w:t>万元。</w:t>
      </w:r>
    </w:p>
    <w:p w14:paraId="064B5843">
      <w:pPr>
        <w:ind w:firstLine="562"/>
        <w:jc w:val="both"/>
        <w:rPr>
          <w:b/>
          <w:bCs/>
          <w:szCs w:val="28"/>
        </w:rPr>
      </w:pPr>
      <w:r>
        <w:rPr>
          <w:b/>
          <w:bCs/>
          <w:szCs w:val="28"/>
        </w:rPr>
        <w:t>2.原《矿山地质环境保护与土地复垦方案》落实情况</w:t>
      </w:r>
    </w:p>
    <w:p w14:paraId="2DA8A8AE">
      <w:pPr>
        <w:ind w:firstLine="560"/>
        <w:jc w:val="both"/>
        <w:rPr>
          <w:rFonts w:hint="eastAsia"/>
          <w:szCs w:val="28"/>
        </w:rPr>
      </w:pPr>
      <w:r>
        <w:t>经调查，</w:t>
      </w:r>
      <w:r>
        <w:rPr>
          <w:rFonts w:hint="eastAsia"/>
          <w:lang w:eastAsia="zh-CN"/>
        </w:rPr>
        <w:t>二道滑石矿</w:t>
      </w:r>
      <w:r>
        <w:rPr>
          <w:rFonts w:hint="eastAsia"/>
        </w:rPr>
        <w:t>自</w:t>
      </w:r>
      <w:r>
        <w:rPr>
          <w:rFonts w:hint="eastAsia"/>
          <w:lang w:val="en-US" w:eastAsia="zh-CN"/>
        </w:rPr>
        <w:t>2015年</w:t>
      </w:r>
      <w:r>
        <w:rPr>
          <w:rFonts w:hint="eastAsia"/>
        </w:rPr>
        <w:t>一直处于停产状态，</w:t>
      </w:r>
      <w:r>
        <w:rPr>
          <w:rFonts w:hint="eastAsia"/>
          <w:szCs w:val="28"/>
        </w:rPr>
        <w:t>矿山按原《二合一方案》要求，进行了水质、水量及土壤监测工作，</w:t>
      </w:r>
      <w:r>
        <w:rPr>
          <w:rFonts w:hint="eastAsia"/>
          <w:szCs w:val="28"/>
          <w:lang w:val="en-US" w:eastAsia="zh-CN"/>
        </w:rPr>
        <w:t>现阶段完成的修复工程量占原方案设计的百分之十。</w:t>
      </w:r>
      <w:r>
        <w:rPr>
          <w:rFonts w:hint="eastAsia"/>
          <w:szCs w:val="28"/>
        </w:rPr>
        <w:t>详情见附件。</w:t>
      </w:r>
      <w:bookmarkStart w:id="20" w:name="OLE_LINK4"/>
    </w:p>
    <w:p w14:paraId="60C1A073">
      <w:pPr>
        <w:ind w:firstLine="560"/>
        <w:jc w:val="both"/>
        <w:rPr>
          <w:b/>
          <w:bCs/>
        </w:rPr>
      </w:pPr>
      <w:r>
        <w:rPr>
          <w:b/>
          <w:bCs/>
        </w:rPr>
        <w:t>3.存在的问题、取得经验及修编内容</w:t>
      </w:r>
    </w:p>
    <w:bookmarkEnd w:id="20"/>
    <w:p w14:paraId="7F354F2A">
      <w:pPr>
        <w:ind w:firstLine="560"/>
      </w:pPr>
      <w:bookmarkStart w:id="21" w:name="OLE_LINK50"/>
      <w:r>
        <w:t>本方案和原方案</w:t>
      </w:r>
      <w:bookmarkEnd w:id="21"/>
      <w:r>
        <w:t>在工程量上差别具体对比见表0-1。</w:t>
      </w:r>
    </w:p>
    <w:p w14:paraId="3B2AF3F9">
      <w:pPr>
        <w:pStyle w:val="57"/>
        <w:rPr>
          <w:rFonts w:hint="eastAsia"/>
        </w:rPr>
      </w:pPr>
      <w:r>
        <w:t>表0-1本方案和原方案矿区生态修复工程量对比表</w:t>
      </w:r>
    </w:p>
    <w:tbl>
      <w:tblPr>
        <w:tblStyle w:val="42"/>
        <w:tblW w:w="0" w:type="auto"/>
        <w:tblInd w:w="0" w:type="dxa"/>
        <w:tblLayout w:type="fixed"/>
        <w:tblCellMar>
          <w:top w:w="0" w:type="dxa"/>
          <w:left w:w="108" w:type="dxa"/>
          <w:bottom w:w="0" w:type="dxa"/>
          <w:right w:w="108" w:type="dxa"/>
        </w:tblCellMar>
      </w:tblPr>
      <w:tblGrid>
        <w:gridCol w:w="916"/>
        <w:gridCol w:w="2488"/>
        <w:gridCol w:w="794"/>
        <w:gridCol w:w="1165"/>
        <w:gridCol w:w="1271"/>
        <w:gridCol w:w="1358"/>
        <w:gridCol w:w="1578"/>
      </w:tblGrid>
      <w:tr w14:paraId="6AEFD3CC">
        <w:tblPrEx>
          <w:tblCellMar>
            <w:top w:w="0" w:type="dxa"/>
            <w:left w:w="108" w:type="dxa"/>
            <w:bottom w:w="0" w:type="dxa"/>
            <w:right w:w="108" w:type="dxa"/>
          </w:tblCellMar>
        </w:tblPrEx>
        <w:trPr>
          <w:trHeight w:val="288" w:hRule="atLeast"/>
        </w:trPr>
        <w:tc>
          <w:tcPr>
            <w:tcW w:w="916" w:type="dxa"/>
            <w:tcBorders>
              <w:top w:val="single" w:color="auto" w:sz="4" w:space="0"/>
              <w:left w:val="single" w:color="auto" w:sz="4" w:space="0"/>
              <w:bottom w:val="single" w:color="auto" w:sz="4" w:space="0"/>
              <w:right w:val="single" w:color="auto" w:sz="4" w:space="0"/>
            </w:tcBorders>
            <w:vAlign w:val="center"/>
          </w:tcPr>
          <w:p w14:paraId="084045EE">
            <w:pPr>
              <w:pStyle w:val="72"/>
              <w:rPr>
                <w:rFonts w:hint="eastAsia"/>
              </w:rPr>
            </w:pPr>
            <w:r>
              <w:rPr>
                <w:rFonts w:hint="eastAsia"/>
              </w:rPr>
              <w:t>序号</w:t>
            </w:r>
          </w:p>
        </w:tc>
        <w:tc>
          <w:tcPr>
            <w:tcW w:w="2488" w:type="dxa"/>
            <w:tcBorders>
              <w:top w:val="single" w:color="auto" w:sz="4" w:space="0"/>
              <w:left w:val="nil"/>
              <w:bottom w:val="single" w:color="auto" w:sz="4" w:space="0"/>
              <w:right w:val="single" w:color="auto" w:sz="4" w:space="0"/>
            </w:tcBorders>
            <w:vAlign w:val="center"/>
          </w:tcPr>
          <w:p w14:paraId="24C76A25">
            <w:pPr>
              <w:pStyle w:val="72"/>
              <w:rPr>
                <w:rFonts w:hint="eastAsia"/>
              </w:rPr>
            </w:pPr>
            <w:r>
              <w:rPr>
                <w:rFonts w:hint="eastAsia"/>
              </w:rPr>
              <w:t>工程或费用名称</w:t>
            </w:r>
          </w:p>
        </w:tc>
        <w:tc>
          <w:tcPr>
            <w:tcW w:w="794" w:type="dxa"/>
            <w:tcBorders>
              <w:top w:val="single" w:color="auto" w:sz="4" w:space="0"/>
              <w:left w:val="nil"/>
              <w:bottom w:val="single" w:color="auto" w:sz="4" w:space="0"/>
              <w:right w:val="single" w:color="auto" w:sz="4" w:space="0"/>
            </w:tcBorders>
            <w:vAlign w:val="center"/>
          </w:tcPr>
          <w:p w14:paraId="113FC724">
            <w:pPr>
              <w:pStyle w:val="72"/>
              <w:rPr>
                <w:rFonts w:hint="eastAsia"/>
              </w:rPr>
            </w:pPr>
            <w:r>
              <w:rPr>
                <w:rFonts w:hint="eastAsia"/>
              </w:rPr>
              <w:t>单位</w:t>
            </w:r>
          </w:p>
        </w:tc>
        <w:tc>
          <w:tcPr>
            <w:tcW w:w="1165" w:type="dxa"/>
            <w:tcBorders>
              <w:top w:val="single" w:color="auto" w:sz="4" w:space="0"/>
              <w:left w:val="nil"/>
              <w:bottom w:val="single" w:color="auto" w:sz="4" w:space="0"/>
              <w:right w:val="single" w:color="auto" w:sz="4" w:space="0"/>
            </w:tcBorders>
            <w:vAlign w:val="center"/>
          </w:tcPr>
          <w:p w14:paraId="56C75E4F">
            <w:pPr>
              <w:pStyle w:val="72"/>
              <w:rPr>
                <w:rFonts w:hint="eastAsia"/>
              </w:rPr>
            </w:pPr>
            <w:r>
              <w:rPr>
                <w:rFonts w:hint="eastAsia"/>
              </w:rPr>
              <w:t>原方案设计工程量</w:t>
            </w:r>
          </w:p>
        </w:tc>
        <w:tc>
          <w:tcPr>
            <w:tcW w:w="1271" w:type="dxa"/>
            <w:tcBorders>
              <w:top w:val="single" w:color="auto" w:sz="4" w:space="0"/>
              <w:left w:val="nil"/>
              <w:bottom w:val="single" w:color="auto" w:sz="4" w:space="0"/>
              <w:right w:val="single" w:color="auto" w:sz="4" w:space="0"/>
            </w:tcBorders>
            <w:vAlign w:val="center"/>
          </w:tcPr>
          <w:p w14:paraId="3979D950">
            <w:pPr>
              <w:pStyle w:val="72"/>
              <w:rPr>
                <w:rFonts w:hint="eastAsia"/>
              </w:rPr>
            </w:pPr>
            <w:r>
              <w:rPr>
                <w:rFonts w:hint="eastAsia"/>
              </w:rPr>
              <w:t>本方案设计工程量</w:t>
            </w:r>
          </w:p>
        </w:tc>
        <w:tc>
          <w:tcPr>
            <w:tcW w:w="1358" w:type="dxa"/>
            <w:tcBorders>
              <w:top w:val="single" w:color="auto" w:sz="4" w:space="0"/>
              <w:left w:val="nil"/>
              <w:bottom w:val="single" w:color="auto" w:sz="4" w:space="0"/>
              <w:right w:val="single" w:color="auto" w:sz="4" w:space="0"/>
            </w:tcBorders>
            <w:vAlign w:val="center"/>
          </w:tcPr>
          <w:p w14:paraId="12929906">
            <w:pPr>
              <w:pStyle w:val="72"/>
              <w:rPr>
                <w:rFonts w:hint="eastAsia"/>
              </w:rPr>
            </w:pPr>
            <w:r>
              <w:rPr>
                <w:rFonts w:hint="eastAsia"/>
              </w:rPr>
              <w:t>增减量</w:t>
            </w:r>
          </w:p>
        </w:tc>
        <w:tc>
          <w:tcPr>
            <w:tcW w:w="1578" w:type="dxa"/>
            <w:tcBorders>
              <w:top w:val="single" w:color="auto" w:sz="4" w:space="0"/>
              <w:left w:val="nil"/>
              <w:bottom w:val="single" w:color="auto" w:sz="4" w:space="0"/>
              <w:right w:val="single" w:color="auto" w:sz="4" w:space="0"/>
            </w:tcBorders>
            <w:vAlign w:val="center"/>
          </w:tcPr>
          <w:p w14:paraId="1D052F2F">
            <w:pPr>
              <w:pStyle w:val="72"/>
              <w:rPr>
                <w:rFonts w:hint="eastAsia"/>
              </w:rPr>
            </w:pPr>
            <w:r>
              <w:rPr>
                <w:rFonts w:hint="eastAsia"/>
              </w:rPr>
              <w:t>变更原因</w:t>
            </w:r>
          </w:p>
        </w:tc>
      </w:tr>
      <w:tr w14:paraId="52E0C43D">
        <w:tblPrEx>
          <w:tblCellMar>
            <w:top w:w="0" w:type="dxa"/>
            <w:left w:w="108" w:type="dxa"/>
            <w:bottom w:w="0" w:type="dxa"/>
            <w:right w:w="108" w:type="dxa"/>
          </w:tblCellMar>
        </w:tblPrEx>
        <w:trPr>
          <w:trHeight w:val="264" w:hRule="atLeast"/>
        </w:trPr>
        <w:tc>
          <w:tcPr>
            <w:tcW w:w="916" w:type="dxa"/>
            <w:tcBorders>
              <w:top w:val="nil"/>
              <w:left w:val="single" w:color="auto" w:sz="4" w:space="0"/>
              <w:bottom w:val="single" w:color="auto" w:sz="4" w:space="0"/>
              <w:right w:val="single" w:color="auto" w:sz="4" w:space="0"/>
            </w:tcBorders>
            <w:vAlign w:val="center"/>
          </w:tcPr>
          <w:p w14:paraId="0D9D1C05">
            <w:pPr>
              <w:pStyle w:val="72"/>
              <w:rPr>
                <w:rFonts w:hint="eastAsia" w:hAnsi="Times New Roman"/>
                <w:kern w:val="0"/>
                <w:sz w:val="20"/>
                <w:szCs w:val="20"/>
                <w:lang w:bidi="ar"/>
              </w:rPr>
            </w:pPr>
            <w:r>
              <w:rPr>
                <w:rFonts w:hint="eastAsia" w:hAnsi="Times New Roman"/>
                <w:kern w:val="0"/>
                <w:sz w:val="20"/>
                <w:szCs w:val="20"/>
                <w:lang w:bidi="ar"/>
              </w:rPr>
              <w:t>一</w:t>
            </w:r>
          </w:p>
        </w:tc>
        <w:tc>
          <w:tcPr>
            <w:tcW w:w="2488" w:type="dxa"/>
            <w:tcBorders>
              <w:top w:val="nil"/>
              <w:left w:val="nil"/>
              <w:bottom w:val="single" w:color="auto" w:sz="4" w:space="0"/>
              <w:right w:val="single" w:color="auto" w:sz="4" w:space="0"/>
            </w:tcBorders>
            <w:vAlign w:val="center"/>
          </w:tcPr>
          <w:p w14:paraId="5F48964D">
            <w:pPr>
              <w:pStyle w:val="72"/>
              <w:rPr>
                <w:rFonts w:hint="eastAsia" w:hAnsi="Times New Roman"/>
                <w:kern w:val="0"/>
                <w:sz w:val="20"/>
                <w:szCs w:val="20"/>
                <w:lang w:bidi="ar"/>
              </w:rPr>
            </w:pPr>
            <w:r>
              <w:rPr>
                <w:rFonts w:hAnsi="Times New Roman"/>
                <w:kern w:val="0"/>
                <w:sz w:val="20"/>
                <w:szCs w:val="20"/>
                <w:lang w:bidi="ar"/>
              </w:rPr>
              <w:t>矿山地质环境预防工程</w:t>
            </w:r>
          </w:p>
        </w:tc>
        <w:tc>
          <w:tcPr>
            <w:tcW w:w="794" w:type="dxa"/>
            <w:tcBorders>
              <w:top w:val="nil"/>
              <w:left w:val="nil"/>
              <w:bottom w:val="single" w:color="auto" w:sz="4" w:space="0"/>
              <w:right w:val="single" w:color="auto" w:sz="4" w:space="0"/>
            </w:tcBorders>
            <w:shd w:val="clear" w:color="auto" w:fill="auto"/>
            <w:vAlign w:val="center"/>
          </w:tcPr>
          <w:p w14:paraId="7EBAE16F">
            <w:pPr>
              <w:widowControl/>
              <w:spacing w:line="300" w:lineRule="exact"/>
              <w:ind w:firstLine="0" w:firstLineChars="0"/>
              <w:jc w:val="center"/>
              <w:rPr>
                <w:rFonts w:hint="eastAsia" w:ascii="Times New Roman" w:hAnsi="Times New Roman" w:eastAsia="宋体" w:cs="Times New Roman"/>
                <w:kern w:val="2"/>
                <w:sz w:val="20"/>
                <w:szCs w:val="20"/>
                <w:lang w:val="en-US" w:eastAsia="zh-CN" w:bidi="ar-SA"/>
              </w:rPr>
            </w:pPr>
          </w:p>
        </w:tc>
        <w:tc>
          <w:tcPr>
            <w:tcW w:w="1165" w:type="dxa"/>
            <w:tcBorders>
              <w:top w:val="nil"/>
              <w:left w:val="nil"/>
              <w:bottom w:val="single" w:color="auto" w:sz="4" w:space="0"/>
              <w:right w:val="single" w:color="auto" w:sz="4" w:space="0"/>
            </w:tcBorders>
            <w:vAlign w:val="center"/>
          </w:tcPr>
          <w:p w14:paraId="62675AE1">
            <w:pPr>
              <w:pStyle w:val="72"/>
              <w:rPr>
                <w:rFonts w:hint="eastAsia"/>
              </w:rPr>
            </w:pPr>
            <w:r>
              <w:rPr>
                <w:rFonts w:hint="eastAsia"/>
              </w:rPr>
              <w:t>　</w:t>
            </w:r>
          </w:p>
        </w:tc>
        <w:tc>
          <w:tcPr>
            <w:tcW w:w="1271" w:type="dxa"/>
            <w:tcBorders>
              <w:top w:val="nil"/>
              <w:left w:val="nil"/>
              <w:bottom w:val="single" w:color="auto" w:sz="4" w:space="0"/>
              <w:right w:val="single" w:color="auto" w:sz="4" w:space="0"/>
            </w:tcBorders>
            <w:vAlign w:val="center"/>
          </w:tcPr>
          <w:p w14:paraId="321657CF">
            <w:pPr>
              <w:widowControl/>
              <w:spacing w:line="300" w:lineRule="exact"/>
              <w:ind w:firstLine="0" w:firstLineChars="0"/>
              <w:jc w:val="center"/>
              <w:textAlignment w:val="center"/>
              <w:rPr>
                <w:rFonts w:hint="eastAsia" w:hAnsi="Times New Roman"/>
                <w:kern w:val="0"/>
                <w:sz w:val="20"/>
                <w:szCs w:val="20"/>
                <w:lang w:bidi="ar"/>
              </w:rPr>
            </w:pPr>
            <w:r>
              <w:rPr>
                <w:rFonts w:hint="eastAsia" w:hAnsi="Times New Roman"/>
                <w:kern w:val="0"/>
                <w:sz w:val="20"/>
                <w:szCs w:val="20"/>
                <w:lang w:bidi="ar"/>
              </w:rPr>
              <w:t>　</w:t>
            </w:r>
          </w:p>
        </w:tc>
        <w:tc>
          <w:tcPr>
            <w:tcW w:w="1358" w:type="dxa"/>
            <w:tcBorders>
              <w:top w:val="nil"/>
              <w:left w:val="nil"/>
              <w:bottom w:val="single" w:color="auto" w:sz="4" w:space="0"/>
              <w:right w:val="single" w:color="auto" w:sz="4" w:space="0"/>
            </w:tcBorders>
            <w:vAlign w:val="center"/>
          </w:tcPr>
          <w:p w14:paraId="1E337386">
            <w:pPr>
              <w:widowControl/>
              <w:spacing w:line="300" w:lineRule="exact"/>
              <w:ind w:firstLine="0" w:firstLineChars="0"/>
              <w:jc w:val="center"/>
              <w:textAlignment w:val="center"/>
              <w:rPr>
                <w:rFonts w:hint="eastAsia" w:ascii="Times New Roman" w:hAnsi="Times New Roman" w:cs="Times New Roman"/>
                <w:kern w:val="0"/>
                <w:sz w:val="20"/>
                <w:szCs w:val="20"/>
                <w:lang w:bidi="ar"/>
              </w:rPr>
            </w:pPr>
          </w:p>
        </w:tc>
        <w:tc>
          <w:tcPr>
            <w:tcW w:w="1578" w:type="dxa"/>
            <w:tcBorders>
              <w:top w:val="nil"/>
              <w:left w:val="nil"/>
              <w:bottom w:val="single" w:color="auto" w:sz="4" w:space="0"/>
              <w:right w:val="single" w:color="auto" w:sz="4" w:space="0"/>
            </w:tcBorders>
            <w:noWrap/>
            <w:vAlign w:val="center"/>
          </w:tcPr>
          <w:p w14:paraId="36E38E8F">
            <w:pPr>
              <w:pStyle w:val="72"/>
              <w:rPr>
                <w:rFonts w:hint="eastAsia"/>
              </w:rPr>
            </w:pPr>
          </w:p>
        </w:tc>
      </w:tr>
      <w:tr w14:paraId="196CD51A">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13D52C28">
            <w:pPr>
              <w:pStyle w:val="72"/>
              <w:rPr>
                <w:rFonts w:hint="eastAsia" w:hAnsi="Times New Roman"/>
                <w:kern w:val="0"/>
                <w:sz w:val="20"/>
                <w:szCs w:val="20"/>
                <w:lang w:bidi="ar"/>
              </w:rPr>
            </w:pPr>
            <w:r>
              <w:rPr>
                <w:rFonts w:hint="eastAsia" w:hAnsi="Times New Roman"/>
                <w:kern w:val="0"/>
                <w:sz w:val="20"/>
                <w:szCs w:val="20"/>
                <w:lang w:bidi="ar"/>
              </w:rPr>
              <w:t>1</w:t>
            </w:r>
          </w:p>
        </w:tc>
        <w:tc>
          <w:tcPr>
            <w:tcW w:w="2488" w:type="dxa"/>
            <w:tcBorders>
              <w:top w:val="nil"/>
              <w:left w:val="nil"/>
              <w:bottom w:val="single" w:color="auto" w:sz="4" w:space="0"/>
              <w:right w:val="single" w:color="auto" w:sz="4" w:space="0"/>
            </w:tcBorders>
            <w:shd w:val="clear" w:color="auto" w:fill="auto"/>
            <w:vAlign w:val="center"/>
          </w:tcPr>
          <w:p w14:paraId="740BC5C2">
            <w:pPr>
              <w:pStyle w:val="72"/>
              <w:rPr>
                <w:rFonts w:hint="eastAsia" w:hAnsi="Times New Roman"/>
                <w:kern w:val="0"/>
                <w:sz w:val="20"/>
                <w:szCs w:val="20"/>
                <w:lang w:val="en-US" w:eastAsia="zh-CN" w:bidi="ar"/>
              </w:rPr>
            </w:pPr>
            <w:r>
              <w:rPr>
                <w:rFonts w:hAnsi="Times New Roman"/>
                <w:kern w:val="0"/>
                <w:sz w:val="20"/>
                <w:szCs w:val="20"/>
                <w:lang w:bidi="ar"/>
              </w:rPr>
              <w:t>警示牌</w:t>
            </w:r>
          </w:p>
        </w:tc>
        <w:tc>
          <w:tcPr>
            <w:tcW w:w="794" w:type="dxa"/>
            <w:tcBorders>
              <w:top w:val="nil"/>
              <w:left w:val="nil"/>
              <w:bottom w:val="single" w:color="auto" w:sz="4" w:space="0"/>
              <w:right w:val="single" w:color="auto" w:sz="4" w:space="0"/>
            </w:tcBorders>
            <w:shd w:val="clear" w:color="auto" w:fill="auto"/>
            <w:vAlign w:val="center"/>
          </w:tcPr>
          <w:p w14:paraId="02AE8B68">
            <w:pPr>
              <w:widowControl/>
              <w:spacing w:line="300" w:lineRule="exact"/>
              <w:ind w:firstLine="0" w:firstLineChars="0"/>
              <w:jc w:val="center"/>
              <w:textAlignment w:val="center"/>
              <w:rPr>
                <w:rFonts w:hint="eastAsia" w:ascii="Times New Roman" w:hAnsi="Times New Roman" w:eastAsia="宋体" w:cs="Times New Roman"/>
                <w:kern w:val="2"/>
                <w:sz w:val="20"/>
                <w:szCs w:val="20"/>
                <w:lang w:val="en-US" w:eastAsia="zh-CN" w:bidi="ar-SA"/>
              </w:rPr>
            </w:pPr>
            <w:r>
              <w:rPr>
                <w:rFonts w:hAnsi="Times New Roman"/>
                <w:kern w:val="0"/>
                <w:sz w:val="20"/>
                <w:szCs w:val="20"/>
                <w:lang w:bidi="ar"/>
              </w:rPr>
              <w:t>个</w:t>
            </w:r>
          </w:p>
        </w:tc>
        <w:tc>
          <w:tcPr>
            <w:tcW w:w="1165" w:type="dxa"/>
            <w:tcBorders>
              <w:top w:val="nil"/>
              <w:left w:val="nil"/>
              <w:bottom w:val="single" w:color="auto" w:sz="4" w:space="0"/>
              <w:right w:val="single" w:color="auto" w:sz="4" w:space="0"/>
            </w:tcBorders>
            <w:shd w:val="clear" w:color="auto" w:fill="auto"/>
            <w:vAlign w:val="center"/>
          </w:tcPr>
          <w:p w14:paraId="7D26C5DB">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r>
              <w:rPr>
                <w:rFonts w:hint="default" w:ascii="Times New Roman" w:hAnsi="Times New Roman" w:cs="Times New Roman"/>
                <w:kern w:val="0"/>
                <w:sz w:val="20"/>
                <w:szCs w:val="20"/>
                <w:lang w:bidi="ar"/>
              </w:rPr>
              <w:t>4</w:t>
            </w:r>
          </w:p>
        </w:tc>
        <w:tc>
          <w:tcPr>
            <w:tcW w:w="1271" w:type="dxa"/>
            <w:tcBorders>
              <w:top w:val="nil"/>
              <w:left w:val="nil"/>
              <w:bottom w:val="single" w:color="auto" w:sz="4" w:space="0"/>
              <w:right w:val="single" w:color="auto" w:sz="4" w:space="0"/>
            </w:tcBorders>
            <w:vAlign w:val="center"/>
          </w:tcPr>
          <w:p w14:paraId="538161CA">
            <w:pPr>
              <w:widowControl/>
              <w:spacing w:line="300" w:lineRule="exact"/>
              <w:ind w:firstLine="0" w:firstLineChars="0"/>
              <w:jc w:val="center"/>
              <w:textAlignment w:val="center"/>
              <w:rPr>
                <w:rFonts w:hint="default" w:ascii="Times New Roman" w:hAnsi="Times New Roman" w:cs="Times New Roman"/>
                <w:kern w:val="0"/>
                <w:sz w:val="20"/>
                <w:szCs w:val="20"/>
                <w:lang w:bidi="ar"/>
              </w:rPr>
            </w:pPr>
            <w:r>
              <w:rPr>
                <w:rFonts w:hint="default" w:ascii="Times New Roman" w:hAnsi="Times New Roman" w:cs="Times New Roman"/>
                <w:kern w:val="0"/>
                <w:sz w:val="20"/>
                <w:szCs w:val="20"/>
                <w:lang w:bidi="ar"/>
              </w:rPr>
              <w:t>0</w:t>
            </w:r>
          </w:p>
        </w:tc>
        <w:tc>
          <w:tcPr>
            <w:tcW w:w="1358" w:type="dxa"/>
            <w:tcBorders>
              <w:top w:val="nil"/>
              <w:left w:val="nil"/>
              <w:bottom w:val="single" w:color="auto" w:sz="4" w:space="0"/>
              <w:right w:val="single" w:color="auto" w:sz="4" w:space="0"/>
            </w:tcBorders>
            <w:vAlign w:val="center"/>
          </w:tcPr>
          <w:p w14:paraId="25915D46">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-4</w:t>
            </w:r>
          </w:p>
        </w:tc>
        <w:tc>
          <w:tcPr>
            <w:tcW w:w="1578" w:type="dxa"/>
            <w:tcBorders>
              <w:top w:val="nil"/>
              <w:left w:val="nil"/>
              <w:bottom w:val="single" w:color="auto" w:sz="4" w:space="0"/>
              <w:right w:val="single" w:color="auto" w:sz="4" w:space="0"/>
            </w:tcBorders>
            <w:noWrap/>
            <w:vAlign w:val="center"/>
          </w:tcPr>
          <w:p w14:paraId="54B40691">
            <w:pPr>
              <w:pStyle w:val="72"/>
              <w:rPr>
                <w:rFonts w:hint="default" w:eastAsia="仿宋"/>
                <w:lang w:val="en-US" w:eastAsia="zh-CN"/>
              </w:rPr>
            </w:pPr>
            <w:r>
              <w:rPr>
                <w:rFonts w:hint="eastAsia"/>
                <w:lang w:val="en-US" w:eastAsia="zh-CN"/>
              </w:rPr>
              <w:t>无塌陷不设置警示牌</w:t>
            </w:r>
          </w:p>
        </w:tc>
      </w:tr>
      <w:tr w14:paraId="65661E03">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7F37F38C">
            <w:pPr>
              <w:pStyle w:val="72"/>
              <w:rPr>
                <w:rFonts w:hint="eastAsia" w:hAnsi="Times New Roman"/>
                <w:kern w:val="0"/>
                <w:sz w:val="20"/>
                <w:szCs w:val="20"/>
                <w:lang w:bidi="ar"/>
              </w:rPr>
            </w:pPr>
            <w:r>
              <w:rPr>
                <w:rFonts w:hint="eastAsia" w:hAnsi="Times New Roman"/>
                <w:kern w:val="0"/>
                <w:sz w:val="20"/>
                <w:szCs w:val="20"/>
                <w:lang w:bidi="ar"/>
              </w:rPr>
              <w:t>2</w:t>
            </w:r>
          </w:p>
        </w:tc>
        <w:tc>
          <w:tcPr>
            <w:tcW w:w="2488" w:type="dxa"/>
            <w:tcBorders>
              <w:top w:val="nil"/>
              <w:left w:val="nil"/>
              <w:bottom w:val="single" w:color="auto" w:sz="4" w:space="0"/>
              <w:right w:val="single" w:color="auto" w:sz="4" w:space="0"/>
            </w:tcBorders>
            <w:shd w:val="clear" w:color="auto" w:fill="auto"/>
            <w:vAlign w:val="center"/>
          </w:tcPr>
          <w:p w14:paraId="20874F67">
            <w:pPr>
              <w:pStyle w:val="72"/>
              <w:rPr>
                <w:rFonts w:hint="eastAsia" w:hAnsi="Times New Roman"/>
                <w:kern w:val="0"/>
                <w:sz w:val="20"/>
                <w:szCs w:val="20"/>
                <w:lang w:val="en-US" w:eastAsia="zh-CN" w:bidi="ar"/>
              </w:rPr>
            </w:pPr>
            <w:r>
              <w:rPr>
                <w:rFonts w:hint="eastAsia" w:hAnsi="Times New Roman"/>
                <w:kern w:val="0"/>
                <w:sz w:val="20"/>
                <w:szCs w:val="20"/>
                <w:lang w:val="en-US" w:eastAsia="zh-CN" w:bidi="ar"/>
              </w:rPr>
              <w:t>铁丝网</w:t>
            </w:r>
          </w:p>
        </w:tc>
        <w:tc>
          <w:tcPr>
            <w:tcW w:w="794" w:type="dxa"/>
            <w:tcBorders>
              <w:top w:val="nil"/>
              <w:left w:val="nil"/>
              <w:bottom w:val="single" w:color="auto" w:sz="4" w:space="0"/>
              <w:right w:val="single" w:color="auto" w:sz="4" w:space="0"/>
            </w:tcBorders>
            <w:shd w:val="clear" w:color="auto" w:fill="auto"/>
            <w:vAlign w:val="center"/>
          </w:tcPr>
          <w:p w14:paraId="01FDDA8B">
            <w:pPr>
              <w:widowControl/>
              <w:spacing w:line="300" w:lineRule="exact"/>
              <w:ind w:firstLine="0" w:firstLineChars="0"/>
              <w:jc w:val="center"/>
              <w:textAlignment w:val="center"/>
              <w:rPr>
                <w:rFonts w:hint="eastAsia" w:ascii="Times New Roman" w:hAnsi="Times New Roman" w:eastAsia="宋体" w:cs="Times New Roman"/>
                <w:kern w:val="0"/>
                <w:sz w:val="20"/>
                <w:szCs w:val="20"/>
                <w:lang w:val="en-US" w:eastAsia="zh-CN" w:bidi="ar"/>
              </w:rPr>
            </w:pPr>
            <w:r>
              <w:rPr>
                <w:rFonts w:hint="eastAsia" w:hAnsi="Times New Roman"/>
                <w:kern w:val="0"/>
                <w:sz w:val="20"/>
                <w:szCs w:val="20"/>
                <w:lang w:val="en-US" w:eastAsia="zh-CN" w:bidi="ar"/>
              </w:rPr>
              <w:t>m</w:t>
            </w:r>
          </w:p>
        </w:tc>
        <w:tc>
          <w:tcPr>
            <w:tcW w:w="1165" w:type="dxa"/>
            <w:tcBorders>
              <w:top w:val="nil"/>
              <w:left w:val="nil"/>
              <w:bottom w:val="single" w:color="auto" w:sz="4" w:space="0"/>
              <w:right w:val="single" w:color="auto" w:sz="4" w:space="0"/>
            </w:tcBorders>
            <w:shd w:val="clear" w:color="auto" w:fill="auto"/>
            <w:vAlign w:val="center"/>
          </w:tcPr>
          <w:p w14:paraId="02B5BBD9">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r>
              <w:rPr>
                <w:rFonts w:hint="default" w:ascii="Times New Roman" w:hAnsi="Times New Roman" w:cs="Times New Roman"/>
                <w:kern w:val="0"/>
                <w:sz w:val="20"/>
                <w:szCs w:val="20"/>
                <w:lang w:val="en-US" w:eastAsia="zh-CN" w:bidi="ar"/>
              </w:rPr>
              <w:t>600</w:t>
            </w:r>
          </w:p>
        </w:tc>
        <w:tc>
          <w:tcPr>
            <w:tcW w:w="1271" w:type="dxa"/>
            <w:tcBorders>
              <w:top w:val="nil"/>
              <w:left w:val="nil"/>
              <w:bottom w:val="single" w:color="auto" w:sz="4" w:space="0"/>
              <w:right w:val="single" w:color="auto" w:sz="4" w:space="0"/>
            </w:tcBorders>
            <w:vAlign w:val="center"/>
          </w:tcPr>
          <w:p w14:paraId="10F433E7">
            <w:pPr>
              <w:widowControl/>
              <w:spacing w:line="300" w:lineRule="exact"/>
              <w:ind w:firstLine="0" w:firstLineChars="0"/>
              <w:jc w:val="center"/>
              <w:textAlignment w:val="center"/>
              <w:rPr>
                <w:rFonts w:hint="default" w:ascii="Times New Roman" w:hAnsi="Times New Roman" w:cs="Times New Roman"/>
                <w:kern w:val="0"/>
                <w:sz w:val="20"/>
                <w:szCs w:val="20"/>
                <w:lang w:eastAsia="zh-CN" w:bidi="ar"/>
              </w:rPr>
            </w:pPr>
            <w:r>
              <w:rPr>
                <w:rFonts w:hint="default" w:ascii="Times New Roman" w:hAnsi="Times New Roman" w:cs="Times New Roman"/>
                <w:kern w:val="0"/>
                <w:sz w:val="20"/>
                <w:szCs w:val="20"/>
                <w:lang w:val="en-US" w:eastAsia="zh-CN" w:bidi="ar"/>
              </w:rPr>
              <w:t>0</w:t>
            </w:r>
          </w:p>
        </w:tc>
        <w:tc>
          <w:tcPr>
            <w:tcW w:w="1358" w:type="dxa"/>
            <w:tcBorders>
              <w:top w:val="nil"/>
              <w:left w:val="nil"/>
              <w:bottom w:val="single" w:color="auto" w:sz="4" w:space="0"/>
              <w:right w:val="single" w:color="auto" w:sz="4" w:space="0"/>
            </w:tcBorders>
            <w:vAlign w:val="center"/>
          </w:tcPr>
          <w:p w14:paraId="0377D4A6">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-600</w:t>
            </w:r>
          </w:p>
        </w:tc>
        <w:tc>
          <w:tcPr>
            <w:tcW w:w="1578" w:type="dxa"/>
            <w:tcBorders>
              <w:top w:val="nil"/>
              <w:left w:val="nil"/>
              <w:bottom w:val="single" w:color="auto" w:sz="4" w:space="0"/>
              <w:right w:val="single" w:color="auto" w:sz="4" w:space="0"/>
            </w:tcBorders>
            <w:noWrap/>
            <w:vAlign w:val="center"/>
          </w:tcPr>
          <w:p w14:paraId="272584D8">
            <w:pPr>
              <w:pStyle w:val="72"/>
              <w:rPr>
                <w:rFonts w:hint="default" w:eastAsia="仿宋"/>
                <w:lang w:val="en-US" w:eastAsia="zh-CN"/>
              </w:rPr>
            </w:pPr>
            <w:r>
              <w:rPr>
                <w:rFonts w:hint="eastAsia"/>
                <w:lang w:val="en-US" w:eastAsia="zh-CN"/>
              </w:rPr>
              <w:t>无塌陷不设置铁丝网</w:t>
            </w:r>
          </w:p>
        </w:tc>
      </w:tr>
      <w:tr w14:paraId="0A7C34E4">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199A5506">
            <w:pPr>
              <w:pStyle w:val="72"/>
              <w:rPr>
                <w:rFonts w:hint="eastAsia" w:hAnsi="Times New Roman"/>
                <w:kern w:val="0"/>
                <w:sz w:val="20"/>
                <w:szCs w:val="20"/>
                <w:lang w:eastAsia="zh-CN" w:bidi="ar"/>
              </w:rPr>
            </w:pPr>
            <w:r>
              <w:rPr>
                <w:rFonts w:hint="eastAsia" w:hAnsi="Times New Roman"/>
                <w:kern w:val="0"/>
                <w:sz w:val="20"/>
                <w:szCs w:val="20"/>
                <w:lang w:val="en-US" w:eastAsia="zh-CN" w:bidi="ar"/>
              </w:rPr>
              <w:t>二</w:t>
            </w:r>
          </w:p>
        </w:tc>
        <w:tc>
          <w:tcPr>
            <w:tcW w:w="2488" w:type="dxa"/>
            <w:tcBorders>
              <w:top w:val="nil"/>
              <w:left w:val="nil"/>
              <w:bottom w:val="single" w:color="auto" w:sz="4" w:space="0"/>
              <w:right w:val="single" w:color="auto" w:sz="4" w:space="0"/>
            </w:tcBorders>
            <w:shd w:val="clear" w:color="auto" w:fill="auto"/>
            <w:vAlign w:val="center"/>
          </w:tcPr>
          <w:p w14:paraId="50BC8B4A">
            <w:pPr>
              <w:pStyle w:val="72"/>
              <w:rPr>
                <w:rFonts w:hint="eastAsia" w:hAnsi="Times New Roman"/>
                <w:kern w:val="0"/>
                <w:sz w:val="20"/>
                <w:szCs w:val="20"/>
                <w:lang w:val="en-US" w:eastAsia="zh-CN" w:bidi="ar"/>
              </w:rPr>
            </w:pPr>
            <w:r>
              <w:rPr>
                <w:rFonts w:hAnsi="Times New Roman"/>
                <w:kern w:val="0"/>
                <w:sz w:val="20"/>
                <w:szCs w:val="20"/>
                <w:lang w:bidi="ar"/>
              </w:rPr>
              <w:t>矿山地质灾害防治工程</w:t>
            </w:r>
          </w:p>
        </w:tc>
        <w:tc>
          <w:tcPr>
            <w:tcW w:w="794" w:type="dxa"/>
            <w:tcBorders>
              <w:top w:val="nil"/>
              <w:left w:val="nil"/>
              <w:bottom w:val="single" w:color="auto" w:sz="4" w:space="0"/>
              <w:right w:val="single" w:color="auto" w:sz="4" w:space="0"/>
            </w:tcBorders>
            <w:shd w:val="clear" w:color="auto" w:fill="auto"/>
            <w:vAlign w:val="center"/>
          </w:tcPr>
          <w:p w14:paraId="6C3873FE">
            <w:pPr>
              <w:widowControl/>
              <w:spacing w:line="300" w:lineRule="exact"/>
              <w:ind w:firstLine="0" w:firstLineChars="0"/>
              <w:jc w:val="center"/>
              <w:rPr>
                <w:rFonts w:hint="eastAsia" w:ascii="Times New Roman" w:hAnsi="Times New Roman" w:eastAsia="宋体" w:cs="Times New Roman"/>
                <w:kern w:val="2"/>
                <w:sz w:val="20"/>
                <w:szCs w:val="20"/>
                <w:lang w:val="en-US" w:eastAsia="zh-CN" w:bidi="ar-SA"/>
              </w:rPr>
            </w:pPr>
          </w:p>
        </w:tc>
        <w:tc>
          <w:tcPr>
            <w:tcW w:w="1165" w:type="dxa"/>
            <w:tcBorders>
              <w:top w:val="nil"/>
              <w:left w:val="nil"/>
              <w:bottom w:val="single" w:color="auto" w:sz="4" w:space="0"/>
              <w:right w:val="single" w:color="auto" w:sz="4" w:space="0"/>
            </w:tcBorders>
            <w:shd w:val="clear" w:color="auto" w:fill="auto"/>
            <w:vAlign w:val="center"/>
          </w:tcPr>
          <w:p w14:paraId="4CC6B682">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p>
        </w:tc>
        <w:tc>
          <w:tcPr>
            <w:tcW w:w="1271" w:type="dxa"/>
            <w:tcBorders>
              <w:top w:val="nil"/>
              <w:left w:val="nil"/>
              <w:bottom w:val="single" w:color="auto" w:sz="4" w:space="0"/>
              <w:right w:val="single" w:color="auto" w:sz="4" w:space="0"/>
            </w:tcBorders>
            <w:noWrap/>
            <w:vAlign w:val="center"/>
          </w:tcPr>
          <w:p w14:paraId="7E546DF8">
            <w:pPr>
              <w:widowControl/>
              <w:spacing w:line="300" w:lineRule="exact"/>
              <w:ind w:firstLine="0" w:firstLineChars="0"/>
              <w:jc w:val="center"/>
              <w:textAlignment w:val="center"/>
              <w:rPr>
                <w:rFonts w:hint="default" w:ascii="Times New Roman" w:hAnsi="Times New Roman" w:cs="Times New Roman"/>
                <w:kern w:val="0"/>
                <w:sz w:val="20"/>
                <w:szCs w:val="20"/>
                <w:lang w:eastAsia="zh-CN" w:bidi="ar"/>
              </w:rPr>
            </w:pPr>
          </w:p>
        </w:tc>
        <w:tc>
          <w:tcPr>
            <w:tcW w:w="1358" w:type="dxa"/>
            <w:tcBorders>
              <w:top w:val="nil"/>
              <w:left w:val="nil"/>
              <w:bottom w:val="single" w:color="auto" w:sz="4" w:space="0"/>
              <w:right w:val="single" w:color="auto" w:sz="4" w:space="0"/>
            </w:tcBorders>
            <w:vAlign w:val="center"/>
          </w:tcPr>
          <w:p w14:paraId="080BADA5">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p>
        </w:tc>
        <w:tc>
          <w:tcPr>
            <w:tcW w:w="1578" w:type="dxa"/>
            <w:tcBorders>
              <w:top w:val="nil"/>
              <w:left w:val="nil"/>
              <w:bottom w:val="single" w:color="auto" w:sz="4" w:space="0"/>
              <w:right w:val="single" w:color="auto" w:sz="4" w:space="0"/>
            </w:tcBorders>
            <w:noWrap/>
            <w:vAlign w:val="center"/>
          </w:tcPr>
          <w:p w14:paraId="431151CE">
            <w:pPr>
              <w:pStyle w:val="72"/>
              <w:rPr>
                <w:rFonts w:hint="eastAsia"/>
              </w:rPr>
            </w:pPr>
          </w:p>
        </w:tc>
      </w:tr>
      <w:tr w14:paraId="23B7A730">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5A05B544">
            <w:pPr>
              <w:pStyle w:val="72"/>
              <w:rPr>
                <w:rFonts w:hint="eastAsia" w:hAnsi="Times New Roman"/>
                <w:kern w:val="0"/>
                <w:sz w:val="20"/>
                <w:szCs w:val="20"/>
                <w:lang w:eastAsia="zh-CN" w:bidi="ar"/>
              </w:rPr>
            </w:pPr>
            <w:r>
              <w:rPr>
                <w:rFonts w:hint="eastAsia" w:hAnsi="Times New Roman"/>
                <w:kern w:val="0"/>
                <w:sz w:val="20"/>
                <w:szCs w:val="20"/>
                <w:lang w:val="en-US" w:eastAsia="zh-CN" w:bidi="ar"/>
              </w:rPr>
              <w:t>3</w:t>
            </w:r>
          </w:p>
        </w:tc>
        <w:tc>
          <w:tcPr>
            <w:tcW w:w="2488" w:type="dxa"/>
            <w:tcBorders>
              <w:top w:val="nil"/>
              <w:left w:val="nil"/>
              <w:bottom w:val="single" w:color="auto" w:sz="4" w:space="0"/>
              <w:right w:val="single" w:color="auto" w:sz="4" w:space="0"/>
            </w:tcBorders>
            <w:shd w:val="clear" w:color="auto" w:fill="auto"/>
            <w:vAlign w:val="center"/>
          </w:tcPr>
          <w:p w14:paraId="2807D283">
            <w:pPr>
              <w:pStyle w:val="72"/>
              <w:rPr>
                <w:rFonts w:hint="eastAsia" w:hAnsi="Times New Roman"/>
                <w:kern w:val="0"/>
                <w:sz w:val="20"/>
                <w:szCs w:val="20"/>
                <w:lang w:val="en-US" w:eastAsia="zh-CN" w:bidi="ar"/>
              </w:rPr>
            </w:pPr>
            <w:r>
              <w:rPr>
                <w:rFonts w:hAnsi="Times New Roman"/>
                <w:kern w:val="0"/>
                <w:sz w:val="20"/>
                <w:szCs w:val="20"/>
                <w:lang w:bidi="ar"/>
              </w:rPr>
              <w:t>拆除建筑物</w:t>
            </w:r>
          </w:p>
        </w:tc>
        <w:tc>
          <w:tcPr>
            <w:tcW w:w="794" w:type="dxa"/>
            <w:tcBorders>
              <w:top w:val="nil"/>
              <w:left w:val="nil"/>
              <w:bottom w:val="single" w:color="auto" w:sz="4" w:space="0"/>
              <w:right w:val="single" w:color="auto" w:sz="4" w:space="0"/>
            </w:tcBorders>
            <w:shd w:val="clear" w:color="auto" w:fill="auto"/>
            <w:vAlign w:val="center"/>
          </w:tcPr>
          <w:p w14:paraId="4F23B924">
            <w:pPr>
              <w:widowControl/>
              <w:spacing w:line="300" w:lineRule="exact"/>
              <w:ind w:firstLine="0" w:firstLineChars="0"/>
              <w:jc w:val="center"/>
              <w:textAlignment w:val="center"/>
              <w:rPr>
                <w:rFonts w:hint="eastAsia" w:ascii="Times New Roman" w:hAnsi="Times New Roman" w:eastAsia="宋体" w:cs="Times New Roman"/>
                <w:kern w:val="2"/>
                <w:sz w:val="20"/>
                <w:szCs w:val="20"/>
                <w:lang w:val="en-US" w:eastAsia="zh-CN" w:bidi="ar-SA"/>
              </w:rPr>
            </w:pPr>
            <w:r>
              <w:rPr>
                <w:rFonts w:hAnsi="Times New Roman"/>
                <w:kern w:val="0"/>
                <w:sz w:val="20"/>
                <w:szCs w:val="20"/>
                <w:lang w:bidi="ar"/>
              </w:rPr>
              <w:t>m</w:t>
            </w:r>
            <w:r>
              <w:rPr>
                <w:rFonts w:hAnsi="Times New Roman"/>
                <w:kern w:val="0"/>
                <w:sz w:val="20"/>
                <w:szCs w:val="20"/>
                <w:vertAlign w:val="superscript"/>
                <w:lang w:bidi="ar"/>
              </w:rPr>
              <w:t>3</w:t>
            </w:r>
          </w:p>
        </w:tc>
        <w:tc>
          <w:tcPr>
            <w:tcW w:w="1165" w:type="dxa"/>
            <w:tcBorders>
              <w:top w:val="nil"/>
              <w:left w:val="nil"/>
              <w:bottom w:val="single" w:color="auto" w:sz="4" w:space="0"/>
              <w:right w:val="single" w:color="auto" w:sz="4" w:space="0"/>
            </w:tcBorders>
            <w:shd w:val="clear" w:color="auto" w:fill="auto"/>
            <w:vAlign w:val="center"/>
          </w:tcPr>
          <w:p w14:paraId="288273D8">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r>
              <w:rPr>
                <w:rFonts w:hint="default" w:ascii="Times New Roman" w:hAnsi="Times New Roman" w:cs="Times New Roman"/>
                <w:kern w:val="0"/>
                <w:sz w:val="20"/>
                <w:szCs w:val="20"/>
                <w:lang w:bidi="ar"/>
              </w:rPr>
              <w:t>120</w:t>
            </w:r>
          </w:p>
        </w:tc>
        <w:tc>
          <w:tcPr>
            <w:tcW w:w="1271" w:type="dxa"/>
            <w:tcBorders>
              <w:top w:val="nil"/>
              <w:left w:val="nil"/>
              <w:bottom w:val="single" w:color="auto" w:sz="4" w:space="0"/>
              <w:right w:val="single" w:color="auto" w:sz="4" w:space="0"/>
            </w:tcBorders>
            <w:vAlign w:val="center"/>
          </w:tcPr>
          <w:p w14:paraId="2FA2F02C">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r>
              <w:rPr>
                <w:rFonts w:hint="default" w:ascii="Times New Roman" w:hAnsi="Times New Roman" w:cs="Times New Roman"/>
                <w:kern w:val="0"/>
                <w:sz w:val="20"/>
                <w:szCs w:val="20"/>
                <w:lang w:val="en-US" w:eastAsia="zh-CN" w:bidi="ar"/>
              </w:rPr>
              <w:t>1693</w:t>
            </w:r>
          </w:p>
        </w:tc>
        <w:tc>
          <w:tcPr>
            <w:tcW w:w="1358" w:type="dxa"/>
            <w:tcBorders>
              <w:top w:val="nil"/>
              <w:left w:val="nil"/>
              <w:bottom w:val="single" w:color="auto" w:sz="4" w:space="0"/>
              <w:right w:val="single" w:color="auto" w:sz="4" w:space="0"/>
            </w:tcBorders>
            <w:vAlign w:val="center"/>
          </w:tcPr>
          <w:p w14:paraId="18E4A57F">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1573</w:t>
            </w:r>
          </w:p>
        </w:tc>
        <w:tc>
          <w:tcPr>
            <w:tcW w:w="1578" w:type="dxa"/>
            <w:tcBorders>
              <w:top w:val="nil"/>
              <w:left w:val="nil"/>
              <w:bottom w:val="single" w:color="auto" w:sz="4" w:space="0"/>
              <w:right w:val="single" w:color="auto" w:sz="4" w:space="0"/>
            </w:tcBorders>
            <w:noWrap/>
            <w:vAlign w:val="center"/>
          </w:tcPr>
          <w:p w14:paraId="16ADC6FD">
            <w:pPr>
              <w:pStyle w:val="72"/>
              <w:rPr>
                <w:rFonts w:hint="default" w:eastAsia="仿宋"/>
                <w:lang w:val="en-US" w:eastAsia="zh-CN"/>
              </w:rPr>
            </w:pPr>
            <w:r>
              <w:rPr>
                <w:rFonts w:hint="eastAsia"/>
                <w:lang w:val="en-US" w:eastAsia="zh-CN"/>
              </w:rPr>
              <w:t>后续建筑面积扩大</w:t>
            </w:r>
          </w:p>
        </w:tc>
      </w:tr>
      <w:tr w14:paraId="0320FCC2">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579596A8">
            <w:pPr>
              <w:pStyle w:val="72"/>
              <w:rPr>
                <w:rFonts w:hint="eastAsia" w:hAnsi="Times New Roman"/>
                <w:kern w:val="0"/>
                <w:sz w:val="20"/>
                <w:szCs w:val="20"/>
                <w:lang w:eastAsia="zh-CN" w:bidi="ar"/>
              </w:rPr>
            </w:pPr>
            <w:r>
              <w:rPr>
                <w:rFonts w:hint="eastAsia" w:hAnsi="Times New Roman"/>
                <w:kern w:val="0"/>
                <w:sz w:val="20"/>
                <w:szCs w:val="20"/>
                <w:lang w:val="en-US" w:eastAsia="zh-CN" w:bidi="ar"/>
              </w:rPr>
              <w:t>4</w:t>
            </w:r>
          </w:p>
        </w:tc>
        <w:tc>
          <w:tcPr>
            <w:tcW w:w="2488" w:type="dxa"/>
            <w:tcBorders>
              <w:top w:val="nil"/>
              <w:left w:val="nil"/>
              <w:bottom w:val="single" w:color="auto" w:sz="4" w:space="0"/>
              <w:right w:val="single" w:color="auto" w:sz="4" w:space="0"/>
            </w:tcBorders>
            <w:shd w:val="clear" w:color="auto" w:fill="auto"/>
            <w:vAlign w:val="center"/>
          </w:tcPr>
          <w:p w14:paraId="20C18A0B">
            <w:pPr>
              <w:pStyle w:val="72"/>
              <w:rPr>
                <w:rFonts w:hint="eastAsia" w:hAnsi="Times New Roman"/>
                <w:kern w:val="0"/>
                <w:sz w:val="20"/>
                <w:szCs w:val="20"/>
                <w:lang w:val="en-US" w:eastAsia="zh-CN" w:bidi="ar"/>
              </w:rPr>
            </w:pPr>
            <w:r>
              <w:rPr>
                <w:rFonts w:hAnsi="Times New Roman"/>
                <w:kern w:val="0"/>
                <w:sz w:val="20"/>
                <w:szCs w:val="20"/>
                <w:lang w:bidi="ar"/>
              </w:rPr>
              <w:t>运输建筑垃圾及硬覆盖层</w:t>
            </w:r>
            <w:r>
              <w:rPr>
                <w:rFonts w:hint="eastAsia" w:hAnsi="Times New Roman"/>
                <w:kern w:val="0"/>
                <w:sz w:val="20"/>
                <w:szCs w:val="20"/>
                <w:lang w:bidi="ar"/>
              </w:rPr>
              <w:t>回填平硐</w:t>
            </w:r>
          </w:p>
        </w:tc>
        <w:tc>
          <w:tcPr>
            <w:tcW w:w="794" w:type="dxa"/>
            <w:tcBorders>
              <w:top w:val="nil"/>
              <w:left w:val="nil"/>
              <w:bottom w:val="single" w:color="auto" w:sz="4" w:space="0"/>
              <w:right w:val="single" w:color="auto" w:sz="4" w:space="0"/>
            </w:tcBorders>
            <w:shd w:val="clear" w:color="auto" w:fill="auto"/>
            <w:vAlign w:val="center"/>
          </w:tcPr>
          <w:p w14:paraId="3BD987C3">
            <w:pPr>
              <w:widowControl/>
              <w:spacing w:line="300" w:lineRule="exact"/>
              <w:ind w:firstLine="0" w:firstLineChars="0"/>
              <w:jc w:val="center"/>
              <w:textAlignment w:val="center"/>
              <w:rPr>
                <w:rFonts w:hint="eastAsia" w:ascii="Times New Roman" w:hAnsi="Times New Roman" w:eastAsia="宋体" w:cs="Times New Roman"/>
                <w:kern w:val="2"/>
                <w:sz w:val="20"/>
                <w:szCs w:val="20"/>
                <w:lang w:val="en-US" w:eastAsia="zh-CN" w:bidi="ar-SA"/>
              </w:rPr>
            </w:pPr>
            <w:r>
              <w:rPr>
                <w:rFonts w:hAnsi="Times New Roman"/>
                <w:kern w:val="0"/>
                <w:sz w:val="20"/>
                <w:szCs w:val="20"/>
                <w:lang w:bidi="ar"/>
              </w:rPr>
              <w:t>m</w:t>
            </w:r>
            <w:r>
              <w:rPr>
                <w:rFonts w:hAnsi="Times New Roman"/>
                <w:kern w:val="0"/>
                <w:sz w:val="20"/>
                <w:szCs w:val="20"/>
                <w:vertAlign w:val="superscript"/>
                <w:lang w:bidi="ar"/>
              </w:rPr>
              <w:t>3</w:t>
            </w:r>
          </w:p>
        </w:tc>
        <w:tc>
          <w:tcPr>
            <w:tcW w:w="1165" w:type="dxa"/>
            <w:tcBorders>
              <w:top w:val="nil"/>
              <w:left w:val="nil"/>
              <w:bottom w:val="single" w:color="auto" w:sz="4" w:space="0"/>
              <w:right w:val="single" w:color="auto" w:sz="4" w:space="0"/>
            </w:tcBorders>
            <w:shd w:val="clear" w:color="auto" w:fill="auto"/>
            <w:vAlign w:val="center"/>
          </w:tcPr>
          <w:p w14:paraId="233A0D6C">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r>
              <w:rPr>
                <w:rFonts w:hint="default" w:ascii="Times New Roman" w:hAnsi="Times New Roman" w:cs="Times New Roman"/>
                <w:kern w:val="0"/>
                <w:sz w:val="20"/>
                <w:szCs w:val="20"/>
                <w:lang w:bidi="ar"/>
              </w:rPr>
              <w:t>559</w:t>
            </w:r>
          </w:p>
        </w:tc>
        <w:tc>
          <w:tcPr>
            <w:tcW w:w="1271" w:type="dxa"/>
            <w:tcBorders>
              <w:top w:val="nil"/>
              <w:left w:val="nil"/>
              <w:bottom w:val="single" w:color="auto" w:sz="4" w:space="0"/>
              <w:right w:val="single" w:color="auto" w:sz="4" w:space="0"/>
            </w:tcBorders>
            <w:vAlign w:val="center"/>
          </w:tcPr>
          <w:p w14:paraId="0521A9F3">
            <w:pPr>
              <w:widowControl/>
              <w:spacing w:line="300" w:lineRule="exact"/>
              <w:ind w:firstLine="0" w:firstLineChars="0"/>
              <w:jc w:val="center"/>
              <w:textAlignment w:val="center"/>
              <w:rPr>
                <w:rFonts w:hint="default" w:ascii="Times New Roman" w:hAnsi="Times New Roman" w:cs="Times New Roman"/>
                <w:kern w:val="0"/>
                <w:sz w:val="20"/>
                <w:szCs w:val="20"/>
                <w:lang w:bidi="ar"/>
              </w:rPr>
            </w:pPr>
            <w:r>
              <w:rPr>
                <w:rFonts w:hint="default" w:ascii="Times New Roman" w:hAnsi="Times New Roman" w:cs="Times New Roman"/>
                <w:kern w:val="0"/>
                <w:sz w:val="20"/>
                <w:szCs w:val="20"/>
                <w:lang w:bidi="ar"/>
              </w:rPr>
              <w:t>4749.6</w:t>
            </w:r>
          </w:p>
        </w:tc>
        <w:tc>
          <w:tcPr>
            <w:tcW w:w="1358" w:type="dxa"/>
            <w:tcBorders>
              <w:top w:val="nil"/>
              <w:left w:val="nil"/>
              <w:bottom w:val="single" w:color="auto" w:sz="4" w:space="0"/>
              <w:right w:val="single" w:color="auto" w:sz="4" w:space="0"/>
            </w:tcBorders>
            <w:vAlign w:val="center"/>
          </w:tcPr>
          <w:p w14:paraId="77818E37">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4190.6</w:t>
            </w:r>
          </w:p>
        </w:tc>
        <w:tc>
          <w:tcPr>
            <w:tcW w:w="1578" w:type="dxa"/>
            <w:tcBorders>
              <w:top w:val="nil"/>
              <w:left w:val="nil"/>
              <w:bottom w:val="single" w:color="auto" w:sz="4" w:space="0"/>
              <w:right w:val="single" w:color="auto" w:sz="4" w:space="0"/>
            </w:tcBorders>
            <w:noWrap/>
            <w:vAlign w:val="center"/>
          </w:tcPr>
          <w:p w14:paraId="4039C400">
            <w:pPr>
              <w:pStyle w:val="72"/>
              <w:rPr>
                <w:rFonts w:hint="default" w:eastAsia="仿宋"/>
                <w:lang w:val="en-US" w:eastAsia="zh-CN"/>
              </w:rPr>
            </w:pPr>
            <w:r>
              <w:rPr>
                <w:rFonts w:hint="eastAsia"/>
                <w:lang w:val="en-US" w:eastAsia="zh-CN"/>
              </w:rPr>
              <w:t>建筑物增加</w:t>
            </w:r>
          </w:p>
        </w:tc>
      </w:tr>
      <w:tr w14:paraId="36AAA143">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238D6044">
            <w:pPr>
              <w:pStyle w:val="72"/>
              <w:rPr>
                <w:rFonts w:hint="eastAsia" w:hAnsi="Times New Roman"/>
                <w:kern w:val="0"/>
                <w:sz w:val="20"/>
                <w:szCs w:val="20"/>
                <w:lang w:eastAsia="zh-CN" w:bidi="ar"/>
              </w:rPr>
            </w:pPr>
            <w:r>
              <w:rPr>
                <w:rFonts w:hint="eastAsia" w:hAnsi="Times New Roman"/>
                <w:kern w:val="0"/>
                <w:sz w:val="20"/>
                <w:szCs w:val="20"/>
                <w:lang w:val="en-US" w:eastAsia="zh-CN" w:bidi="ar"/>
              </w:rPr>
              <w:t>5</w:t>
            </w:r>
          </w:p>
        </w:tc>
        <w:tc>
          <w:tcPr>
            <w:tcW w:w="2488" w:type="dxa"/>
            <w:tcBorders>
              <w:top w:val="nil"/>
              <w:left w:val="nil"/>
              <w:bottom w:val="single" w:color="auto" w:sz="4" w:space="0"/>
              <w:right w:val="single" w:color="auto" w:sz="4" w:space="0"/>
            </w:tcBorders>
            <w:shd w:val="clear" w:color="auto" w:fill="auto"/>
            <w:vAlign w:val="center"/>
          </w:tcPr>
          <w:p w14:paraId="01B2D69E">
            <w:pPr>
              <w:pStyle w:val="72"/>
              <w:rPr>
                <w:rFonts w:hint="eastAsia" w:hAnsi="Times New Roman"/>
                <w:kern w:val="0"/>
                <w:sz w:val="20"/>
                <w:szCs w:val="20"/>
                <w:lang w:val="en-US" w:eastAsia="zh-CN" w:bidi="ar"/>
              </w:rPr>
            </w:pPr>
            <w:r>
              <w:rPr>
                <w:rFonts w:hint="eastAsia" w:hAnsi="Times New Roman"/>
                <w:kern w:val="0"/>
                <w:sz w:val="20"/>
                <w:szCs w:val="20"/>
                <w:lang w:bidi="ar"/>
              </w:rPr>
              <w:t>平硐口</w:t>
            </w:r>
            <w:r>
              <w:rPr>
                <w:rFonts w:hAnsi="Times New Roman"/>
                <w:kern w:val="0"/>
                <w:sz w:val="20"/>
                <w:szCs w:val="20"/>
                <w:lang w:bidi="ar"/>
              </w:rPr>
              <w:t>浆砌石</w:t>
            </w:r>
            <w:r>
              <w:rPr>
                <w:rFonts w:hint="eastAsia" w:hAnsi="Times New Roman"/>
                <w:kern w:val="0"/>
                <w:sz w:val="20"/>
                <w:szCs w:val="20"/>
                <w:lang w:bidi="ar"/>
              </w:rPr>
              <w:t>封堵</w:t>
            </w:r>
          </w:p>
        </w:tc>
        <w:tc>
          <w:tcPr>
            <w:tcW w:w="794" w:type="dxa"/>
            <w:tcBorders>
              <w:top w:val="nil"/>
              <w:left w:val="nil"/>
              <w:bottom w:val="single" w:color="auto" w:sz="4" w:space="0"/>
              <w:right w:val="single" w:color="auto" w:sz="4" w:space="0"/>
            </w:tcBorders>
            <w:shd w:val="clear" w:color="auto" w:fill="auto"/>
            <w:vAlign w:val="center"/>
          </w:tcPr>
          <w:p w14:paraId="44E02192">
            <w:pPr>
              <w:widowControl/>
              <w:spacing w:line="300" w:lineRule="exact"/>
              <w:ind w:firstLine="0" w:firstLineChars="0"/>
              <w:jc w:val="center"/>
              <w:textAlignment w:val="center"/>
              <w:rPr>
                <w:rFonts w:hint="eastAsia" w:ascii="Times New Roman" w:hAnsi="Times New Roman" w:eastAsia="宋体" w:cs="Times New Roman"/>
                <w:kern w:val="2"/>
                <w:sz w:val="20"/>
                <w:szCs w:val="20"/>
                <w:lang w:val="en-US" w:eastAsia="zh-CN" w:bidi="ar-SA"/>
              </w:rPr>
            </w:pPr>
            <w:r>
              <w:rPr>
                <w:rFonts w:hAnsi="Times New Roman"/>
                <w:kern w:val="0"/>
                <w:sz w:val="20"/>
                <w:szCs w:val="20"/>
                <w:lang w:bidi="ar"/>
              </w:rPr>
              <w:t>m</w:t>
            </w:r>
            <w:r>
              <w:rPr>
                <w:rFonts w:hAnsi="Times New Roman"/>
                <w:kern w:val="0"/>
                <w:sz w:val="20"/>
                <w:szCs w:val="20"/>
                <w:vertAlign w:val="superscript"/>
                <w:lang w:bidi="ar"/>
              </w:rPr>
              <w:t>3</w:t>
            </w:r>
          </w:p>
        </w:tc>
        <w:tc>
          <w:tcPr>
            <w:tcW w:w="1165" w:type="dxa"/>
            <w:tcBorders>
              <w:top w:val="nil"/>
              <w:left w:val="nil"/>
              <w:bottom w:val="single" w:color="auto" w:sz="4" w:space="0"/>
              <w:right w:val="single" w:color="auto" w:sz="4" w:space="0"/>
            </w:tcBorders>
            <w:shd w:val="clear" w:color="auto" w:fill="auto"/>
            <w:vAlign w:val="center"/>
          </w:tcPr>
          <w:p w14:paraId="6574C464">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r>
              <w:rPr>
                <w:rFonts w:hint="default" w:ascii="Times New Roman" w:hAnsi="Times New Roman" w:cs="Times New Roman"/>
                <w:kern w:val="0"/>
                <w:sz w:val="21"/>
                <w:szCs w:val="21"/>
              </w:rPr>
              <w:t>90</w:t>
            </w:r>
          </w:p>
        </w:tc>
        <w:tc>
          <w:tcPr>
            <w:tcW w:w="1271" w:type="dxa"/>
            <w:tcBorders>
              <w:top w:val="nil"/>
              <w:left w:val="nil"/>
              <w:bottom w:val="single" w:color="auto" w:sz="4" w:space="0"/>
              <w:right w:val="single" w:color="auto" w:sz="4" w:space="0"/>
            </w:tcBorders>
            <w:vAlign w:val="center"/>
          </w:tcPr>
          <w:p w14:paraId="4B9F25D1">
            <w:pPr>
              <w:widowControl/>
              <w:spacing w:line="300" w:lineRule="exact"/>
              <w:ind w:firstLine="0" w:firstLineChars="0"/>
              <w:jc w:val="center"/>
              <w:textAlignment w:val="center"/>
              <w:rPr>
                <w:rFonts w:hint="default" w:ascii="Times New Roman" w:hAnsi="Times New Roman" w:cs="Times New Roman"/>
                <w:kern w:val="0"/>
                <w:sz w:val="20"/>
                <w:szCs w:val="20"/>
                <w:lang w:bidi="ar"/>
              </w:rPr>
            </w:pPr>
            <w:r>
              <w:rPr>
                <w:rFonts w:hint="default" w:ascii="Times New Roman" w:hAnsi="Times New Roman" w:cs="Times New Roman"/>
                <w:kern w:val="0"/>
                <w:sz w:val="20"/>
                <w:szCs w:val="20"/>
                <w:lang w:bidi="ar"/>
              </w:rPr>
              <w:t>68.94</w:t>
            </w:r>
          </w:p>
        </w:tc>
        <w:tc>
          <w:tcPr>
            <w:tcW w:w="1358" w:type="dxa"/>
            <w:tcBorders>
              <w:top w:val="nil"/>
              <w:left w:val="nil"/>
              <w:bottom w:val="single" w:color="auto" w:sz="4" w:space="0"/>
              <w:right w:val="single" w:color="auto" w:sz="4" w:space="0"/>
            </w:tcBorders>
            <w:vAlign w:val="center"/>
          </w:tcPr>
          <w:p w14:paraId="337A9593">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-21.06</w:t>
            </w:r>
          </w:p>
        </w:tc>
        <w:tc>
          <w:tcPr>
            <w:tcW w:w="1578" w:type="dxa"/>
            <w:tcBorders>
              <w:top w:val="nil"/>
              <w:left w:val="nil"/>
              <w:bottom w:val="single" w:color="auto" w:sz="4" w:space="0"/>
              <w:right w:val="single" w:color="auto" w:sz="4" w:space="0"/>
            </w:tcBorders>
            <w:noWrap/>
            <w:vAlign w:val="center"/>
          </w:tcPr>
          <w:p w14:paraId="00C8E94B">
            <w:pPr>
              <w:pStyle w:val="72"/>
              <w:rPr>
                <w:rFonts w:hint="default" w:eastAsia="仿宋"/>
                <w:lang w:val="en-US" w:eastAsia="zh-CN"/>
              </w:rPr>
            </w:pPr>
            <w:r>
              <w:rPr>
                <w:rFonts w:hint="eastAsia"/>
                <w:lang w:val="en-US" w:eastAsia="zh-CN"/>
              </w:rPr>
              <w:t>采用两头封堵</w:t>
            </w:r>
          </w:p>
        </w:tc>
      </w:tr>
      <w:tr w14:paraId="69413145">
        <w:tblPrEx>
          <w:tblCellMar>
            <w:top w:w="0" w:type="dxa"/>
            <w:left w:w="108" w:type="dxa"/>
            <w:bottom w:w="0" w:type="dxa"/>
            <w:right w:w="108" w:type="dxa"/>
          </w:tblCellMar>
        </w:tblPrEx>
        <w:trPr>
          <w:trHeight w:val="300" w:hRule="atLeast"/>
        </w:trPr>
        <w:tc>
          <w:tcPr>
            <w:tcW w:w="916" w:type="dxa"/>
            <w:tcBorders>
              <w:top w:val="nil"/>
              <w:left w:val="single" w:color="auto" w:sz="4" w:space="0"/>
              <w:bottom w:val="single" w:color="auto" w:sz="4" w:space="0"/>
              <w:right w:val="single" w:color="auto" w:sz="4" w:space="0"/>
            </w:tcBorders>
            <w:vAlign w:val="center"/>
          </w:tcPr>
          <w:p w14:paraId="4AF957F7">
            <w:pPr>
              <w:pStyle w:val="72"/>
              <w:rPr>
                <w:rFonts w:hint="eastAsia" w:hAnsi="Times New Roman"/>
                <w:kern w:val="0"/>
                <w:sz w:val="20"/>
                <w:szCs w:val="20"/>
                <w:lang w:eastAsia="zh-CN" w:bidi="ar"/>
              </w:rPr>
            </w:pPr>
            <w:r>
              <w:rPr>
                <w:rFonts w:hint="eastAsia" w:hAnsi="Times New Roman"/>
                <w:kern w:val="0"/>
                <w:sz w:val="20"/>
                <w:szCs w:val="20"/>
                <w:lang w:val="en-US" w:eastAsia="zh-CN" w:bidi="ar"/>
              </w:rPr>
              <w:t>6</w:t>
            </w:r>
          </w:p>
        </w:tc>
        <w:tc>
          <w:tcPr>
            <w:tcW w:w="2488" w:type="dxa"/>
            <w:tcBorders>
              <w:top w:val="nil"/>
              <w:left w:val="nil"/>
              <w:bottom w:val="single" w:color="auto" w:sz="4" w:space="0"/>
              <w:right w:val="single" w:color="auto" w:sz="4" w:space="0"/>
            </w:tcBorders>
            <w:shd w:val="clear" w:color="auto" w:fill="auto"/>
            <w:vAlign w:val="center"/>
          </w:tcPr>
          <w:p w14:paraId="5AB06EC1">
            <w:pPr>
              <w:pStyle w:val="72"/>
              <w:rPr>
                <w:rFonts w:hint="eastAsia" w:hAnsi="Times New Roman"/>
                <w:kern w:val="0"/>
                <w:sz w:val="20"/>
                <w:szCs w:val="20"/>
                <w:lang w:val="en-US" w:eastAsia="zh-CN" w:bidi="ar"/>
              </w:rPr>
            </w:pPr>
            <w:r>
              <w:rPr>
                <w:rFonts w:hAnsi="Times New Roman"/>
                <w:kern w:val="0"/>
                <w:sz w:val="20"/>
                <w:szCs w:val="20"/>
                <w:lang w:bidi="ar"/>
              </w:rPr>
              <w:t>清除硬覆盖</w:t>
            </w:r>
            <w:r>
              <w:rPr>
                <w:rFonts w:hint="eastAsia" w:hAnsi="Times New Roman"/>
                <w:kern w:val="0"/>
                <w:sz w:val="20"/>
                <w:szCs w:val="20"/>
                <w:lang w:bidi="ar"/>
              </w:rPr>
              <w:t>回填采空区</w:t>
            </w:r>
          </w:p>
        </w:tc>
        <w:tc>
          <w:tcPr>
            <w:tcW w:w="794" w:type="dxa"/>
            <w:tcBorders>
              <w:top w:val="nil"/>
              <w:left w:val="nil"/>
              <w:bottom w:val="single" w:color="auto" w:sz="4" w:space="0"/>
              <w:right w:val="single" w:color="auto" w:sz="4" w:space="0"/>
            </w:tcBorders>
            <w:shd w:val="clear" w:color="auto" w:fill="auto"/>
            <w:vAlign w:val="center"/>
          </w:tcPr>
          <w:p w14:paraId="3D95BBA7">
            <w:pPr>
              <w:widowControl/>
              <w:spacing w:line="300" w:lineRule="exact"/>
              <w:ind w:firstLine="0" w:firstLineChars="0"/>
              <w:jc w:val="center"/>
              <w:textAlignment w:val="center"/>
              <w:rPr>
                <w:rFonts w:hint="eastAsia" w:ascii="Times New Roman" w:hAnsi="Times New Roman" w:eastAsia="宋体" w:cs="Times New Roman"/>
                <w:kern w:val="2"/>
                <w:sz w:val="20"/>
                <w:szCs w:val="20"/>
                <w:lang w:val="en-US" w:eastAsia="zh-CN" w:bidi="ar-SA"/>
              </w:rPr>
            </w:pPr>
            <w:r>
              <w:rPr>
                <w:rFonts w:hAnsi="Times New Roman"/>
                <w:kern w:val="0"/>
                <w:sz w:val="20"/>
                <w:szCs w:val="20"/>
                <w:lang w:bidi="ar"/>
              </w:rPr>
              <w:t>m</w:t>
            </w:r>
            <w:r>
              <w:rPr>
                <w:rFonts w:hAnsi="Times New Roman"/>
                <w:kern w:val="0"/>
                <w:sz w:val="20"/>
                <w:szCs w:val="20"/>
                <w:vertAlign w:val="superscript"/>
                <w:lang w:bidi="ar"/>
              </w:rPr>
              <w:t>3</w:t>
            </w:r>
          </w:p>
        </w:tc>
        <w:tc>
          <w:tcPr>
            <w:tcW w:w="1165" w:type="dxa"/>
            <w:tcBorders>
              <w:top w:val="nil"/>
              <w:left w:val="nil"/>
              <w:bottom w:val="single" w:color="auto" w:sz="4" w:space="0"/>
              <w:right w:val="single" w:color="auto" w:sz="4" w:space="0"/>
            </w:tcBorders>
            <w:shd w:val="clear" w:color="auto" w:fill="auto"/>
            <w:vAlign w:val="center"/>
          </w:tcPr>
          <w:p w14:paraId="344CD1D5">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r>
              <w:rPr>
                <w:rFonts w:hint="default" w:ascii="Times New Roman" w:hAnsi="Times New Roman" w:cs="Times New Roman"/>
                <w:sz w:val="21"/>
                <w:szCs w:val="21"/>
              </w:rPr>
              <w:t>721.6</w:t>
            </w:r>
          </w:p>
        </w:tc>
        <w:tc>
          <w:tcPr>
            <w:tcW w:w="1271" w:type="dxa"/>
            <w:tcBorders>
              <w:top w:val="nil"/>
              <w:left w:val="nil"/>
              <w:bottom w:val="single" w:color="auto" w:sz="4" w:space="0"/>
              <w:right w:val="single" w:color="auto" w:sz="4" w:space="0"/>
            </w:tcBorders>
            <w:noWrap/>
            <w:vAlign w:val="center"/>
          </w:tcPr>
          <w:p w14:paraId="021A9BE5">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bidi="ar"/>
              </w:rPr>
              <w:t>4749.6</w:t>
            </w:r>
          </w:p>
        </w:tc>
        <w:tc>
          <w:tcPr>
            <w:tcW w:w="1358" w:type="dxa"/>
            <w:tcBorders>
              <w:top w:val="nil"/>
              <w:left w:val="nil"/>
              <w:bottom w:val="single" w:color="auto" w:sz="4" w:space="0"/>
              <w:right w:val="single" w:color="auto" w:sz="4" w:space="0"/>
            </w:tcBorders>
            <w:vAlign w:val="center"/>
          </w:tcPr>
          <w:p w14:paraId="51DB468E">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4028</w:t>
            </w:r>
          </w:p>
        </w:tc>
        <w:tc>
          <w:tcPr>
            <w:tcW w:w="1578" w:type="dxa"/>
            <w:tcBorders>
              <w:top w:val="nil"/>
              <w:left w:val="nil"/>
              <w:bottom w:val="single" w:color="auto" w:sz="4" w:space="0"/>
              <w:right w:val="single" w:color="auto" w:sz="4" w:space="0"/>
            </w:tcBorders>
            <w:noWrap/>
            <w:vAlign w:val="center"/>
          </w:tcPr>
          <w:p w14:paraId="642E8F6D">
            <w:pPr>
              <w:pStyle w:val="72"/>
              <w:rPr>
                <w:rFonts w:hint="eastAsia"/>
              </w:rPr>
            </w:pPr>
            <w:r>
              <w:rPr>
                <w:rFonts w:hint="eastAsia"/>
                <w:lang w:val="en-US" w:eastAsia="zh-CN"/>
              </w:rPr>
              <w:t>后续建筑面积扩大</w:t>
            </w:r>
          </w:p>
        </w:tc>
      </w:tr>
      <w:tr w14:paraId="7925F908">
        <w:tblPrEx>
          <w:tblCellMar>
            <w:top w:w="0" w:type="dxa"/>
            <w:left w:w="108" w:type="dxa"/>
            <w:bottom w:w="0" w:type="dxa"/>
            <w:right w:w="108" w:type="dxa"/>
          </w:tblCellMar>
        </w:tblPrEx>
        <w:trPr>
          <w:trHeight w:val="300" w:hRule="atLeast"/>
        </w:trPr>
        <w:tc>
          <w:tcPr>
            <w:tcW w:w="916" w:type="dxa"/>
            <w:tcBorders>
              <w:top w:val="nil"/>
              <w:left w:val="single" w:color="auto" w:sz="4" w:space="0"/>
              <w:bottom w:val="single" w:color="auto" w:sz="4" w:space="0"/>
              <w:right w:val="single" w:color="auto" w:sz="4" w:space="0"/>
            </w:tcBorders>
            <w:vAlign w:val="center"/>
          </w:tcPr>
          <w:p w14:paraId="050C1AC2">
            <w:pPr>
              <w:pStyle w:val="72"/>
              <w:rPr>
                <w:rFonts w:hint="eastAsia" w:hAnsi="Times New Roman"/>
                <w:kern w:val="0"/>
                <w:sz w:val="20"/>
                <w:szCs w:val="20"/>
                <w:lang w:eastAsia="zh-CN" w:bidi="ar"/>
              </w:rPr>
            </w:pPr>
            <w:r>
              <w:rPr>
                <w:rFonts w:hint="eastAsia" w:hAnsi="Times New Roman"/>
                <w:kern w:val="0"/>
                <w:sz w:val="20"/>
                <w:szCs w:val="20"/>
                <w:lang w:val="en-US" w:eastAsia="zh-CN" w:bidi="ar"/>
              </w:rPr>
              <w:t>7</w:t>
            </w:r>
          </w:p>
        </w:tc>
        <w:tc>
          <w:tcPr>
            <w:tcW w:w="2488" w:type="dxa"/>
            <w:tcBorders>
              <w:top w:val="nil"/>
              <w:left w:val="nil"/>
              <w:bottom w:val="single" w:color="auto" w:sz="4" w:space="0"/>
              <w:right w:val="single" w:color="auto" w:sz="4" w:space="0"/>
            </w:tcBorders>
            <w:shd w:val="clear" w:color="auto" w:fill="auto"/>
            <w:noWrap/>
            <w:vAlign w:val="center"/>
          </w:tcPr>
          <w:p w14:paraId="3C6B2D2A">
            <w:pPr>
              <w:pStyle w:val="72"/>
              <w:rPr>
                <w:rFonts w:hint="eastAsia" w:hAnsi="Times New Roman"/>
                <w:kern w:val="0"/>
                <w:sz w:val="20"/>
                <w:szCs w:val="20"/>
                <w:lang w:val="en-US" w:eastAsia="zh-CN" w:bidi="ar"/>
              </w:rPr>
            </w:pPr>
            <w:r>
              <w:rPr>
                <w:rFonts w:hint="eastAsia" w:hAnsi="Times New Roman"/>
                <w:kern w:val="0"/>
                <w:sz w:val="20"/>
                <w:szCs w:val="20"/>
                <w:lang w:bidi="ar"/>
              </w:rPr>
              <w:t>土地平整</w:t>
            </w:r>
          </w:p>
        </w:tc>
        <w:tc>
          <w:tcPr>
            <w:tcW w:w="794" w:type="dxa"/>
            <w:tcBorders>
              <w:top w:val="nil"/>
              <w:left w:val="nil"/>
              <w:bottom w:val="single" w:color="auto" w:sz="4" w:space="0"/>
              <w:right w:val="single" w:color="auto" w:sz="4" w:space="0"/>
            </w:tcBorders>
            <w:shd w:val="clear" w:color="auto" w:fill="auto"/>
            <w:vAlign w:val="center"/>
          </w:tcPr>
          <w:p w14:paraId="76B06FEF">
            <w:pPr>
              <w:widowControl/>
              <w:spacing w:line="300" w:lineRule="exact"/>
              <w:ind w:firstLine="0" w:firstLineChars="0"/>
              <w:jc w:val="center"/>
              <w:textAlignment w:val="center"/>
              <w:rPr>
                <w:rFonts w:hint="eastAsia" w:ascii="Times New Roman" w:hAnsi="Times New Roman" w:eastAsia="宋体" w:cs="Times New Roman"/>
                <w:kern w:val="2"/>
                <w:sz w:val="20"/>
                <w:szCs w:val="20"/>
                <w:lang w:val="en-US" w:eastAsia="zh-CN" w:bidi="ar-SA"/>
              </w:rPr>
            </w:pPr>
            <w:r>
              <w:rPr>
                <w:rFonts w:hAnsi="Times New Roman"/>
                <w:kern w:val="0"/>
                <w:sz w:val="20"/>
                <w:szCs w:val="20"/>
                <w:lang w:bidi="ar"/>
              </w:rPr>
              <w:t>m</w:t>
            </w:r>
            <w:r>
              <w:rPr>
                <w:rFonts w:hAnsi="Times New Roman"/>
                <w:kern w:val="0"/>
                <w:sz w:val="20"/>
                <w:szCs w:val="20"/>
                <w:vertAlign w:val="superscript"/>
                <w:lang w:bidi="ar"/>
              </w:rPr>
              <w:t>3</w:t>
            </w:r>
          </w:p>
        </w:tc>
        <w:tc>
          <w:tcPr>
            <w:tcW w:w="1165" w:type="dxa"/>
            <w:tcBorders>
              <w:top w:val="nil"/>
              <w:left w:val="nil"/>
              <w:bottom w:val="single" w:color="auto" w:sz="4" w:space="0"/>
              <w:right w:val="single" w:color="auto" w:sz="4" w:space="0"/>
            </w:tcBorders>
            <w:shd w:val="clear" w:color="auto" w:fill="auto"/>
            <w:vAlign w:val="center"/>
          </w:tcPr>
          <w:p w14:paraId="69C30F32">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r>
              <w:rPr>
                <w:rFonts w:hint="default" w:ascii="Times New Roman" w:hAnsi="Times New Roman" w:cs="Times New Roman"/>
                <w:kern w:val="0"/>
                <w:sz w:val="20"/>
                <w:szCs w:val="20"/>
                <w:lang w:bidi="ar"/>
              </w:rPr>
              <w:t>360.8</w:t>
            </w:r>
          </w:p>
        </w:tc>
        <w:tc>
          <w:tcPr>
            <w:tcW w:w="1271" w:type="dxa"/>
            <w:tcBorders>
              <w:top w:val="nil"/>
              <w:left w:val="nil"/>
              <w:bottom w:val="single" w:color="auto" w:sz="4" w:space="0"/>
              <w:right w:val="single" w:color="auto" w:sz="4" w:space="0"/>
            </w:tcBorders>
            <w:noWrap/>
            <w:vAlign w:val="center"/>
          </w:tcPr>
          <w:p w14:paraId="7B2AD63D">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5393.6</w:t>
            </w:r>
          </w:p>
        </w:tc>
        <w:tc>
          <w:tcPr>
            <w:tcW w:w="1358" w:type="dxa"/>
            <w:tcBorders>
              <w:top w:val="nil"/>
              <w:left w:val="nil"/>
              <w:bottom w:val="single" w:color="auto" w:sz="4" w:space="0"/>
              <w:right w:val="single" w:color="auto" w:sz="4" w:space="0"/>
            </w:tcBorders>
            <w:vAlign w:val="center"/>
          </w:tcPr>
          <w:p w14:paraId="3569E3A3">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eastAsia" w:cs="Times New Roman"/>
                <w:kern w:val="0"/>
                <w:sz w:val="20"/>
                <w:szCs w:val="20"/>
                <w:lang w:val="en-US" w:eastAsia="zh-CN" w:bidi="ar"/>
              </w:rPr>
              <w:t>5032.8</w:t>
            </w:r>
          </w:p>
        </w:tc>
        <w:tc>
          <w:tcPr>
            <w:tcW w:w="1578" w:type="dxa"/>
            <w:tcBorders>
              <w:top w:val="nil"/>
              <w:left w:val="nil"/>
              <w:bottom w:val="single" w:color="auto" w:sz="4" w:space="0"/>
              <w:right w:val="single" w:color="auto" w:sz="4" w:space="0"/>
            </w:tcBorders>
            <w:noWrap/>
            <w:vAlign w:val="center"/>
          </w:tcPr>
          <w:p w14:paraId="3A4EB942">
            <w:pPr>
              <w:pStyle w:val="72"/>
              <w:rPr>
                <w:rFonts w:hint="default" w:eastAsia="仿宋"/>
                <w:lang w:val="en-US" w:eastAsia="zh-CN"/>
              </w:rPr>
            </w:pPr>
            <w:r>
              <w:rPr>
                <w:rFonts w:hint="eastAsia"/>
                <w:lang w:val="en-US" w:eastAsia="zh-CN"/>
              </w:rPr>
              <w:t>后续用地面积扩大</w:t>
            </w:r>
          </w:p>
        </w:tc>
      </w:tr>
      <w:tr w14:paraId="1A8111EA">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16F72936">
            <w:pPr>
              <w:pStyle w:val="72"/>
              <w:rPr>
                <w:rFonts w:hint="eastAsia" w:hAnsi="Times New Roman"/>
                <w:kern w:val="0"/>
                <w:sz w:val="20"/>
                <w:szCs w:val="20"/>
                <w:lang w:eastAsia="zh-CN" w:bidi="ar"/>
              </w:rPr>
            </w:pPr>
            <w:r>
              <w:rPr>
                <w:rFonts w:hint="eastAsia" w:hAnsi="Times New Roman"/>
                <w:kern w:val="0"/>
                <w:sz w:val="20"/>
                <w:szCs w:val="20"/>
                <w:lang w:val="en-US" w:eastAsia="zh-CN" w:bidi="ar"/>
              </w:rPr>
              <w:t>三</w:t>
            </w:r>
          </w:p>
        </w:tc>
        <w:tc>
          <w:tcPr>
            <w:tcW w:w="2488" w:type="dxa"/>
            <w:tcBorders>
              <w:top w:val="nil"/>
              <w:left w:val="nil"/>
              <w:bottom w:val="single" w:color="auto" w:sz="4" w:space="0"/>
              <w:right w:val="single" w:color="auto" w:sz="4" w:space="0"/>
            </w:tcBorders>
            <w:vAlign w:val="bottom"/>
          </w:tcPr>
          <w:p w14:paraId="22F4BB69">
            <w:pPr>
              <w:pStyle w:val="72"/>
              <w:rPr>
                <w:rFonts w:hint="eastAsia" w:hAnsi="Times New Roman"/>
                <w:kern w:val="0"/>
                <w:sz w:val="20"/>
                <w:szCs w:val="20"/>
                <w:lang w:bidi="ar"/>
              </w:rPr>
            </w:pPr>
            <w:r>
              <w:rPr>
                <w:rFonts w:hAnsi="Times New Roman"/>
                <w:kern w:val="0"/>
                <w:sz w:val="20"/>
                <w:szCs w:val="20"/>
                <w:lang w:bidi="ar"/>
              </w:rPr>
              <w:t>土壤剥覆工程</w:t>
            </w:r>
          </w:p>
        </w:tc>
        <w:tc>
          <w:tcPr>
            <w:tcW w:w="794" w:type="dxa"/>
            <w:tcBorders>
              <w:top w:val="nil"/>
              <w:left w:val="nil"/>
              <w:bottom w:val="single" w:color="auto" w:sz="4" w:space="0"/>
              <w:right w:val="single" w:color="auto" w:sz="4" w:space="0"/>
            </w:tcBorders>
            <w:shd w:val="clear" w:color="auto" w:fill="auto"/>
            <w:vAlign w:val="bottom"/>
          </w:tcPr>
          <w:p w14:paraId="21C666DD">
            <w:pPr>
              <w:widowControl/>
              <w:spacing w:line="300" w:lineRule="exact"/>
              <w:ind w:firstLine="0" w:firstLineChars="0"/>
              <w:jc w:val="center"/>
              <w:rPr>
                <w:rFonts w:hint="eastAsia" w:ascii="Times New Roman" w:hAnsi="Times New Roman" w:eastAsia="宋体" w:cs="Times New Roman"/>
                <w:kern w:val="2"/>
                <w:sz w:val="21"/>
                <w:szCs w:val="21"/>
                <w:lang w:val="en-US" w:eastAsia="zh-CN" w:bidi="ar-SA"/>
              </w:rPr>
            </w:pPr>
          </w:p>
        </w:tc>
        <w:tc>
          <w:tcPr>
            <w:tcW w:w="1165" w:type="dxa"/>
            <w:tcBorders>
              <w:top w:val="nil"/>
              <w:left w:val="nil"/>
              <w:bottom w:val="single" w:color="auto" w:sz="4" w:space="0"/>
              <w:right w:val="single" w:color="auto" w:sz="4" w:space="0"/>
            </w:tcBorders>
            <w:shd w:val="clear" w:color="auto" w:fill="auto"/>
            <w:vAlign w:val="bottom"/>
          </w:tcPr>
          <w:p w14:paraId="5364FD35">
            <w:pPr>
              <w:widowControl/>
              <w:spacing w:line="300" w:lineRule="exact"/>
              <w:ind w:firstLine="0" w:firstLineChars="0"/>
              <w:jc w:val="center"/>
              <w:textAlignment w:val="bottom"/>
              <w:rPr>
                <w:rFonts w:hint="default" w:ascii="Times New Roman" w:hAnsi="Times New Roman" w:eastAsia="宋体" w:cs="Times New Roman"/>
                <w:kern w:val="0"/>
                <w:sz w:val="21"/>
                <w:szCs w:val="21"/>
                <w:lang w:val="en-US" w:eastAsia="zh-CN" w:bidi="ar"/>
              </w:rPr>
            </w:pPr>
          </w:p>
        </w:tc>
        <w:tc>
          <w:tcPr>
            <w:tcW w:w="1271" w:type="dxa"/>
            <w:tcBorders>
              <w:top w:val="nil"/>
              <w:left w:val="nil"/>
              <w:bottom w:val="single" w:color="auto" w:sz="4" w:space="0"/>
              <w:right w:val="single" w:color="auto" w:sz="4" w:space="0"/>
            </w:tcBorders>
            <w:vAlign w:val="center"/>
          </w:tcPr>
          <w:p w14:paraId="6452BAAF">
            <w:pPr>
              <w:widowControl/>
              <w:spacing w:line="300" w:lineRule="exact"/>
              <w:ind w:firstLine="0" w:firstLineChars="0"/>
              <w:jc w:val="center"/>
              <w:textAlignment w:val="center"/>
              <w:rPr>
                <w:rFonts w:hint="default" w:ascii="Times New Roman" w:hAnsi="Times New Roman" w:cs="Times New Roman"/>
                <w:kern w:val="0"/>
                <w:sz w:val="20"/>
                <w:szCs w:val="20"/>
                <w:lang w:bidi="ar"/>
              </w:rPr>
            </w:pPr>
          </w:p>
        </w:tc>
        <w:tc>
          <w:tcPr>
            <w:tcW w:w="1358" w:type="dxa"/>
            <w:tcBorders>
              <w:top w:val="nil"/>
              <w:left w:val="nil"/>
              <w:bottom w:val="single" w:color="auto" w:sz="4" w:space="0"/>
              <w:right w:val="single" w:color="auto" w:sz="4" w:space="0"/>
            </w:tcBorders>
            <w:vAlign w:val="center"/>
          </w:tcPr>
          <w:p w14:paraId="54D0C302">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p>
        </w:tc>
        <w:tc>
          <w:tcPr>
            <w:tcW w:w="1578" w:type="dxa"/>
            <w:tcBorders>
              <w:top w:val="nil"/>
              <w:left w:val="nil"/>
              <w:bottom w:val="single" w:color="auto" w:sz="4" w:space="0"/>
              <w:right w:val="single" w:color="auto" w:sz="4" w:space="0"/>
            </w:tcBorders>
            <w:noWrap/>
            <w:vAlign w:val="center"/>
          </w:tcPr>
          <w:p w14:paraId="67D61218">
            <w:pPr>
              <w:pStyle w:val="72"/>
              <w:rPr>
                <w:rFonts w:hint="eastAsia"/>
              </w:rPr>
            </w:pPr>
          </w:p>
        </w:tc>
      </w:tr>
      <w:tr w14:paraId="2C6516BE">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649906C3">
            <w:pPr>
              <w:pStyle w:val="72"/>
              <w:rPr>
                <w:rFonts w:hint="eastAsia" w:hAnsi="Times New Roman" w:eastAsia="仿宋"/>
                <w:kern w:val="0"/>
                <w:sz w:val="20"/>
                <w:szCs w:val="20"/>
                <w:lang w:eastAsia="zh-CN" w:bidi="ar"/>
              </w:rPr>
            </w:pPr>
            <w:r>
              <w:rPr>
                <w:rFonts w:hint="eastAsia" w:hAnsi="Times New Roman"/>
                <w:kern w:val="0"/>
                <w:sz w:val="20"/>
                <w:szCs w:val="20"/>
                <w:lang w:val="en-US" w:eastAsia="zh-CN" w:bidi="ar"/>
              </w:rPr>
              <w:t>8</w:t>
            </w:r>
          </w:p>
        </w:tc>
        <w:tc>
          <w:tcPr>
            <w:tcW w:w="2488" w:type="dxa"/>
            <w:tcBorders>
              <w:top w:val="nil"/>
              <w:left w:val="nil"/>
              <w:bottom w:val="single" w:color="auto" w:sz="4" w:space="0"/>
              <w:right w:val="single" w:color="auto" w:sz="4" w:space="0"/>
            </w:tcBorders>
            <w:vAlign w:val="bottom"/>
          </w:tcPr>
          <w:p w14:paraId="5DA54EFD">
            <w:pPr>
              <w:pStyle w:val="72"/>
              <w:rPr>
                <w:rFonts w:hint="eastAsia" w:hAnsi="Times New Roman"/>
                <w:kern w:val="0"/>
                <w:sz w:val="20"/>
                <w:szCs w:val="20"/>
                <w:lang w:bidi="ar"/>
              </w:rPr>
            </w:pPr>
            <w:r>
              <w:rPr>
                <w:rFonts w:hint="eastAsia" w:hAnsi="Times New Roman"/>
                <w:kern w:val="0"/>
                <w:sz w:val="20"/>
                <w:szCs w:val="20"/>
                <w:lang w:bidi="ar"/>
              </w:rPr>
              <w:t>购买客土及运输</w:t>
            </w:r>
          </w:p>
        </w:tc>
        <w:tc>
          <w:tcPr>
            <w:tcW w:w="794" w:type="dxa"/>
            <w:tcBorders>
              <w:top w:val="nil"/>
              <w:left w:val="nil"/>
              <w:bottom w:val="single" w:color="auto" w:sz="4" w:space="0"/>
              <w:right w:val="single" w:color="auto" w:sz="4" w:space="0"/>
            </w:tcBorders>
            <w:shd w:val="clear" w:color="auto" w:fill="auto"/>
            <w:vAlign w:val="bottom"/>
          </w:tcPr>
          <w:p w14:paraId="29D42C2F">
            <w:pPr>
              <w:widowControl/>
              <w:spacing w:line="300" w:lineRule="exact"/>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Ansi="Times New Roman"/>
                <w:kern w:val="0"/>
                <w:sz w:val="21"/>
                <w:szCs w:val="21"/>
                <w:lang w:bidi="ar"/>
              </w:rPr>
              <w:t>m</w:t>
            </w:r>
            <w:r>
              <w:rPr>
                <w:rFonts w:hAnsi="Times New Roman"/>
                <w:kern w:val="0"/>
                <w:sz w:val="21"/>
                <w:szCs w:val="21"/>
                <w:vertAlign w:val="superscript"/>
                <w:lang w:bidi="ar"/>
              </w:rPr>
              <w:t>3</w:t>
            </w:r>
          </w:p>
        </w:tc>
        <w:tc>
          <w:tcPr>
            <w:tcW w:w="1165" w:type="dxa"/>
            <w:tcBorders>
              <w:top w:val="nil"/>
              <w:left w:val="nil"/>
              <w:bottom w:val="single" w:color="auto" w:sz="4" w:space="0"/>
              <w:right w:val="single" w:color="auto" w:sz="4" w:space="0"/>
            </w:tcBorders>
            <w:shd w:val="clear" w:color="auto" w:fill="auto"/>
            <w:noWrap/>
            <w:vAlign w:val="bottom"/>
          </w:tcPr>
          <w:p w14:paraId="4BAFCC9B">
            <w:pPr>
              <w:widowControl/>
              <w:spacing w:line="300" w:lineRule="exact"/>
              <w:ind w:firstLine="0" w:firstLineChars="0"/>
              <w:jc w:val="center"/>
              <w:textAlignment w:val="bottom"/>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bidi="ar"/>
              </w:rPr>
              <w:t>1082.4</w:t>
            </w:r>
          </w:p>
        </w:tc>
        <w:tc>
          <w:tcPr>
            <w:tcW w:w="1271" w:type="dxa"/>
            <w:tcBorders>
              <w:top w:val="nil"/>
              <w:left w:val="nil"/>
              <w:bottom w:val="single" w:color="auto" w:sz="4" w:space="0"/>
              <w:right w:val="single" w:color="auto" w:sz="4" w:space="0"/>
            </w:tcBorders>
            <w:noWrap/>
            <w:vAlign w:val="center"/>
          </w:tcPr>
          <w:p w14:paraId="324945BA">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r>
              <w:rPr>
                <w:rFonts w:hint="eastAsia" w:ascii="Times New Roman" w:hAnsi="Times New Roman" w:cs="Times New Roman"/>
                <w:kern w:val="0"/>
                <w:sz w:val="20"/>
                <w:szCs w:val="20"/>
                <w:lang w:val="en-US" w:eastAsia="zh-CN" w:bidi="ar"/>
              </w:rPr>
              <w:t>3504</w:t>
            </w:r>
          </w:p>
        </w:tc>
        <w:tc>
          <w:tcPr>
            <w:tcW w:w="1358" w:type="dxa"/>
            <w:tcBorders>
              <w:top w:val="nil"/>
              <w:left w:val="nil"/>
              <w:bottom w:val="single" w:color="auto" w:sz="4" w:space="0"/>
              <w:right w:val="single" w:color="auto" w:sz="4" w:space="0"/>
            </w:tcBorders>
            <w:vAlign w:val="center"/>
          </w:tcPr>
          <w:p w14:paraId="4004CE3B">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2421.6</w:t>
            </w:r>
          </w:p>
        </w:tc>
        <w:tc>
          <w:tcPr>
            <w:tcW w:w="1578" w:type="dxa"/>
            <w:tcBorders>
              <w:top w:val="nil"/>
              <w:left w:val="nil"/>
              <w:bottom w:val="single" w:color="auto" w:sz="4" w:space="0"/>
              <w:right w:val="single" w:color="auto" w:sz="4" w:space="0"/>
            </w:tcBorders>
            <w:noWrap/>
            <w:vAlign w:val="center"/>
          </w:tcPr>
          <w:p w14:paraId="13688939">
            <w:pPr>
              <w:pStyle w:val="72"/>
              <w:rPr>
                <w:rFonts w:hint="default" w:eastAsia="仿宋"/>
                <w:lang w:val="en-US" w:eastAsia="zh-CN"/>
              </w:rPr>
            </w:pPr>
            <w:r>
              <w:rPr>
                <w:rFonts w:hint="eastAsia"/>
                <w:lang w:val="en-US" w:eastAsia="zh-CN"/>
              </w:rPr>
              <w:t>复垦面积增加</w:t>
            </w:r>
          </w:p>
        </w:tc>
      </w:tr>
      <w:tr w14:paraId="3DEF8D96">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3D2631FE">
            <w:pPr>
              <w:pStyle w:val="72"/>
              <w:rPr>
                <w:rFonts w:hint="eastAsia" w:hAnsi="Times New Roman" w:eastAsia="仿宋"/>
                <w:kern w:val="0"/>
                <w:sz w:val="20"/>
                <w:szCs w:val="20"/>
                <w:lang w:eastAsia="zh-CN" w:bidi="ar"/>
              </w:rPr>
            </w:pPr>
            <w:r>
              <w:rPr>
                <w:rFonts w:hint="eastAsia" w:hAnsi="Times New Roman"/>
                <w:kern w:val="0"/>
                <w:sz w:val="20"/>
                <w:szCs w:val="20"/>
                <w:lang w:val="en-US" w:eastAsia="zh-CN" w:bidi="ar"/>
              </w:rPr>
              <w:t>9</w:t>
            </w:r>
          </w:p>
        </w:tc>
        <w:tc>
          <w:tcPr>
            <w:tcW w:w="2488" w:type="dxa"/>
            <w:tcBorders>
              <w:top w:val="nil"/>
              <w:left w:val="nil"/>
              <w:bottom w:val="single" w:color="auto" w:sz="4" w:space="0"/>
              <w:right w:val="single" w:color="auto" w:sz="4" w:space="0"/>
            </w:tcBorders>
            <w:vAlign w:val="bottom"/>
          </w:tcPr>
          <w:p w14:paraId="7D58B53C">
            <w:pPr>
              <w:pStyle w:val="72"/>
              <w:rPr>
                <w:rFonts w:hint="eastAsia" w:hAnsi="Times New Roman"/>
                <w:kern w:val="0"/>
                <w:sz w:val="20"/>
                <w:szCs w:val="20"/>
                <w:lang w:bidi="ar"/>
              </w:rPr>
            </w:pPr>
            <w:r>
              <w:rPr>
                <w:rFonts w:hAnsi="Times New Roman"/>
                <w:kern w:val="0"/>
                <w:sz w:val="20"/>
                <w:szCs w:val="20"/>
                <w:lang w:bidi="ar"/>
              </w:rPr>
              <w:t>植被恢复工程</w:t>
            </w:r>
          </w:p>
        </w:tc>
        <w:tc>
          <w:tcPr>
            <w:tcW w:w="794" w:type="dxa"/>
            <w:tcBorders>
              <w:top w:val="nil"/>
              <w:left w:val="nil"/>
              <w:bottom w:val="single" w:color="auto" w:sz="4" w:space="0"/>
              <w:right w:val="single" w:color="auto" w:sz="4" w:space="0"/>
            </w:tcBorders>
            <w:shd w:val="clear" w:color="auto" w:fill="auto"/>
            <w:vAlign w:val="bottom"/>
          </w:tcPr>
          <w:p w14:paraId="4F2DC871">
            <w:pPr>
              <w:widowControl/>
              <w:spacing w:line="300" w:lineRule="exact"/>
              <w:ind w:firstLine="0" w:firstLineChars="0"/>
              <w:jc w:val="center"/>
              <w:rPr>
                <w:rFonts w:hint="eastAsia" w:ascii="Times New Roman" w:hAnsi="Times New Roman" w:eastAsia="宋体" w:cs="Times New Roman"/>
                <w:kern w:val="2"/>
                <w:sz w:val="21"/>
                <w:szCs w:val="21"/>
                <w:lang w:val="en-US" w:eastAsia="zh-CN" w:bidi="ar-SA"/>
              </w:rPr>
            </w:pPr>
          </w:p>
        </w:tc>
        <w:tc>
          <w:tcPr>
            <w:tcW w:w="1165" w:type="dxa"/>
            <w:tcBorders>
              <w:top w:val="nil"/>
              <w:left w:val="nil"/>
              <w:bottom w:val="single" w:color="auto" w:sz="4" w:space="0"/>
              <w:right w:val="single" w:color="auto" w:sz="4" w:space="0"/>
            </w:tcBorders>
            <w:shd w:val="clear" w:color="auto" w:fill="auto"/>
            <w:vAlign w:val="bottom"/>
          </w:tcPr>
          <w:p w14:paraId="2A6F6474">
            <w:pPr>
              <w:widowControl/>
              <w:spacing w:line="300" w:lineRule="exact"/>
              <w:ind w:firstLine="0" w:firstLineChars="0"/>
              <w:jc w:val="center"/>
              <w:textAlignment w:val="bottom"/>
              <w:rPr>
                <w:rFonts w:hint="default" w:ascii="Times New Roman" w:hAnsi="Times New Roman" w:eastAsia="宋体" w:cs="Times New Roman"/>
                <w:kern w:val="0"/>
                <w:sz w:val="21"/>
                <w:szCs w:val="21"/>
                <w:lang w:val="en-US" w:eastAsia="zh-CN" w:bidi="ar"/>
              </w:rPr>
            </w:pPr>
          </w:p>
        </w:tc>
        <w:tc>
          <w:tcPr>
            <w:tcW w:w="1271" w:type="dxa"/>
            <w:tcBorders>
              <w:top w:val="nil"/>
              <w:left w:val="nil"/>
              <w:bottom w:val="single" w:color="auto" w:sz="4" w:space="0"/>
              <w:right w:val="single" w:color="auto" w:sz="4" w:space="0"/>
            </w:tcBorders>
            <w:noWrap/>
            <w:vAlign w:val="center"/>
          </w:tcPr>
          <w:p w14:paraId="0E6D81F9">
            <w:pPr>
              <w:widowControl/>
              <w:spacing w:line="300" w:lineRule="exact"/>
              <w:ind w:firstLine="0" w:firstLineChars="0"/>
              <w:jc w:val="center"/>
              <w:textAlignment w:val="center"/>
              <w:rPr>
                <w:rFonts w:hint="default" w:ascii="Times New Roman" w:hAnsi="Times New Roman" w:cs="Times New Roman"/>
                <w:kern w:val="0"/>
                <w:sz w:val="20"/>
                <w:szCs w:val="20"/>
                <w:lang w:eastAsia="zh-CN" w:bidi="ar"/>
              </w:rPr>
            </w:pPr>
          </w:p>
        </w:tc>
        <w:tc>
          <w:tcPr>
            <w:tcW w:w="1358" w:type="dxa"/>
            <w:tcBorders>
              <w:top w:val="nil"/>
              <w:left w:val="nil"/>
              <w:bottom w:val="single" w:color="auto" w:sz="4" w:space="0"/>
              <w:right w:val="single" w:color="auto" w:sz="4" w:space="0"/>
            </w:tcBorders>
            <w:vAlign w:val="center"/>
          </w:tcPr>
          <w:p w14:paraId="1A1FDA0B">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0</w:t>
            </w:r>
          </w:p>
        </w:tc>
        <w:tc>
          <w:tcPr>
            <w:tcW w:w="1578" w:type="dxa"/>
            <w:tcBorders>
              <w:top w:val="nil"/>
              <w:left w:val="nil"/>
              <w:bottom w:val="single" w:color="auto" w:sz="4" w:space="0"/>
              <w:right w:val="single" w:color="auto" w:sz="4" w:space="0"/>
            </w:tcBorders>
            <w:noWrap/>
            <w:vAlign w:val="center"/>
          </w:tcPr>
          <w:p w14:paraId="52FC8E65">
            <w:pPr>
              <w:pStyle w:val="72"/>
              <w:rPr>
                <w:rFonts w:hint="eastAsia"/>
              </w:rPr>
            </w:pPr>
          </w:p>
        </w:tc>
      </w:tr>
      <w:tr w14:paraId="651E69BB">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2A17859E">
            <w:pPr>
              <w:pStyle w:val="72"/>
              <w:rPr>
                <w:rFonts w:hint="eastAsia" w:hAnsi="Times New Roman" w:eastAsia="仿宋"/>
                <w:kern w:val="0"/>
                <w:sz w:val="20"/>
                <w:szCs w:val="20"/>
                <w:lang w:eastAsia="zh-CN" w:bidi="ar"/>
              </w:rPr>
            </w:pPr>
            <w:r>
              <w:rPr>
                <w:rFonts w:hint="eastAsia" w:hAnsi="Times New Roman"/>
                <w:kern w:val="0"/>
                <w:sz w:val="20"/>
                <w:szCs w:val="20"/>
                <w:lang w:bidi="ar"/>
              </w:rPr>
              <w:t>1</w:t>
            </w:r>
            <w:r>
              <w:rPr>
                <w:rFonts w:hint="eastAsia" w:hAnsi="Times New Roman"/>
                <w:kern w:val="0"/>
                <w:sz w:val="20"/>
                <w:szCs w:val="20"/>
                <w:lang w:val="en-US" w:eastAsia="zh-CN" w:bidi="ar"/>
              </w:rPr>
              <w:t>0</w:t>
            </w:r>
          </w:p>
        </w:tc>
        <w:tc>
          <w:tcPr>
            <w:tcW w:w="2488" w:type="dxa"/>
            <w:tcBorders>
              <w:top w:val="nil"/>
              <w:left w:val="nil"/>
              <w:bottom w:val="single" w:color="auto" w:sz="4" w:space="0"/>
              <w:right w:val="single" w:color="auto" w:sz="4" w:space="0"/>
            </w:tcBorders>
            <w:vAlign w:val="bottom"/>
          </w:tcPr>
          <w:p w14:paraId="636DB4DF">
            <w:pPr>
              <w:pStyle w:val="72"/>
              <w:rPr>
                <w:rFonts w:hint="eastAsia" w:hAnsi="Times New Roman"/>
                <w:kern w:val="0"/>
                <w:sz w:val="20"/>
                <w:szCs w:val="20"/>
                <w:lang w:bidi="ar"/>
              </w:rPr>
            </w:pPr>
            <w:r>
              <w:rPr>
                <w:rFonts w:hAnsi="Times New Roman"/>
                <w:kern w:val="0"/>
                <w:sz w:val="20"/>
                <w:szCs w:val="20"/>
                <w:lang w:bidi="ar"/>
              </w:rPr>
              <w:t>栽植落叶松</w:t>
            </w:r>
          </w:p>
        </w:tc>
        <w:tc>
          <w:tcPr>
            <w:tcW w:w="794" w:type="dxa"/>
            <w:tcBorders>
              <w:top w:val="nil"/>
              <w:left w:val="nil"/>
              <w:bottom w:val="single" w:color="auto" w:sz="4" w:space="0"/>
              <w:right w:val="single" w:color="auto" w:sz="4" w:space="0"/>
            </w:tcBorders>
            <w:shd w:val="clear" w:color="auto" w:fill="auto"/>
            <w:vAlign w:val="bottom"/>
          </w:tcPr>
          <w:p w14:paraId="02C0AAE1">
            <w:pPr>
              <w:widowControl/>
              <w:spacing w:line="300" w:lineRule="exact"/>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Ansi="Times New Roman"/>
                <w:kern w:val="0"/>
                <w:sz w:val="21"/>
                <w:szCs w:val="21"/>
                <w:lang w:bidi="ar"/>
              </w:rPr>
              <w:t>株</w:t>
            </w:r>
          </w:p>
        </w:tc>
        <w:tc>
          <w:tcPr>
            <w:tcW w:w="1165" w:type="dxa"/>
            <w:tcBorders>
              <w:top w:val="nil"/>
              <w:left w:val="nil"/>
              <w:bottom w:val="single" w:color="auto" w:sz="4" w:space="0"/>
              <w:right w:val="single" w:color="auto" w:sz="4" w:space="0"/>
            </w:tcBorders>
            <w:shd w:val="clear" w:color="auto" w:fill="auto"/>
            <w:vAlign w:val="bottom"/>
          </w:tcPr>
          <w:p w14:paraId="34682160">
            <w:pPr>
              <w:widowControl/>
              <w:spacing w:line="300" w:lineRule="exact"/>
              <w:ind w:firstLine="0" w:firstLineChars="0"/>
              <w:jc w:val="center"/>
              <w:textAlignment w:val="bottom"/>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bidi="ar"/>
              </w:rPr>
              <w:t>902</w:t>
            </w:r>
          </w:p>
        </w:tc>
        <w:tc>
          <w:tcPr>
            <w:tcW w:w="1271" w:type="dxa"/>
            <w:tcBorders>
              <w:top w:val="nil"/>
              <w:left w:val="nil"/>
              <w:bottom w:val="single" w:color="auto" w:sz="4" w:space="0"/>
              <w:right w:val="single" w:color="auto" w:sz="4" w:space="0"/>
            </w:tcBorders>
            <w:noWrap/>
            <w:vAlign w:val="center"/>
          </w:tcPr>
          <w:p w14:paraId="19D53D17">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r>
              <w:rPr>
                <w:rFonts w:hint="default" w:ascii="Times New Roman" w:hAnsi="Times New Roman" w:cs="Times New Roman"/>
                <w:kern w:val="0"/>
                <w:sz w:val="20"/>
                <w:szCs w:val="20"/>
                <w:lang w:val="en-US" w:eastAsia="zh-CN" w:bidi="ar"/>
              </w:rPr>
              <w:t>4205</w:t>
            </w:r>
          </w:p>
        </w:tc>
        <w:tc>
          <w:tcPr>
            <w:tcW w:w="1358" w:type="dxa"/>
            <w:tcBorders>
              <w:top w:val="nil"/>
              <w:left w:val="nil"/>
              <w:bottom w:val="single" w:color="auto" w:sz="4" w:space="0"/>
              <w:right w:val="single" w:color="auto" w:sz="4" w:space="0"/>
            </w:tcBorders>
            <w:vAlign w:val="center"/>
          </w:tcPr>
          <w:p w14:paraId="24956456">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3303</w:t>
            </w:r>
          </w:p>
        </w:tc>
        <w:tc>
          <w:tcPr>
            <w:tcW w:w="1578" w:type="dxa"/>
            <w:tcBorders>
              <w:top w:val="nil"/>
              <w:left w:val="nil"/>
              <w:bottom w:val="single" w:color="auto" w:sz="4" w:space="0"/>
              <w:right w:val="single" w:color="auto" w:sz="4" w:space="0"/>
            </w:tcBorders>
            <w:noWrap/>
            <w:vAlign w:val="center"/>
          </w:tcPr>
          <w:p w14:paraId="12370DF0">
            <w:pPr>
              <w:pStyle w:val="72"/>
              <w:rPr>
                <w:rFonts w:hint="eastAsia"/>
              </w:rPr>
            </w:pPr>
            <w:r>
              <w:rPr>
                <w:rFonts w:hint="eastAsia"/>
                <w:lang w:val="en-US" w:eastAsia="zh-CN"/>
              </w:rPr>
              <w:t>复垦面积增加</w:t>
            </w:r>
          </w:p>
        </w:tc>
      </w:tr>
      <w:tr w14:paraId="1BBD980A">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5ACB17F4">
            <w:pPr>
              <w:pStyle w:val="72"/>
              <w:rPr>
                <w:rFonts w:hint="eastAsia" w:hAnsi="Times New Roman" w:eastAsia="仿宋"/>
                <w:kern w:val="0"/>
                <w:sz w:val="20"/>
                <w:szCs w:val="20"/>
                <w:lang w:eastAsia="zh-CN" w:bidi="ar"/>
              </w:rPr>
            </w:pPr>
            <w:r>
              <w:rPr>
                <w:rFonts w:hint="eastAsia" w:hAnsi="Times New Roman"/>
                <w:kern w:val="0"/>
                <w:sz w:val="20"/>
                <w:szCs w:val="20"/>
                <w:lang w:bidi="ar"/>
              </w:rPr>
              <w:t>1</w:t>
            </w:r>
            <w:r>
              <w:rPr>
                <w:rFonts w:hint="eastAsia" w:hAnsi="Times New Roman"/>
                <w:kern w:val="0"/>
                <w:sz w:val="20"/>
                <w:szCs w:val="20"/>
                <w:lang w:val="en-US" w:eastAsia="zh-CN" w:bidi="ar"/>
              </w:rPr>
              <w:t>1</w:t>
            </w:r>
          </w:p>
        </w:tc>
        <w:tc>
          <w:tcPr>
            <w:tcW w:w="2488" w:type="dxa"/>
            <w:tcBorders>
              <w:top w:val="nil"/>
              <w:left w:val="nil"/>
              <w:bottom w:val="single" w:color="auto" w:sz="4" w:space="0"/>
              <w:right w:val="single" w:color="auto" w:sz="4" w:space="0"/>
            </w:tcBorders>
            <w:vAlign w:val="bottom"/>
          </w:tcPr>
          <w:p w14:paraId="3C62D07F">
            <w:pPr>
              <w:pStyle w:val="72"/>
              <w:rPr>
                <w:rFonts w:hint="eastAsia" w:hAnsi="Times New Roman"/>
                <w:kern w:val="0"/>
                <w:sz w:val="20"/>
                <w:szCs w:val="20"/>
                <w:lang w:bidi="ar"/>
              </w:rPr>
            </w:pPr>
            <w:r>
              <w:rPr>
                <w:rFonts w:hAnsi="Times New Roman"/>
                <w:kern w:val="0"/>
                <w:sz w:val="20"/>
                <w:szCs w:val="20"/>
                <w:lang w:bidi="ar"/>
              </w:rPr>
              <w:t>撒播草籽</w:t>
            </w:r>
          </w:p>
        </w:tc>
        <w:tc>
          <w:tcPr>
            <w:tcW w:w="794" w:type="dxa"/>
            <w:tcBorders>
              <w:top w:val="nil"/>
              <w:left w:val="nil"/>
              <w:bottom w:val="single" w:color="auto" w:sz="4" w:space="0"/>
              <w:right w:val="single" w:color="auto" w:sz="4" w:space="0"/>
            </w:tcBorders>
            <w:shd w:val="clear" w:color="auto" w:fill="auto"/>
            <w:vAlign w:val="bottom"/>
          </w:tcPr>
          <w:p w14:paraId="35E55E58">
            <w:pPr>
              <w:widowControl/>
              <w:spacing w:line="300" w:lineRule="exact"/>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Ansi="Times New Roman"/>
                <w:kern w:val="0"/>
                <w:sz w:val="21"/>
                <w:szCs w:val="21"/>
                <w:lang w:bidi="ar"/>
              </w:rPr>
              <w:t>hm</w:t>
            </w:r>
            <w:r>
              <w:rPr>
                <w:rFonts w:hAnsi="Times New Roman"/>
                <w:kern w:val="0"/>
                <w:sz w:val="21"/>
                <w:szCs w:val="21"/>
                <w:vertAlign w:val="superscript"/>
                <w:lang w:bidi="ar"/>
              </w:rPr>
              <w:t>2</w:t>
            </w:r>
          </w:p>
        </w:tc>
        <w:tc>
          <w:tcPr>
            <w:tcW w:w="1165" w:type="dxa"/>
            <w:tcBorders>
              <w:top w:val="nil"/>
              <w:left w:val="nil"/>
              <w:bottom w:val="single" w:color="auto" w:sz="4" w:space="0"/>
              <w:right w:val="single" w:color="auto" w:sz="4" w:space="0"/>
            </w:tcBorders>
            <w:shd w:val="clear" w:color="auto" w:fill="auto"/>
            <w:vAlign w:val="bottom"/>
          </w:tcPr>
          <w:p w14:paraId="3B613760">
            <w:pPr>
              <w:widowControl/>
              <w:spacing w:line="300" w:lineRule="exact"/>
              <w:ind w:firstLine="0" w:firstLineChars="0"/>
              <w:jc w:val="center"/>
              <w:textAlignment w:val="bottom"/>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eastAsia="zh-CN" w:bidi="ar"/>
              </w:rPr>
              <w:t>0.47</w:t>
            </w:r>
          </w:p>
        </w:tc>
        <w:tc>
          <w:tcPr>
            <w:tcW w:w="1271" w:type="dxa"/>
            <w:tcBorders>
              <w:top w:val="nil"/>
              <w:left w:val="nil"/>
              <w:bottom w:val="single" w:color="auto" w:sz="4" w:space="0"/>
              <w:right w:val="single" w:color="auto" w:sz="4" w:space="0"/>
            </w:tcBorders>
            <w:vAlign w:val="center"/>
          </w:tcPr>
          <w:p w14:paraId="1B963CD0">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r>
              <w:rPr>
                <w:rFonts w:hint="default" w:ascii="Times New Roman" w:hAnsi="Times New Roman" w:cs="Times New Roman"/>
                <w:kern w:val="0"/>
                <w:sz w:val="20"/>
                <w:szCs w:val="20"/>
                <w:lang w:val="en-US" w:eastAsia="zh-CN" w:bidi="ar"/>
              </w:rPr>
              <w:t>2.4</w:t>
            </w:r>
          </w:p>
        </w:tc>
        <w:tc>
          <w:tcPr>
            <w:tcW w:w="1358" w:type="dxa"/>
            <w:tcBorders>
              <w:top w:val="nil"/>
              <w:left w:val="nil"/>
              <w:bottom w:val="single" w:color="auto" w:sz="4" w:space="0"/>
              <w:right w:val="single" w:color="auto" w:sz="4" w:space="0"/>
            </w:tcBorders>
            <w:vAlign w:val="center"/>
          </w:tcPr>
          <w:p w14:paraId="6DA7B05B">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1.93</w:t>
            </w:r>
          </w:p>
        </w:tc>
        <w:tc>
          <w:tcPr>
            <w:tcW w:w="1578" w:type="dxa"/>
            <w:tcBorders>
              <w:top w:val="nil"/>
              <w:left w:val="nil"/>
              <w:bottom w:val="single" w:color="auto" w:sz="4" w:space="0"/>
              <w:right w:val="single" w:color="auto" w:sz="4" w:space="0"/>
            </w:tcBorders>
            <w:noWrap/>
            <w:vAlign w:val="center"/>
          </w:tcPr>
          <w:p w14:paraId="5525871F">
            <w:pPr>
              <w:pStyle w:val="72"/>
              <w:rPr>
                <w:rFonts w:hint="eastAsia"/>
              </w:rPr>
            </w:pPr>
            <w:r>
              <w:rPr>
                <w:rFonts w:hint="eastAsia"/>
                <w:lang w:val="en-US" w:eastAsia="zh-CN"/>
              </w:rPr>
              <w:t>复垦面积增加</w:t>
            </w:r>
          </w:p>
        </w:tc>
      </w:tr>
      <w:tr w14:paraId="011B7793">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6239BE4F">
            <w:pPr>
              <w:pStyle w:val="72"/>
              <w:rPr>
                <w:rFonts w:hint="eastAsia" w:hAnsi="Times New Roman"/>
                <w:kern w:val="0"/>
                <w:sz w:val="20"/>
                <w:szCs w:val="20"/>
                <w:lang w:eastAsia="zh-CN" w:bidi="ar"/>
              </w:rPr>
            </w:pPr>
            <w:r>
              <w:rPr>
                <w:rFonts w:hint="eastAsia" w:hAnsi="Times New Roman"/>
                <w:kern w:val="0"/>
                <w:sz w:val="20"/>
                <w:szCs w:val="20"/>
                <w:lang w:val="en-US" w:eastAsia="zh-CN" w:bidi="ar"/>
              </w:rPr>
              <w:t>四</w:t>
            </w:r>
          </w:p>
        </w:tc>
        <w:tc>
          <w:tcPr>
            <w:tcW w:w="2488" w:type="dxa"/>
            <w:tcBorders>
              <w:top w:val="nil"/>
              <w:left w:val="nil"/>
              <w:bottom w:val="single" w:color="auto" w:sz="4" w:space="0"/>
              <w:right w:val="single" w:color="auto" w:sz="4" w:space="0"/>
            </w:tcBorders>
            <w:vAlign w:val="center"/>
          </w:tcPr>
          <w:p w14:paraId="5C46D389">
            <w:pPr>
              <w:pStyle w:val="72"/>
              <w:rPr>
                <w:rFonts w:hint="eastAsia" w:hAnsi="Times New Roman"/>
                <w:kern w:val="0"/>
                <w:sz w:val="20"/>
                <w:szCs w:val="20"/>
                <w:lang w:bidi="ar"/>
              </w:rPr>
            </w:pPr>
            <w:r>
              <w:rPr>
                <w:rFonts w:hint="eastAsia" w:hAnsi="Times New Roman"/>
                <w:kern w:val="0"/>
                <w:sz w:val="20"/>
                <w:szCs w:val="20"/>
                <w:lang w:bidi="ar"/>
              </w:rPr>
              <w:t>监测与管护</w:t>
            </w:r>
          </w:p>
        </w:tc>
        <w:tc>
          <w:tcPr>
            <w:tcW w:w="794" w:type="dxa"/>
            <w:tcBorders>
              <w:top w:val="nil"/>
              <w:left w:val="nil"/>
              <w:bottom w:val="single" w:color="auto" w:sz="4" w:space="0"/>
              <w:right w:val="single" w:color="auto" w:sz="4" w:space="0"/>
            </w:tcBorders>
            <w:vAlign w:val="center"/>
          </w:tcPr>
          <w:p w14:paraId="242E0BC2">
            <w:pPr>
              <w:pStyle w:val="72"/>
              <w:rPr>
                <w:rFonts w:hint="eastAsia"/>
              </w:rPr>
            </w:pPr>
            <w:r>
              <w:rPr>
                <w:rFonts w:hint="eastAsia"/>
              </w:rPr>
              <w:t>　</w:t>
            </w:r>
          </w:p>
        </w:tc>
        <w:tc>
          <w:tcPr>
            <w:tcW w:w="1165" w:type="dxa"/>
            <w:tcBorders>
              <w:top w:val="nil"/>
              <w:left w:val="nil"/>
              <w:bottom w:val="single" w:color="auto" w:sz="4" w:space="0"/>
              <w:right w:val="single" w:color="auto" w:sz="4" w:space="0"/>
            </w:tcBorders>
            <w:vAlign w:val="center"/>
          </w:tcPr>
          <w:p w14:paraId="1585D4EA">
            <w:pPr>
              <w:pStyle w:val="72"/>
              <w:rPr>
                <w:rFonts w:hint="default" w:ascii="Times New Roman" w:hAnsi="Times New Roman" w:cs="Times New Roman"/>
              </w:rPr>
            </w:pPr>
            <w:r>
              <w:rPr>
                <w:rFonts w:hint="default" w:ascii="Times New Roman" w:hAnsi="Times New Roman" w:cs="Times New Roman"/>
              </w:rPr>
              <w:t>　</w:t>
            </w:r>
          </w:p>
        </w:tc>
        <w:tc>
          <w:tcPr>
            <w:tcW w:w="1271" w:type="dxa"/>
            <w:tcBorders>
              <w:top w:val="nil"/>
              <w:left w:val="nil"/>
              <w:bottom w:val="single" w:color="auto" w:sz="4" w:space="0"/>
              <w:right w:val="single" w:color="auto" w:sz="4" w:space="0"/>
            </w:tcBorders>
            <w:noWrap/>
            <w:vAlign w:val="center"/>
          </w:tcPr>
          <w:p w14:paraId="4A45DAC4">
            <w:pPr>
              <w:widowControl/>
              <w:spacing w:line="300" w:lineRule="exact"/>
              <w:ind w:firstLine="0" w:firstLineChars="0"/>
              <w:jc w:val="center"/>
              <w:textAlignment w:val="center"/>
              <w:rPr>
                <w:rFonts w:hint="default" w:ascii="Times New Roman" w:hAnsi="Times New Roman" w:cs="Times New Roman"/>
                <w:kern w:val="0"/>
                <w:sz w:val="20"/>
                <w:szCs w:val="20"/>
                <w:lang w:bidi="ar"/>
              </w:rPr>
            </w:pPr>
          </w:p>
        </w:tc>
        <w:tc>
          <w:tcPr>
            <w:tcW w:w="1358" w:type="dxa"/>
            <w:tcBorders>
              <w:top w:val="nil"/>
              <w:left w:val="nil"/>
              <w:bottom w:val="single" w:color="auto" w:sz="4" w:space="0"/>
              <w:right w:val="single" w:color="auto" w:sz="4" w:space="0"/>
            </w:tcBorders>
            <w:vAlign w:val="center"/>
          </w:tcPr>
          <w:p w14:paraId="74E66F29">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0</w:t>
            </w:r>
          </w:p>
        </w:tc>
        <w:tc>
          <w:tcPr>
            <w:tcW w:w="1578" w:type="dxa"/>
            <w:tcBorders>
              <w:top w:val="nil"/>
              <w:left w:val="nil"/>
              <w:bottom w:val="single" w:color="auto" w:sz="4" w:space="0"/>
              <w:right w:val="single" w:color="auto" w:sz="4" w:space="0"/>
            </w:tcBorders>
            <w:noWrap/>
            <w:vAlign w:val="center"/>
          </w:tcPr>
          <w:p w14:paraId="47436F8E">
            <w:pPr>
              <w:pStyle w:val="72"/>
              <w:rPr>
                <w:rFonts w:hint="eastAsia"/>
              </w:rPr>
            </w:pPr>
          </w:p>
        </w:tc>
      </w:tr>
      <w:tr w14:paraId="24F13EEE">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15C705D7">
            <w:pPr>
              <w:pStyle w:val="72"/>
              <w:rPr>
                <w:rFonts w:hint="eastAsia" w:hAnsi="Times New Roman" w:eastAsia="仿宋"/>
                <w:kern w:val="0"/>
                <w:sz w:val="20"/>
                <w:szCs w:val="20"/>
                <w:lang w:eastAsia="zh-CN" w:bidi="ar"/>
              </w:rPr>
            </w:pPr>
            <w:r>
              <w:rPr>
                <w:rFonts w:hint="eastAsia" w:hAnsi="Times New Roman"/>
                <w:kern w:val="0"/>
                <w:sz w:val="20"/>
                <w:szCs w:val="20"/>
                <w:lang w:bidi="ar"/>
              </w:rPr>
              <w:t>1</w:t>
            </w:r>
            <w:r>
              <w:rPr>
                <w:rFonts w:hint="eastAsia" w:hAnsi="Times New Roman"/>
                <w:kern w:val="0"/>
                <w:sz w:val="20"/>
                <w:szCs w:val="20"/>
                <w:lang w:val="en-US" w:eastAsia="zh-CN" w:bidi="ar"/>
              </w:rPr>
              <w:t>2</w:t>
            </w:r>
          </w:p>
        </w:tc>
        <w:tc>
          <w:tcPr>
            <w:tcW w:w="2488" w:type="dxa"/>
            <w:tcBorders>
              <w:top w:val="nil"/>
              <w:left w:val="nil"/>
              <w:bottom w:val="single" w:color="auto" w:sz="4" w:space="0"/>
              <w:right w:val="single" w:color="auto" w:sz="4" w:space="0"/>
            </w:tcBorders>
            <w:vAlign w:val="center"/>
          </w:tcPr>
          <w:p w14:paraId="0F37CEDE">
            <w:pPr>
              <w:pStyle w:val="72"/>
              <w:rPr>
                <w:rFonts w:hint="eastAsia" w:hAnsi="Times New Roman"/>
                <w:kern w:val="0"/>
                <w:sz w:val="20"/>
                <w:szCs w:val="20"/>
                <w:lang w:bidi="ar"/>
              </w:rPr>
            </w:pPr>
            <w:r>
              <w:rPr>
                <w:rFonts w:hint="eastAsia" w:hAnsi="Times New Roman"/>
                <w:kern w:val="0"/>
                <w:sz w:val="20"/>
                <w:szCs w:val="20"/>
                <w:lang w:val="en-US" w:eastAsia="zh-CN" w:bidi="ar"/>
              </w:rPr>
              <w:t>采空区</w:t>
            </w:r>
            <w:r>
              <w:rPr>
                <w:rFonts w:hAnsi="Times New Roman"/>
                <w:kern w:val="0"/>
                <w:sz w:val="20"/>
                <w:szCs w:val="20"/>
                <w:lang w:bidi="ar"/>
              </w:rPr>
              <w:t>稳定性监测</w:t>
            </w:r>
          </w:p>
        </w:tc>
        <w:tc>
          <w:tcPr>
            <w:tcW w:w="794" w:type="dxa"/>
            <w:tcBorders>
              <w:top w:val="nil"/>
              <w:left w:val="nil"/>
              <w:bottom w:val="single" w:color="auto" w:sz="4" w:space="0"/>
              <w:right w:val="single" w:color="auto" w:sz="4" w:space="0"/>
            </w:tcBorders>
            <w:vAlign w:val="center"/>
          </w:tcPr>
          <w:p w14:paraId="6B07DDBF">
            <w:pPr>
              <w:pStyle w:val="72"/>
              <w:rPr>
                <w:rFonts w:hint="eastAsia"/>
              </w:rPr>
            </w:pPr>
            <w:r>
              <w:rPr>
                <w:rFonts w:hint="eastAsia"/>
              </w:rPr>
              <w:t>次</w:t>
            </w:r>
          </w:p>
        </w:tc>
        <w:tc>
          <w:tcPr>
            <w:tcW w:w="1165" w:type="dxa"/>
            <w:tcBorders>
              <w:top w:val="nil"/>
              <w:left w:val="nil"/>
              <w:bottom w:val="single" w:color="auto" w:sz="4" w:space="0"/>
              <w:right w:val="single" w:color="auto" w:sz="4" w:space="0"/>
            </w:tcBorders>
            <w:noWrap/>
            <w:vAlign w:val="center"/>
          </w:tcPr>
          <w:p w14:paraId="27D2C856">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90</w:t>
            </w:r>
          </w:p>
        </w:tc>
        <w:tc>
          <w:tcPr>
            <w:tcW w:w="1271" w:type="dxa"/>
            <w:tcBorders>
              <w:top w:val="nil"/>
              <w:left w:val="nil"/>
              <w:bottom w:val="single" w:color="auto" w:sz="4" w:space="0"/>
              <w:right w:val="single" w:color="auto" w:sz="4" w:space="0"/>
            </w:tcBorders>
            <w:vAlign w:val="center"/>
          </w:tcPr>
          <w:p w14:paraId="5C5C4250">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r>
              <w:rPr>
                <w:rFonts w:hint="default" w:ascii="Times New Roman" w:hAnsi="Times New Roman" w:cs="Times New Roman"/>
                <w:kern w:val="0"/>
                <w:sz w:val="20"/>
                <w:szCs w:val="20"/>
                <w:lang w:val="en-US" w:eastAsia="zh-CN" w:bidi="ar"/>
              </w:rPr>
              <w:t>180</w:t>
            </w:r>
          </w:p>
        </w:tc>
        <w:tc>
          <w:tcPr>
            <w:tcW w:w="1358" w:type="dxa"/>
            <w:tcBorders>
              <w:top w:val="nil"/>
              <w:left w:val="nil"/>
              <w:bottom w:val="single" w:color="auto" w:sz="4" w:space="0"/>
              <w:right w:val="single" w:color="auto" w:sz="4" w:space="0"/>
            </w:tcBorders>
            <w:vAlign w:val="center"/>
          </w:tcPr>
          <w:p w14:paraId="5A68E44F">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90</w:t>
            </w:r>
          </w:p>
        </w:tc>
        <w:tc>
          <w:tcPr>
            <w:tcW w:w="1578" w:type="dxa"/>
            <w:vMerge w:val="restart"/>
            <w:tcBorders>
              <w:top w:val="nil"/>
              <w:left w:val="nil"/>
              <w:right w:val="single" w:color="auto" w:sz="4" w:space="0"/>
            </w:tcBorders>
            <w:noWrap/>
            <w:vAlign w:val="center"/>
          </w:tcPr>
          <w:p w14:paraId="050B7E19">
            <w:pPr>
              <w:pStyle w:val="72"/>
              <w:rPr>
                <w:rFonts w:hint="default" w:eastAsia="仿宋"/>
                <w:lang w:val="en-US" w:eastAsia="zh-CN"/>
              </w:rPr>
            </w:pPr>
            <w:r>
              <w:rPr>
                <w:rFonts w:hint="eastAsia"/>
                <w:lang w:val="en-US" w:eastAsia="zh-CN"/>
              </w:rPr>
              <w:t>监测标准和频率改变</w:t>
            </w:r>
          </w:p>
        </w:tc>
      </w:tr>
      <w:tr w14:paraId="430759A2">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5607ECA1">
            <w:pPr>
              <w:pStyle w:val="72"/>
              <w:rPr>
                <w:rFonts w:hint="eastAsia" w:hAnsi="Times New Roman" w:eastAsia="仿宋"/>
                <w:kern w:val="0"/>
                <w:sz w:val="20"/>
                <w:szCs w:val="20"/>
                <w:lang w:eastAsia="zh-CN" w:bidi="ar"/>
              </w:rPr>
            </w:pPr>
            <w:r>
              <w:rPr>
                <w:rFonts w:hint="eastAsia" w:hAnsi="Times New Roman"/>
                <w:kern w:val="0"/>
                <w:sz w:val="20"/>
                <w:szCs w:val="20"/>
                <w:lang w:bidi="ar"/>
              </w:rPr>
              <w:t>1</w:t>
            </w:r>
            <w:r>
              <w:rPr>
                <w:rFonts w:hint="eastAsia" w:hAnsi="Times New Roman"/>
                <w:kern w:val="0"/>
                <w:sz w:val="20"/>
                <w:szCs w:val="20"/>
                <w:lang w:val="en-US" w:eastAsia="zh-CN" w:bidi="ar"/>
              </w:rPr>
              <w:t>3</w:t>
            </w:r>
          </w:p>
        </w:tc>
        <w:tc>
          <w:tcPr>
            <w:tcW w:w="2488" w:type="dxa"/>
            <w:tcBorders>
              <w:top w:val="nil"/>
              <w:left w:val="nil"/>
              <w:bottom w:val="single" w:color="auto" w:sz="4" w:space="0"/>
              <w:right w:val="single" w:color="auto" w:sz="4" w:space="0"/>
            </w:tcBorders>
            <w:vAlign w:val="center"/>
          </w:tcPr>
          <w:p w14:paraId="090DB0DC">
            <w:pPr>
              <w:pStyle w:val="72"/>
              <w:rPr>
                <w:rFonts w:hint="eastAsia" w:hAnsi="Times New Roman"/>
                <w:kern w:val="0"/>
                <w:sz w:val="20"/>
                <w:szCs w:val="20"/>
                <w:lang w:bidi="ar"/>
              </w:rPr>
            </w:pPr>
            <w:r>
              <w:rPr>
                <w:rFonts w:hAnsi="Times New Roman"/>
                <w:kern w:val="0"/>
                <w:sz w:val="20"/>
                <w:szCs w:val="20"/>
                <w:lang w:bidi="ar"/>
              </w:rPr>
              <w:t>地下水水位监测</w:t>
            </w:r>
          </w:p>
        </w:tc>
        <w:tc>
          <w:tcPr>
            <w:tcW w:w="794" w:type="dxa"/>
            <w:tcBorders>
              <w:top w:val="nil"/>
              <w:left w:val="nil"/>
              <w:bottom w:val="single" w:color="auto" w:sz="4" w:space="0"/>
              <w:right w:val="single" w:color="auto" w:sz="4" w:space="0"/>
            </w:tcBorders>
            <w:vAlign w:val="center"/>
          </w:tcPr>
          <w:p w14:paraId="6D46AFA0">
            <w:pPr>
              <w:pStyle w:val="72"/>
              <w:rPr>
                <w:rFonts w:hint="eastAsia"/>
              </w:rPr>
            </w:pPr>
            <w:r>
              <w:rPr>
                <w:rFonts w:hint="eastAsia"/>
              </w:rPr>
              <w:t>次</w:t>
            </w:r>
          </w:p>
        </w:tc>
        <w:tc>
          <w:tcPr>
            <w:tcW w:w="1165" w:type="dxa"/>
            <w:tcBorders>
              <w:top w:val="nil"/>
              <w:left w:val="nil"/>
              <w:bottom w:val="single" w:color="auto" w:sz="4" w:space="0"/>
              <w:right w:val="single" w:color="auto" w:sz="4" w:space="0"/>
            </w:tcBorders>
            <w:noWrap/>
            <w:vAlign w:val="center"/>
          </w:tcPr>
          <w:p w14:paraId="4BCC86CF">
            <w:pPr>
              <w:pStyle w:val="72"/>
              <w:rPr>
                <w:rFonts w:hint="default" w:ascii="Times New Roman" w:hAnsi="Times New Roman" w:eastAsia="仿宋" w:cs="Times New Roman"/>
                <w:lang w:eastAsia="zh-CN"/>
              </w:rPr>
            </w:pPr>
            <w:r>
              <w:rPr>
                <w:rFonts w:hint="default" w:ascii="Times New Roman" w:hAnsi="Times New Roman" w:cs="Times New Roman"/>
                <w:lang w:val="en-US" w:eastAsia="zh-CN"/>
              </w:rPr>
              <w:t>2</w:t>
            </w:r>
          </w:p>
        </w:tc>
        <w:tc>
          <w:tcPr>
            <w:tcW w:w="1271" w:type="dxa"/>
            <w:tcBorders>
              <w:top w:val="nil"/>
              <w:left w:val="nil"/>
              <w:bottom w:val="single" w:color="auto" w:sz="4" w:space="0"/>
              <w:right w:val="single" w:color="auto" w:sz="4" w:space="0"/>
            </w:tcBorders>
            <w:vAlign w:val="center"/>
          </w:tcPr>
          <w:p w14:paraId="005C8C71">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r>
              <w:rPr>
                <w:rFonts w:hint="default" w:ascii="Times New Roman" w:hAnsi="Times New Roman" w:cs="Times New Roman"/>
                <w:kern w:val="0"/>
                <w:sz w:val="20"/>
                <w:szCs w:val="20"/>
                <w:lang w:val="en-US" w:eastAsia="zh-CN" w:bidi="ar"/>
              </w:rPr>
              <w:t>96</w:t>
            </w:r>
          </w:p>
        </w:tc>
        <w:tc>
          <w:tcPr>
            <w:tcW w:w="1358" w:type="dxa"/>
            <w:tcBorders>
              <w:top w:val="nil"/>
              <w:left w:val="nil"/>
              <w:bottom w:val="single" w:color="auto" w:sz="4" w:space="0"/>
              <w:right w:val="single" w:color="auto" w:sz="4" w:space="0"/>
            </w:tcBorders>
            <w:vAlign w:val="center"/>
          </w:tcPr>
          <w:p w14:paraId="79848B56">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94</w:t>
            </w:r>
          </w:p>
        </w:tc>
        <w:tc>
          <w:tcPr>
            <w:tcW w:w="1578" w:type="dxa"/>
            <w:vMerge w:val="continue"/>
            <w:tcBorders>
              <w:left w:val="nil"/>
              <w:right w:val="single" w:color="auto" w:sz="4" w:space="0"/>
            </w:tcBorders>
            <w:noWrap/>
            <w:vAlign w:val="center"/>
          </w:tcPr>
          <w:p w14:paraId="6CE25C99">
            <w:pPr>
              <w:pStyle w:val="72"/>
              <w:rPr>
                <w:rFonts w:hint="eastAsia"/>
              </w:rPr>
            </w:pPr>
          </w:p>
        </w:tc>
      </w:tr>
      <w:tr w14:paraId="78438C87">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0C068607">
            <w:pPr>
              <w:pStyle w:val="72"/>
              <w:rPr>
                <w:rFonts w:hint="default" w:hAnsi="Times New Roman" w:eastAsia="仿宋"/>
                <w:kern w:val="0"/>
                <w:sz w:val="20"/>
                <w:szCs w:val="20"/>
                <w:lang w:val="en-US" w:eastAsia="zh-CN" w:bidi="ar"/>
              </w:rPr>
            </w:pPr>
            <w:r>
              <w:rPr>
                <w:rFonts w:hint="eastAsia" w:hAnsi="Times New Roman"/>
                <w:kern w:val="0"/>
                <w:sz w:val="20"/>
                <w:szCs w:val="20"/>
                <w:lang w:val="en-US" w:eastAsia="zh-CN" w:bidi="ar"/>
              </w:rPr>
              <w:t>14</w:t>
            </w:r>
          </w:p>
        </w:tc>
        <w:tc>
          <w:tcPr>
            <w:tcW w:w="2488" w:type="dxa"/>
            <w:tcBorders>
              <w:top w:val="nil"/>
              <w:left w:val="nil"/>
              <w:bottom w:val="single" w:color="auto" w:sz="4" w:space="0"/>
              <w:right w:val="single" w:color="auto" w:sz="4" w:space="0"/>
            </w:tcBorders>
            <w:vAlign w:val="center"/>
          </w:tcPr>
          <w:p w14:paraId="71507CC7">
            <w:pPr>
              <w:pStyle w:val="72"/>
              <w:rPr>
                <w:rFonts w:hint="eastAsia" w:hAnsi="Times New Roman"/>
                <w:kern w:val="0"/>
                <w:sz w:val="20"/>
                <w:szCs w:val="20"/>
                <w:lang w:bidi="ar"/>
              </w:rPr>
            </w:pPr>
            <w:r>
              <w:rPr>
                <w:rFonts w:hAnsi="Times New Roman"/>
                <w:kern w:val="0"/>
                <w:sz w:val="20"/>
                <w:szCs w:val="20"/>
                <w:lang w:bidi="ar"/>
              </w:rPr>
              <w:t>地下水水质监测</w:t>
            </w:r>
          </w:p>
        </w:tc>
        <w:tc>
          <w:tcPr>
            <w:tcW w:w="794" w:type="dxa"/>
            <w:tcBorders>
              <w:top w:val="nil"/>
              <w:left w:val="nil"/>
              <w:bottom w:val="single" w:color="auto" w:sz="4" w:space="0"/>
              <w:right w:val="single" w:color="auto" w:sz="4" w:space="0"/>
            </w:tcBorders>
            <w:vAlign w:val="center"/>
          </w:tcPr>
          <w:p w14:paraId="37CFCE03">
            <w:pPr>
              <w:pStyle w:val="72"/>
              <w:rPr>
                <w:rFonts w:hint="eastAsia"/>
              </w:rPr>
            </w:pPr>
            <w:r>
              <w:rPr>
                <w:rFonts w:hint="eastAsia"/>
              </w:rPr>
              <w:t>次</w:t>
            </w:r>
          </w:p>
        </w:tc>
        <w:tc>
          <w:tcPr>
            <w:tcW w:w="1165" w:type="dxa"/>
            <w:tcBorders>
              <w:top w:val="nil"/>
              <w:left w:val="nil"/>
              <w:bottom w:val="single" w:color="auto" w:sz="4" w:space="0"/>
              <w:right w:val="single" w:color="auto" w:sz="4" w:space="0"/>
            </w:tcBorders>
            <w:noWrap/>
            <w:vAlign w:val="center"/>
          </w:tcPr>
          <w:p w14:paraId="3A1F1C56">
            <w:pPr>
              <w:pStyle w:val="72"/>
              <w:rPr>
                <w:rFonts w:hint="default" w:ascii="Times New Roman" w:hAnsi="Times New Roman" w:eastAsia="仿宋" w:cs="Times New Roman"/>
                <w:lang w:eastAsia="zh-CN"/>
              </w:rPr>
            </w:pPr>
            <w:r>
              <w:rPr>
                <w:rFonts w:hint="default" w:ascii="Times New Roman" w:hAnsi="Times New Roman" w:cs="Times New Roman"/>
                <w:lang w:val="en-US" w:eastAsia="zh-CN"/>
              </w:rPr>
              <w:t>2</w:t>
            </w:r>
          </w:p>
        </w:tc>
        <w:tc>
          <w:tcPr>
            <w:tcW w:w="1271" w:type="dxa"/>
            <w:tcBorders>
              <w:top w:val="nil"/>
              <w:left w:val="nil"/>
              <w:bottom w:val="single" w:color="auto" w:sz="4" w:space="0"/>
              <w:right w:val="single" w:color="auto" w:sz="4" w:space="0"/>
            </w:tcBorders>
            <w:vAlign w:val="center"/>
          </w:tcPr>
          <w:p w14:paraId="568EE183">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r>
              <w:rPr>
                <w:rFonts w:hint="default" w:ascii="Times New Roman" w:hAnsi="Times New Roman" w:cs="Times New Roman"/>
                <w:kern w:val="0"/>
                <w:sz w:val="20"/>
                <w:szCs w:val="20"/>
                <w:lang w:val="en-US" w:eastAsia="zh-CN" w:bidi="ar"/>
              </w:rPr>
              <w:t>16</w:t>
            </w:r>
          </w:p>
        </w:tc>
        <w:tc>
          <w:tcPr>
            <w:tcW w:w="1358" w:type="dxa"/>
            <w:tcBorders>
              <w:top w:val="nil"/>
              <w:left w:val="nil"/>
              <w:bottom w:val="single" w:color="auto" w:sz="4" w:space="0"/>
              <w:right w:val="single" w:color="auto" w:sz="4" w:space="0"/>
            </w:tcBorders>
            <w:vAlign w:val="center"/>
          </w:tcPr>
          <w:p w14:paraId="426E495D">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14</w:t>
            </w:r>
          </w:p>
        </w:tc>
        <w:tc>
          <w:tcPr>
            <w:tcW w:w="1578" w:type="dxa"/>
            <w:vMerge w:val="continue"/>
            <w:tcBorders>
              <w:left w:val="nil"/>
              <w:right w:val="single" w:color="auto" w:sz="4" w:space="0"/>
            </w:tcBorders>
            <w:noWrap/>
            <w:vAlign w:val="center"/>
          </w:tcPr>
          <w:p w14:paraId="1C014868">
            <w:pPr>
              <w:pStyle w:val="72"/>
              <w:rPr>
                <w:rFonts w:hint="eastAsia"/>
              </w:rPr>
            </w:pPr>
          </w:p>
        </w:tc>
      </w:tr>
      <w:tr w14:paraId="1BD32A3C">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2D08210D">
            <w:pPr>
              <w:pStyle w:val="72"/>
              <w:rPr>
                <w:rFonts w:hint="eastAsia" w:hAnsi="Times New Roman"/>
                <w:kern w:val="0"/>
                <w:sz w:val="20"/>
                <w:szCs w:val="20"/>
                <w:lang w:bidi="ar"/>
              </w:rPr>
            </w:pPr>
          </w:p>
        </w:tc>
        <w:tc>
          <w:tcPr>
            <w:tcW w:w="2488" w:type="dxa"/>
            <w:tcBorders>
              <w:top w:val="nil"/>
              <w:left w:val="nil"/>
              <w:bottom w:val="single" w:color="auto" w:sz="4" w:space="0"/>
              <w:right w:val="single" w:color="auto" w:sz="4" w:space="0"/>
            </w:tcBorders>
            <w:vAlign w:val="center"/>
          </w:tcPr>
          <w:p w14:paraId="37B6DC54">
            <w:pPr>
              <w:pStyle w:val="72"/>
              <w:rPr>
                <w:rFonts w:hint="default" w:hAnsi="Times New Roman"/>
                <w:kern w:val="0"/>
                <w:sz w:val="20"/>
                <w:szCs w:val="20"/>
                <w:lang w:val="en-US" w:eastAsia="zh-CN" w:bidi="ar"/>
              </w:rPr>
            </w:pPr>
            <w:r>
              <w:rPr>
                <w:rFonts w:hint="eastAsia" w:hAnsi="Times New Roman"/>
                <w:kern w:val="0"/>
                <w:sz w:val="20"/>
                <w:szCs w:val="20"/>
                <w:lang w:val="en-US" w:eastAsia="zh-CN" w:bidi="ar"/>
              </w:rPr>
              <w:t>复垦监测</w:t>
            </w:r>
          </w:p>
        </w:tc>
        <w:tc>
          <w:tcPr>
            <w:tcW w:w="794" w:type="dxa"/>
            <w:tcBorders>
              <w:top w:val="nil"/>
              <w:left w:val="nil"/>
              <w:bottom w:val="single" w:color="auto" w:sz="4" w:space="0"/>
              <w:right w:val="single" w:color="auto" w:sz="4" w:space="0"/>
            </w:tcBorders>
            <w:vAlign w:val="center"/>
          </w:tcPr>
          <w:p w14:paraId="7FE36D20">
            <w:pPr>
              <w:pStyle w:val="72"/>
              <w:rPr>
                <w:rFonts w:hint="eastAsia"/>
              </w:rPr>
            </w:pPr>
            <w:r>
              <w:rPr>
                <w:rFonts w:hint="eastAsia"/>
              </w:rPr>
              <w:t>次</w:t>
            </w:r>
          </w:p>
        </w:tc>
        <w:tc>
          <w:tcPr>
            <w:tcW w:w="1165" w:type="dxa"/>
            <w:tcBorders>
              <w:top w:val="nil"/>
              <w:left w:val="nil"/>
              <w:bottom w:val="single" w:color="auto" w:sz="4" w:space="0"/>
              <w:right w:val="single" w:color="auto" w:sz="4" w:space="0"/>
            </w:tcBorders>
            <w:noWrap/>
            <w:vAlign w:val="center"/>
          </w:tcPr>
          <w:p w14:paraId="7662162D">
            <w:pPr>
              <w:pStyle w:val="72"/>
              <w:rPr>
                <w:rFonts w:hint="default" w:ascii="Times New Roman" w:hAnsi="Times New Roman" w:cs="Times New Roman"/>
                <w:lang w:val="en-US" w:eastAsia="zh-CN"/>
              </w:rPr>
            </w:pPr>
            <w:r>
              <w:rPr>
                <w:rFonts w:hint="default" w:ascii="Times New Roman" w:hAnsi="Times New Roman" w:cs="Times New Roman"/>
                <w:lang w:val="en-US" w:eastAsia="zh-CN"/>
              </w:rPr>
              <w:t>16</w:t>
            </w:r>
          </w:p>
        </w:tc>
        <w:tc>
          <w:tcPr>
            <w:tcW w:w="1271" w:type="dxa"/>
            <w:tcBorders>
              <w:top w:val="nil"/>
              <w:left w:val="nil"/>
              <w:bottom w:val="single" w:color="auto" w:sz="4" w:space="0"/>
              <w:right w:val="single" w:color="auto" w:sz="4" w:space="0"/>
            </w:tcBorders>
            <w:vAlign w:val="center"/>
          </w:tcPr>
          <w:p w14:paraId="170627DF">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r>
              <w:rPr>
                <w:rFonts w:hint="eastAsia" w:ascii="Times New Roman" w:hAnsi="Times New Roman" w:cs="Times New Roman"/>
                <w:kern w:val="0"/>
                <w:sz w:val="20"/>
                <w:szCs w:val="20"/>
                <w:lang w:val="en-US" w:eastAsia="zh-CN" w:bidi="ar"/>
              </w:rPr>
              <w:t>180</w:t>
            </w:r>
          </w:p>
        </w:tc>
        <w:tc>
          <w:tcPr>
            <w:tcW w:w="1358" w:type="dxa"/>
            <w:tcBorders>
              <w:top w:val="nil"/>
              <w:left w:val="nil"/>
              <w:bottom w:val="single" w:color="auto" w:sz="4" w:space="0"/>
              <w:right w:val="single" w:color="auto" w:sz="4" w:space="0"/>
            </w:tcBorders>
            <w:vAlign w:val="center"/>
          </w:tcPr>
          <w:p w14:paraId="4D49E018">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164</w:t>
            </w:r>
          </w:p>
        </w:tc>
        <w:tc>
          <w:tcPr>
            <w:tcW w:w="1578" w:type="dxa"/>
            <w:vMerge w:val="continue"/>
            <w:tcBorders>
              <w:left w:val="nil"/>
              <w:right w:val="single" w:color="auto" w:sz="4" w:space="0"/>
            </w:tcBorders>
            <w:noWrap/>
            <w:vAlign w:val="center"/>
          </w:tcPr>
          <w:p w14:paraId="1CB14242">
            <w:pPr>
              <w:pStyle w:val="72"/>
              <w:rPr>
                <w:rFonts w:hint="eastAsia"/>
              </w:rPr>
            </w:pPr>
          </w:p>
        </w:tc>
      </w:tr>
      <w:tr w14:paraId="0E7A770F">
        <w:tblPrEx>
          <w:tblCellMar>
            <w:top w:w="0" w:type="dxa"/>
            <w:left w:w="108" w:type="dxa"/>
            <w:bottom w:w="0" w:type="dxa"/>
            <w:right w:w="108" w:type="dxa"/>
          </w:tblCellMar>
        </w:tblPrEx>
        <w:trPr>
          <w:trHeight w:val="288" w:hRule="atLeast"/>
        </w:trPr>
        <w:tc>
          <w:tcPr>
            <w:tcW w:w="916" w:type="dxa"/>
            <w:tcBorders>
              <w:top w:val="nil"/>
              <w:left w:val="single" w:color="auto" w:sz="4" w:space="0"/>
              <w:bottom w:val="single" w:color="auto" w:sz="4" w:space="0"/>
              <w:right w:val="single" w:color="auto" w:sz="4" w:space="0"/>
            </w:tcBorders>
            <w:vAlign w:val="center"/>
          </w:tcPr>
          <w:p w14:paraId="5758EAD4">
            <w:pPr>
              <w:pStyle w:val="72"/>
              <w:rPr>
                <w:rFonts w:hint="default" w:hAnsi="Times New Roman" w:eastAsia="仿宋"/>
                <w:kern w:val="0"/>
                <w:sz w:val="20"/>
                <w:szCs w:val="20"/>
                <w:lang w:val="en-US" w:eastAsia="zh-CN" w:bidi="ar"/>
              </w:rPr>
            </w:pPr>
            <w:r>
              <w:rPr>
                <w:rFonts w:hint="eastAsia" w:hAnsi="Times New Roman"/>
                <w:kern w:val="0"/>
                <w:sz w:val="20"/>
                <w:szCs w:val="20"/>
                <w:lang w:val="en-US" w:eastAsia="zh-CN" w:bidi="ar"/>
              </w:rPr>
              <w:t>15</w:t>
            </w:r>
          </w:p>
        </w:tc>
        <w:tc>
          <w:tcPr>
            <w:tcW w:w="2488" w:type="dxa"/>
            <w:tcBorders>
              <w:top w:val="nil"/>
              <w:left w:val="nil"/>
              <w:bottom w:val="single" w:color="auto" w:sz="4" w:space="0"/>
              <w:right w:val="single" w:color="auto" w:sz="4" w:space="0"/>
            </w:tcBorders>
            <w:vAlign w:val="center"/>
          </w:tcPr>
          <w:p w14:paraId="0935A56E">
            <w:pPr>
              <w:pStyle w:val="72"/>
              <w:rPr>
                <w:rFonts w:hint="eastAsia" w:hAnsi="Times New Roman"/>
                <w:kern w:val="0"/>
                <w:sz w:val="20"/>
                <w:szCs w:val="20"/>
                <w:lang w:bidi="ar"/>
              </w:rPr>
            </w:pPr>
            <w:r>
              <w:rPr>
                <w:rFonts w:hint="eastAsia" w:hAnsi="Times New Roman"/>
                <w:kern w:val="0"/>
                <w:sz w:val="20"/>
                <w:szCs w:val="20"/>
                <w:lang w:bidi="ar"/>
              </w:rPr>
              <w:t>林地管护</w:t>
            </w:r>
          </w:p>
        </w:tc>
        <w:tc>
          <w:tcPr>
            <w:tcW w:w="794" w:type="dxa"/>
            <w:tcBorders>
              <w:top w:val="nil"/>
              <w:left w:val="nil"/>
              <w:bottom w:val="single" w:color="auto" w:sz="4" w:space="0"/>
              <w:right w:val="single" w:color="auto" w:sz="4" w:space="0"/>
            </w:tcBorders>
            <w:vAlign w:val="center"/>
          </w:tcPr>
          <w:p w14:paraId="6A181B57">
            <w:pPr>
              <w:pStyle w:val="72"/>
              <w:rPr>
                <w:rFonts w:hint="eastAsia"/>
              </w:rPr>
            </w:pPr>
            <w:r>
              <w:rPr>
                <w:rFonts w:hAnsi="Times New Roman"/>
                <w:sz w:val="21"/>
                <w:szCs w:val="21"/>
              </w:rPr>
              <w:t>hm</w:t>
            </w:r>
            <w:r>
              <w:rPr>
                <w:rFonts w:hAnsi="Times New Roman"/>
                <w:sz w:val="21"/>
                <w:szCs w:val="21"/>
                <w:vertAlign w:val="superscript"/>
              </w:rPr>
              <w:t>2</w:t>
            </w:r>
          </w:p>
        </w:tc>
        <w:tc>
          <w:tcPr>
            <w:tcW w:w="1165" w:type="dxa"/>
            <w:tcBorders>
              <w:top w:val="nil"/>
              <w:left w:val="nil"/>
              <w:bottom w:val="single" w:color="auto" w:sz="4" w:space="0"/>
              <w:right w:val="single" w:color="auto" w:sz="4" w:space="0"/>
            </w:tcBorders>
            <w:noWrap/>
            <w:vAlign w:val="center"/>
          </w:tcPr>
          <w:p w14:paraId="39DDC327">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0.47</w:t>
            </w:r>
          </w:p>
        </w:tc>
        <w:tc>
          <w:tcPr>
            <w:tcW w:w="1271" w:type="dxa"/>
            <w:tcBorders>
              <w:top w:val="nil"/>
              <w:left w:val="nil"/>
              <w:bottom w:val="single" w:color="auto" w:sz="4" w:space="0"/>
              <w:right w:val="single" w:color="auto" w:sz="4" w:space="0"/>
            </w:tcBorders>
            <w:vAlign w:val="center"/>
          </w:tcPr>
          <w:p w14:paraId="0B949440">
            <w:pPr>
              <w:widowControl/>
              <w:spacing w:line="300" w:lineRule="exact"/>
              <w:ind w:firstLine="0" w:firstLineChars="0"/>
              <w:jc w:val="center"/>
              <w:textAlignment w:val="center"/>
              <w:rPr>
                <w:rFonts w:hint="default" w:ascii="Times New Roman" w:hAnsi="Times New Roman" w:eastAsia="宋体" w:cs="Times New Roman"/>
                <w:kern w:val="0"/>
                <w:sz w:val="20"/>
                <w:szCs w:val="20"/>
                <w:lang w:val="en-US" w:eastAsia="zh-CN" w:bidi="ar"/>
              </w:rPr>
            </w:pPr>
            <w:r>
              <w:rPr>
                <w:rFonts w:hint="default" w:ascii="Times New Roman" w:hAnsi="Times New Roman" w:cs="Times New Roman"/>
                <w:kern w:val="0"/>
                <w:sz w:val="20"/>
                <w:szCs w:val="20"/>
                <w:lang w:val="en-US" w:eastAsia="zh-CN" w:bidi="ar"/>
              </w:rPr>
              <w:t>1.5288</w:t>
            </w:r>
          </w:p>
        </w:tc>
        <w:tc>
          <w:tcPr>
            <w:tcW w:w="1358" w:type="dxa"/>
            <w:tcBorders>
              <w:top w:val="nil"/>
              <w:left w:val="nil"/>
              <w:bottom w:val="single" w:color="auto" w:sz="4" w:space="0"/>
              <w:right w:val="single" w:color="auto" w:sz="4" w:space="0"/>
            </w:tcBorders>
            <w:vAlign w:val="center"/>
          </w:tcPr>
          <w:p w14:paraId="5E080FFF">
            <w:pPr>
              <w:widowControl/>
              <w:spacing w:line="300" w:lineRule="exact"/>
              <w:ind w:firstLine="0" w:firstLineChars="0"/>
              <w:jc w:val="center"/>
              <w:textAlignment w:val="center"/>
              <w:rPr>
                <w:rFonts w:hint="default" w:ascii="Times New Roman" w:hAnsi="Times New Roman" w:cs="Times New Roman"/>
                <w:kern w:val="0"/>
                <w:sz w:val="20"/>
                <w:szCs w:val="20"/>
                <w:lang w:val="en-US" w:eastAsia="zh-CN" w:bidi="ar"/>
              </w:rPr>
            </w:pPr>
            <w:r>
              <w:rPr>
                <w:rFonts w:hint="default" w:ascii="Times New Roman" w:hAnsi="Times New Roman" w:cs="Times New Roman"/>
                <w:kern w:val="0"/>
                <w:sz w:val="20"/>
                <w:szCs w:val="20"/>
                <w:lang w:val="en-US" w:eastAsia="zh-CN" w:bidi="ar"/>
              </w:rPr>
              <w:t>1.0588</w:t>
            </w:r>
          </w:p>
        </w:tc>
        <w:tc>
          <w:tcPr>
            <w:tcW w:w="1578" w:type="dxa"/>
            <w:tcBorders>
              <w:top w:val="nil"/>
              <w:left w:val="nil"/>
              <w:bottom w:val="single" w:color="auto" w:sz="4" w:space="0"/>
              <w:right w:val="single" w:color="auto" w:sz="4" w:space="0"/>
            </w:tcBorders>
            <w:noWrap/>
            <w:vAlign w:val="center"/>
          </w:tcPr>
          <w:p w14:paraId="765AA50A">
            <w:pPr>
              <w:pStyle w:val="72"/>
              <w:rPr>
                <w:rFonts w:hint="eastAsia"/>
              </w:rPr>
            </w:pPr>
          </w:p>
        </w:tc>
      </w:tr>
    </w:tbl>
    <w:p w14:paraId="6536CFCA">
      <w:pPr>
        <w:pStyle w:val="57"/>
        <w:rPr>
          <w:rFonts w:hint="eastAsia"/>
          <w:highlight w:val="red"/>
        </w:rPr>
      </w:pPr>
    </w:p>
    <w:p w14:paraId="3CBCD5DF">
      <w:pPr>
        <w:ind w:firstLine="560"/>
        <w:jc w:val="both"/>
        <w:rPr>
          <w:szCs w:val="28"/>
          <w:highlight w:val="none"/>
        </w:rPr>
      </w:pPr>
      <w:r>
        <w:rPr>
          <w:rFonts w:hint="eastAsia"/>
          <w:szCs w:val="28"/>
          <w:highlight w:val="none"/>
        </w:rPr>
        <w:t>原方案总工程经费预算为</w:t>
      </w:r>
      <w:r>
        <w:rPr>
          <w:rFonts w:hint="eastAsia"/>
          <w:szCs w:val="28"/>
          <w:highlight w:val="none"/>
          <w:lang w:val="en-US" w:eastAsia="zh-CN"/>
        </w:rPr>
        <w:t>9.4</w:t>
      </w:r>
      <w:r>
        <w:rPr>
          <w:rFonts w:hint="eastAsia"/>
          <w:szCs w:val="28"/>
          <w:highlight w:val="none"/>
        </w:rPr>
        <w:t>万元；本次估算生态修复工程动态总投资</w:t>
      </w:r>
      <w:r>
        <w:rPr>
          <w:rFonts w:hint="eastAsia"/>
          <w:highlight w:val="none"/>
          <w:lang w:eastAsia="zh-CN"/>
        </w:rPr>
        <w:t>161.04</w:t>
      </w:r>
      <w:r>
        <w:rPr>
          <w:szCs w:val="28"/>
          <w:highlight w:val="none"/>
        </w:rPr>
        <w:t>万元，</w:t>
      </w:r>
      <w:r>
        <w:rPr>
          <w:rFonts w:hint="eastAsia"/>
          <w:szCs w:val="28"/>
          <w:highlight w:val="none"/>
          <w:lang w:val="en-US" w:eastAsia="zh-CN"/>
        </w:rPr>
        <w:t>增加</w:t>
      </w:r>
      <w:r>
        <w:rPr>
          <w:rFonts w:hint="eastAsia"/>
          <w:szCs w:val="28"/>
          <w:highlight w:val="none"/>
        </w:rPr>
        <w:t>了</w:t>
      </w:r>
      <w:r>
        <w:rPr>
          <w:rFonts w:hint="eastAsia"/>
          <w:szCs w:val="28"/>
          <w:highlight w:val="none"/>
          <w:lang w:eastAsia="zh-CN"/>
        </w:rPr>
        <w:t>151.64</w:t>
      </w:r>
      <w:r>
        <w:rPr>
          <w:rFonts w:hint="eastAsia"/>
          <w:szCs w:val="28"/>
          <w:highlight w:val="none"/>
        </w:rPr>
        <w:t>万元。投资变化的原因在于</w:t>
      </w:r>
      <w:r>
        <w:rPr>
          <w:szCs w:val="28"/>
          <w:highlight w:val="none"/>
        </w:rPr>
        <w:t>本方案和原方案在面积、工程量、费用等方面均有调整。主要原因如下；</w:t>
      </w:r>
    </w:p>
    <w:p w14:paraId="33659764">
      <w:pPr>
        <w:ind w:firstLine="560"/>
        <w:jc w:val="both"/>
        <w:rPr>
          <w:szCs w:val="28"/>
        </w:rPr>
      </w:pPr>
      <w:r>
        <w:rPr>
          <w:szCs w:val="28"/>
        </w:rPr>
        <w:t>（1）基于无人机航拍，新变更的三调图及现场调查，现状总面积有所变化，</w:t>
      </w:r>
      <w:r>
        <w:rPr>
          <w:rFonts w:hint="eastAsia"/>
          <w:szCs w:val="28"/>
        </w:rPr>
        <w:t>本次</w:t>
      </w:r>
      <w:r>
        <w:rPr>
          <w:szCs w:val="28"/>
        </w:rPr>
        <w:t>方案的生态修复总面积为</w:t>
      </w:r>
      <w:r>
        <w:rPr>
          <w:rFonts w:hint="eastAsia"/>
          <w:lang w:eastAsia="zh-CN"/>
        </w:rPr>
        <w:t>1.5288</w:t>
      </w:r>
      <w:r>
        <w:rPr>
          <w:szCs w:val="28"/>
        </w:rPr>
        <w:t>h</w:t>
      </w:r>
      <w:r>
        <w:rPr>
          <w:rFonts w:hint="eastAsia"/>
          <w:szCs w:val="28"/>
        </w:rPr>
        <w:t>m²</w:t>
      </w:r>
      <w:r>
        <w:rPr>
          <w:szCs w:val="28"/>
        </w:rPr>
        <w:t>，原方案总复垦面积为</w:t>
      </w:r>
      <w:r>
        <w:rPr>
          <w:rFonts w:hint="eastAsia"/>
          <w:lang w:val="en-US" w:eastAsia="zh-CN"/>
        </w:rPr>
        <w:t>0.3608</w:t>
      </w:r>
      <w:r>
        <w:rPr>
          <w:szCs w:val="28"/>
        </w:rPr>
        <w:t>h</w:t>
      </w:r>
      <w:r>
        <w:rPr>
          <w:rFonts w:hint="eastAsia"/>
          <w:szCs w:val="28"/>
        </w:rPr>
        <w:t>m²，</w:t>
      </w:r>
      <w:r>
        <w:rPr>
          <w:rFonts w:hint="eastAsia"/>
          <w:szCs w:val="28"/>
          <w:lang w:val="en-US" w:eastAsia="zh-CN"/>
        </w:rPr>
        <w:t>增加1.168</w:t>
      </w:r>
      <w:r>
        <w:rPr>
          <w:szCs w:val="28"/>
        </w:rPr>
        <w:t>h</w:t>
      </w:r>
      <w:r>
        <w:rPr>
          <w:rFonts w:hint="eastAsia"/>
          <w:szCs w:val="28"/>
        </w:rPr>
        <w:t>m²</w:t>
      </w:r>
      <w:r>
        <w:rPr>
          <w:rFonts w:hint="eastAsia"/>
          <w:szCs w:val="28"/>
          <w:lang w:eastAsia="zh-CN"/>
        </w:rPr>
        <w:t>（</w:t>
      </w:r>
      <w:r>
        <w:rPr>
          <w:rFonts w:hint="eastAsia"/>
          <w:szCs w:val="28"/>
          <w:lang w:val="en-US" w:eastAsia="zh-CN"/>
        </w:rPr>
        <w:t>含后续建筑物面积</w:t>
      </w:r>
      <w:r>
        <w:rPr>
          <w:rFonts w:hint="eastAsia"/>
          <w:szCs w:val="28"/>
          <w:lang w:eastAsia="zh-CN"/>
        </w:rPr>
        <w:t>）</w:t>
      </w:r>
      <w:r>
        <w:rPr>
          <w:rFonts w:hint="eastAsia"/>
          <w:szCs w:val="28"/>
        </w:rPr>
        <w:t>。</w:t>
      </w:r>
    </w:p>
    <w:p w14:paraId="5B6DA6D3">
      <w:pPr>
        <w:ind w:firstLine="560"/>
        <w:jc w:val="both"/>
        <w:rPr>
          <w:szCs w:val="28"/>
        </w:rPr>
      </w:pPr>
      <w:r>
        <w:rPr>
          <w:szCs w:val="28"/>
        </w:rPr>
        <w:t>（2）</w:t>
      </w:r>
      <w:r>
        <w:rPr>
          <w:rFonts w:hint="eastAsia"/>
          <w:szCs w:val="28"/>
        </w:rPr>
        <w:t>对于原《方案》对</w:t>
      </w:r>
      <w:r>
        <w:rPr>
          <w:rFonts w:hint="eastAsia"/>
          <w:szCs w:val="28"/>
          <w:lang w:eastAsia="zh-CN"/>
        </w:rPr>
        <w:t>地裂缝</w:t>
      </w:r>
      <w:r>
        <w:rPr>
          <w:rFonts w:hint="eastAsia"/>
          <w:szCs w:val="28"/>
        </w:rPr>
        <w:t>房屋及工业设施设计的异地搬迁措施调整为维修加固，并补充</w:t>
      </w:r>
      <w:r>
        <w:rPr>
          <w:rFonts w:hint="eastAsia"/>
          <w:szCs w:val="28"/>
          <w:lang w:eastAsia="zh-CN"/>
        </w:rPr>
        <w:t>地裂缝</w:t>
      </w:r>
      <w:r>
        <w:rPr>
          <w:rFonts w:hint="eastAsia"/>
          <w:szCs w:val="28"/>
        </w:rPr>
        <w:t>内林地治理措施</w:t>
      </w:r>
      <w:r>
        <w:rPr>
          <w:szCs w:val="28"/>
        </w:rPr>
        <w:t>。</w:t>
      </w:r>
    </w:p>
    <w:p w14:paraId="18A5E225">
      <w:pPr>
        <w:ind w:firstLine="560"/>
        <w:jc w:val="both"/>
        <w:rPr>
          <w:szCs w:val="28"/>
        </w:rPr>
      </w:pPr>
      <w:r>
        <w:rPr>
          <w:szCs w:val="28"/>
        </w:rPr>
        <w:t>（3）选用树种和草种根据实际情况、恢复效果调整，</w:t>
      </w:r>
      <w:r>
        <w:rPr>
          <w:rFonts w:hint="eastAsia"/>
          <w:szCs w:val="28"/>
        </w:rPr>
        <w:t>复垦植被由落叶松、刺五加调整为</w:t>
      </w:r>
      <w:r>
        <w:rPr>
          <w:rFonts w:hint="eastAsia"/>
          <w:szCs w:val="28"/>
          <w:lang w:eastAsia="zh-CN"/>
        </w:rPr>
        <w:t>落叶松</w:t>
      </w:r>
      <w:r>
        <w:rPr>
          <w:rFonts w:hint="eastAsia"/>
          <w:szCs w:val="28"/>
        </w:rPr>
        <w:t>、</w:t>
      </w:r>
      <w:r>
        <w:rPr>
          <w:rFonts w:hint="eastAsia"/>
          <w:szCs w:val="28"/>
          <w:lang w:val="en-US" w:eastAsia="zh-CN"/>
        </w:rPr>
        <w:t>紫花苜蓿</w:t>
      </w:r>
      <w:r>
        <w:rPr>
          <w:szCs w:val="28"/>
        </w:rPr>
        <w:t>。</w:t>
      </w:r>
    </w:p>
    <w:p w14:paraId="15090D76">
      <w:pPr>
        <w:ind w:firstLine="560"/>
        <w:jc w:val="both"/>
      </w:pPr>
      <w:r>
        <w:rPr>
          <w:szCs w:val="28"/>
        </w:rPr>
        <w:t>（</w:t>
      </w:r>
      <w:r>
        <w:rPr>
          <w:rFonts w:hint="eastAsia"/>
          <w:szCs w:val="28"/>
        </w:rPr>
        <w:t>4</w:t>
      </w:r>
      <w:r>
        <w:rPr>
          <w:szCs w:val="28"/>
        </w:rPr>
        <w:t>）预算是根据即时的材料市场价，反映到总费用，会产生较大变化。</w:t>
      </w:r>
    </w:p>
    <w:p w14:paraId="175626E2">
      <w:pPr>
        <w:pStyle w:val="4"/>
        <w:ind w:firstLine="602"/>
        <w:rPr>
          <w:rFonts w:ascii="Times New Roman" w:hAnsi="Times New Roman"/>
        </w:rPr>
      </w:pPr>
      <w:bookmarkStart w:id="22" w:name="_Toc219050268"/>
      <w:bookmarkStart w:id="23" w:name="_Toc215692430"/>
      <w:bookmarkStart w:id="24" w:name="_Toc211790726"/>
      <w:r>
        <w:rPr>
          <w:rFonts w:ascii="Times New Roman" w:hAnsi="Times New Roman"/>
        </w:rPr>
        <w:t>二、服务年限</w:t>
      </w:r>
      <w:bookmarkEnd w:id="22"/>
      <w:bookmarkEnd w:id="23"/>
      <w:bookmarkEnd w:id="24"/>
    </w:p>
    <w:p w14:paraId="29C0911C">
      <w:pPr>
        <w:ind w:firstLine="560"/>
        <w:rPr>
          <w:szCs w:val="28"/>
        </w:rPr>
      </w:pPr>
      <w:bookmarkStart w:id="25" w:name="_Hlk142039121"/>
      <w:r>
        <w:rPr>
          <w:rFonts w:hint="eastAsia"/>
          <w:lang w:eastAsia="zh-CN"/>
        </w:rPr>
        <w:t>二道滑石矿</w:t>
      </w:r>
      <w:r>
        <w:rPr>
          <w:rFonts w:hint="eastAsia"/>
          <w:lang w:val="en-US" w:eastAsia="zh-CN"/>
        </w:rPr>
        <w:t>从2005年</w:t>
      </w:r>
      <w:r>
        <w:rPr>
          <w:rFonts w:hint="eastAsia"/>
        </w:rPr>
        <w:t>一直处于停产状态，依据202</w:t>
      </w:r>
      <w:r>
        <w:rPr>
          <w:rFonts w:hint="eastAsia"/>
          <w:lang w:val="en-US" w:eastAsia="zh-CN"/>
        </w:rPr>
        <w:t>5</w:t>
      </w:r>
      <w:r>
        <w:rPr>
          <w:rFonts w:hint="eastAsia"/>
        </w:rPr>
        <w:t>年1</w:t>
      </w:r>
      <w:r>
        <w:rPr>
          <w:rFonts w:hint="eastAsia"/>
          <w:lang w:val="en-US" w:eastAsia="zh-CN"/>
        </w:rPr>
        <w:t>1</w:t>
      </w:r>
      <w:r>
        <w:rPr>
          <w:rFonts w:hint="eastAsia"/>
        </w:rPr>
        <w:t>月提交并经省厅批复的《</w:t>
      </w:r>
      <w:r>
        <w:rPr>
          <w:rFonts w:hint="eastAsia"/>
          <w:lang w:eastAsia="zh-CN"/>
        </w:rPr>
        <w:t>集安市清河镇二道滑石矿</w:t>
      </w:r>
      <w:r>
        <w:rPr>
          <w:rFonts w:hint="eastAsia"/>
        </w:rPr>
        <w:t>矿产资源开发利用方案》</w:t>
      </w:r>
      <w:r>
        <w:rPr>
          <w:rFonts w:hint="eastAsia"/>
          <w:lang w:val="en-US" w:eastAsia="zh-CN"/>
        </w:rPr>
        <w:t>提升</w:t>
      </w:r>
      <w:r>
        <w:rPr>
          <w:rFonts w:hint="eastAsia"/>
        </w:rPr>
        <w:t>至</w:t>
      </w:r>
      <w:r>
        <w:rPr>
          <w:rFonts w:hint="eastAsia"/>
          <w:lang w:eastAsia="zh-CN"/>
        </w:rPr>
        <w:t>5万</w:t>
      </w:r>
      <w:r>
        <w:rPr>
          <w:rFonts w:hint="eastAsia"/>
        </w:rPr>
        <w:t>吨生产规模后，</w:t>
      </w:r>
      <w:r>
        <w:rPr>
          <w:rFonts w:hint="eastAsia"/>
          <w:lang w:eastAsia="zh-CN"/>
        </w:rPr>
        <w:t>矿山</w:t>
      </w:r>
      <w:r>
        <w:rPr>
          <w:rFonts w:hint="eastAsia"/>
        </w:rPr>
        <w:t>的生产服务年限为</w:t>
      </w:r>
      <w:r>
        <w:rPr>
          <w:rFonts w:hint="eastAsia"/>
          <w:lang w:eastAsia="zh-CN"/>
        </w:rPr>
        <w:t>8年</w:t>
      </w:r>
      <w:r>
        <w:rPr>
          <w:rFonts w:hint="eastAsia"/>
        </w:rPr>
        <w:t>，该采矿权的有效期限自</w:t>
      </w:r>
      <w:r>
        <w:rPr>
          <w:rFonts w:hint="eastAsia"/>
          <w:lang w:eastAsia="zh-CN"/>
        </w:rPr>
        <w:t>2024年2月24日</w:t>
      </w:r>
      <w:r>
        <w:rPr>
          <w:rFonts w:hint="eastAsia"/>
        </w:rPr>
        <w:t>至</w:t>
      </w:r>
      <w:r>
        <w:rPr>
          <w:rFonts w:hint="eastAsia"/>
          <w:lang w:eastAsia="zh-CN"/>
        </w:rPr>
        <w:t>2025年5月24日</w:t>
      </w:r>
      <w:r>
        <w:rPr>
          <w:rFonts w:hint="eastAsia"/>
        </w:rPr>
        <w:t>止，</w:t>
      </w:r>
      <w:r>
        <w:rPr>
          <w:szCs w:val="28"/>
        </w:rPr>
        <w:t>根据《矿区生态修复方案编制指南（临时）》，“方案服务年限为采矿权剩余有效年限＋采矿权到期后的生态修复工程实施及后期管护期限。”</w:t>
      </w:r>
      <w:r>
        <w:rPr>
          <w:rFonts w:hint="eastAsia"/>
          <w:szCs w:val="28"/>
          <w:lang w:eastAsia="zh-CN"/>
        </w:rPr>
        <w:t>二道滑石矿</w:t>
      </w:r>
      <w:r>
        <w:rPr>
          <w:szCs w:val="28"/>
        </w:rPr>
        <w:t>采矿权年限为</w:t>
      </w:r>
      <w:r>
        <w:rPr>
          <w:rFonts w:hint="eastAsia"/>
          <w:szCs w:val="28"/>
          <w:lang w:val="en-US" w:eastAsia="zh-CN"/>
        </w:rPr>
        <w:t>8</w:t>
      </w:r>
      <w:r>
        <w:rPr>
          <w:rFonts w:hint="eastAsia"/>
          <w:szCs w:val="28"/>
        </w:rPr>
        <w:t>年</w:t>
      </w:r>
      <w:r>
        <w:rPr>
          <w:szCs w:val="28"/>
        </w:rPr>
        <w:t>，加上1年</w:t>
      </w:r>
      <w:bookmarkStart w:id="26" w:name="_Hlk211751281"/>
      <w:r>
        <w:rPr>
          <w:szCs w:val="28"/>
        </w:rPr>
        <w:t>生态修复工程实施期</w:t>
      </w:r>
      <w:bookmarkEnd w:id="26"/>
      <w:r>
        <w:rPr>
          <w:szCs w:val="28"/>
        </w:rPr>
        <w:t>，3年后期管护期，故确定本方案服务年限为</w:t>
      </w:r>
      <w:r>
        <w:rPr>
          <w:rFonts w:hint="eastAsia"/>
          <w:szCs w:val="28"/>
          <w:lang w:eastAsia="zh-CN"/>
        </w:rPr>
        <w:t>12年</w:t>
      </w:r>
      <w:r>
        <w:rPr>
          <w:szCs w:val="28"/>
        </w:rPr>
        <w:t>，即2026年1月</w:t>
      </w:r>
      <w:r>
        <w:rPr>
          <w:rFonts w:hint="eastAsia" w:ascii="宋体" w:hAnsi="宋体"/>
          <w:szCs w:val="28"/>
        </w:rPr>
        <w:t>～</w:t>
      </w:r>
      <w:r>
        <w:rPr>
          <w:szCs w:val="28"/>
        </w:rPr>
        <w:t>203</w:t>
      </w:r>
      <w:r>
        <w:rPr>
          <w:rFonts w:hint="eastAsia"/>
          <w:szCs w:val="28"/>
          <w:lang w:val="en-US" w:eastAsia="zh-CN"/>
        </w:rPr>
        <w:t>8</w:t>
      </w:r>
      <w:r>
        <w:rPr>
          <w:szCs w:val="28"/>
        </w:rPr>
        <w:t>年</w:t>
      </w:r>
      <w:r>
        <w:rPr>
          <w:rFonts w:hint="eastAsia"/>
          <w:szCs w:val="28"/>
          <w:lang w:val="en-US" w:eastAsia="zh-CN"/>
        </w:rPr>
        <w:t>1</w:t>
      </w:r>
      <w:r>
        <w:rPr>
          <w:szCs w:val="28"/>
        </w:rPr>
        <w:t>月</w:t>
      </w:r>
      <w:r>
        <w:rPr>
          <w:rFonts w:hint="eastAsia"/>
          <w:szCs w:val="28"/>
        </w:rPr>
        <w:t>（以2026年1月为基准期）</w:t>
      </w:r>
      <w:r>
        <w:rPr>
          <w:szCs w:val="28"/>
        </w:rPr>
        <w:t>。</w:t>
      </w:r>
    </w:p>
    <w:bookmarkEnd w:id="25"/>
    <w:p w14:paraId="35A8C38C">
      <w:pPr>
        <w:pStyle w:val="3"/>
      </w:pPr>
      <w:bookmarkStart w:id="27" w:name="_Toc211790727"/>
      <w:bookmarkStart w:id="28" w:name="_Toc215692431"/>
      <w:bookmarkStart w:id="29" w:name="_Toc219050269"/>
      <w:bookmarkStart w:id="30" w:name="_Hlk211777851"/>
      <w:bookmarkStart w:id="31" w:name="_Hlk138029912"/>
      <w:r>
        <w:t>第一章矿山基本情况</w:t>
      </w:r>
      <w:bookmarkEnd w:id="27"/>
      <w:bookmarkEnd w:id="28"/>
      <w:bookmarkEnd w:id="29"/>
    </w:p>
    <w:p w14:paraId="2662985E">
      <w:pPr>
        <w:pStyle w:val="4"/>
        <w:ind w:firstLine="602"/>
        <w:rPr>
          <w:rFonts w:ascii="Times New Roman" w:hAnsi="Times New Roman"/>
        </w:rPr>
      </w:pPr>
      <w:bookmarkStart w:id="32" w:name="_Toc211790728"/>
      <w:bookmarkStart w:id="33" w:name="_Toc215692432"/>
      <w:bookmarkStart w:id="34" w:name="_Toc219050270"/>
      <w:r>
        <w:rPr>
          <w:rFonts w:ascii="Times New Roman" w:hAnsi="Times New Roman"/>
        </w:rPr>
        <w:t>一、矿业权人基本情况</w:t>
      </w:r>
      <w:bookmarkEnd w:id="32"/>
      <w:bookmarkEnd w:id="33"/>
      <w:bookmarkEnd w:id="34"/>
    </w:p>
    <w:p w14:paraId="2F7C2511">
      <w:pPr>
        <w:spacing w:line="480" w:lineRule="exact"/>
        <w:ind w:firstLine="560"/>
        <w:rPr>
          <w:szCs w:val="28"/>
        </w:rPr>
      </w:pPr>
      <w:r>
        <w:rPr>
          <w:szCs w:val="28"/>
        </w:rPr>
        <w:t>采矿权人：</w:t>
      </w:r>
      <w:r>
        <w:rPr>
          <w:rFonts w:hint="eastAsia"/>
          <w:szCs w:val="28"/>
          <w:lang w:eastAsia="zh-CN"/>
        </w:rPr>
        <w:t>集安市中道矿业有限公司</w:t>
      </w:r>
      <w:r>
        <w:rPr>
          <w:szCs w:val="28"/>
        </w:rPr>
        <w:t>；</w:t>
      </w:r>
    </w:p>
    <w:p w14:paraId="48A6CBA0">
      <w:pPr>
        <w:spacing w:line="480" w:lineRule="exact"/>
        <w:ind w:firstLine="560"/>
        <w:rPr>
          <w:szCs w:val="28"/>
        </w:rPr>
      </w:pPr>
      <w:r>
        <w:rPr>
          <w:szCs w:val="28"/>
        </w:rPr>
        <w:t>地址：</w:t>
      </w:r>
      <w:r>
        <w:rPr>
          <w:rFonts w:hint="eastAsia"/>
          <w:szCs w:val="28"/>
          <w:lang w:eastAsia="zh-CN"/>
        </w:rPr>
        <w:t>通化市集安市清河镇</w:t>
      </w:r>
      <w:r>
        <w:rPr>
          <w:szCs w:val="28"/>
        </w:rPr>
        <w:t>；</w:t>
      </w:r>
    </w:p>
    <w:p w14:paraId="41DE99C8">
      <w:pPr>
        <w:spacing w:line="480" w:lineRule="exact"/>
        <w:ind w:firstLine="560"/>
        <w:rPr>
          <w:szCs w:val="28"/>
        </w:rPr>
      </w:pPr>
      <w:r>
        <w:rPr>
          <w:szCs w:val="28"/>
        </w:rPr>
        <w:t>矿山名称：</w:t>
      </w:r>
      <w:r>
        <w:rPr>
          <w:rFonts w:hint="eastAsia"/>
          <w:szCs w:val="28"/>
          <w:lang w:eastAsia="zh-CN"/>
        </w:rPr>
        <w:t>集安市清河镇二道滑石矿</w:t>
      </w:r>
      <w:r>
        <w:rPr>
          <w:szCs w:val="28"/>
        </w:rPr>
        <w:t>；</w:t>
      </w:r>
    </w:p>
    <w:p w14:paraId="13BE73A3">
      <w:pPr>
        <w:spacing w:line="480" w:lineRule="exact"/>
        <w:ind w:firstLine="560"/>
        <w:rPr>
          <w:szCs w:val="28"/>
        </w:rPr>
      </w:pPr>
      <w:r>
        <w:rPr>
          <w:szCs w:val="28"/>
        </w:rPr>
        <w:t>经济类型：</w:t>
      </w:r>
      <w:r>
        <w:rPr>
          <w:rFonts w:hint="eastAsia"/>
          <w:szCs w:val="28"/>
          <w:lang w:eastAsia="zh-CN"/>
        </w:rPr>
        <w:t>有限责任公司</w:t>
      </w:r>
      <w:r>
        <w:rPr>
          <w:szCs w:val="28"/>
        </w:rPr>
        <w:t>；</w:t>
      </w:r>
    </w:p>
    <w:p w14:paraId="0C66EFDC">
      <w:pPr>
        <w:spacing w:line="480" w:lineRule="exact"/>
        <w:ind w:firstLine="560"/>
        <w:rPr>
          <w:szCs w:val="28"/>
        </w:rPr>
      </w:pPr>
      <w:r>
        <w:rPr>
          <w:szCs w:val="28"/>
        </w:rPr>
        <w:t>开采矿种：</w:t>
      </w:r>
      <w:r>
        <w:rPr>
          <w:rFonts w:hint="eastAsia"/>
          <w:szCs w:val="28"/>
          <w:lang w:eastAsia="zh-CN"/>
        </w:rPr>
        <w:t>滑石</w:t>
      </w:r>
      <w:r>
        <w:rPr>
          <w:szCs w:val="28"/>
        </w:rPr>
        <w:t>；</w:t>
      </w:r>
    </w:p>
    <w:p w14:paraId="640C94E0">
      <w:pPr>
        <w:spacing w:line="480" w:lineRule="exact"/>
        <w:ind w:firstLine="560"/>
        <w:rPr>
          <w:szCs w:val="28"/>
        </w:rPr>
      </w:pPr>
      <w:r>
        <w:rPr>
          <w:szCs w:val="28"/>
        </w:rPr>
        <w:t>开采方式：</w:t>
      </w:r>
      <w:r>
        <w:rPr>
          <w:rFonts w:hint="eastAsia"/>
          <w:szCs w:val="28"/>
          <w:lang w:val="en-US" w:eastAsia="zh-CN"/>
        </w:rPr>
        <w:t>露天/</w:t>
      </w:r>
      <w:r>
        <w:rPr>
          <w:rFonts w:hint="eastAsia"/>
          <w:szCs w:val="28"/>
        </w:rPr>
        <w:t>地下</w:t>
      </w:r>
      <w:r>
        <w:rPr>
          <w:szCs w:val="28"/>
        </w:rPr>
        <w:t>开采；</w:t>
      </w:r>
    </w:p>
    <w:p w14:paraId="51B839EE">
      <w:pPr>
        <w:spacing w:line="480" w:lineRule="exact"/>
        <w:ind w:firstLine="560"/>
        <w:rPr>
          <w:rFonts w:hint="eastAsia" w:eastAsia="宋体"/>
          <w:szCs w:val="28"/>
          <w:lang w:eastAsia="zh-CN"/>
        </w:rPr>
      </w:pPr>
      <w:r>
        <w:rPr>
          <w:szCs w:val="28"/>
        </w:rPr>
        <w:t>开采标高：</w:t>
      </w:r>
      <w:r>
        <w:rPr>
          <w:rFonts w:hint="eastAsia"/>
          <w:szCs w:val="28"/>
          <w:lang w:eastAsia="zh-CN"/>
        </w:rPr>
        <w:t>+</w:t>
      </w:r>
      <w:r>
        <w:rPr>
          <w:rFonts w:hint="eastAsia"/>
          <w:szCs w:val="28"/>
          <w:lang w:val="en-US" w:eastAsia="zh-CN"/>
        </w:rPr>
        <w:t>574</w:t>
      </w:r>
      <w:r>
        <w:rPr>
          <w:rFonts w:hint="eastAsia"/>
          <w:szCs w:val="28"/>
          <w:lang w:eastAsia="zh-CN"/>
        </w:rPr>
        <w:t>m至+</w:t>
      </w:r>
      <w:r>
        <w:rPr>
          <w:rFonts w:hint="eastAsia"/>
          <w:szCs w:val="28"/>
          <w:lang w:val="en-US" w:eastAsia="zh-CN"/>
        </w:rPr>
        <w:t>524</w:t>
      </w:r>
      <w:r>
        <w:rPr>
          <w:rFonts w:hint="eastAsia"/>
          <w:szCs w:val="28"/>
          <w:lang w:eastAsia="zh-CN"/>
        </w:rPr>
        <w:t>m</w:t>
      </w:r>
    </w:p>
    <w:p w14:paraId="23933029">
      <w:pPr>
        <w:spacing w:line="480" w:lineRule="exact"/>
        <w:ind w:firstLine="560"/>
        <w:rPr>
          <w:szCs w:val="28"/>
        </w:rPr>
      </w:pPr>
      <w:r>
        <w:rPr>
          <w:szCs w:val="28"/>
        </w:rPr>
        <w:t>矿区面积</w:t>
      </w:r>
      <w:bookmarkStart w:id="35" w:name="_Hlk151420429"/>
      <w:r>
        <w:rPr>
          <w:szCs w:val="28"/>
        </w:rPr>
        <w:t>：</w:t>
      </w:r>
      <w:bookmarkEnd w:id="35"/>
      <w:r>
        <w:rPr>
          <w:rFonts w:hint="eastAsia"/>
          <w:szCs w:val="28"/>
          <w:lang w:eastAsia="zh-CN"/>
        </w:rPr>
        <w:t>0.2501</w:t>
      </w:r>
      <w:r>
        <w:rPr>
          <w:szCs w:val="28"/>
        </w:rPr>
        <w:t>k</w:t>
      </w:r>
      <w:r>
        <w:rPr>
          <w:rFonts w:hint="eastAsia"/>
          <w:szCs w:val="28"/>
        </w:rPr>
        <w:t>m²</w:t>
      </w:r>
      <w:r>
        <w:rPr>
          <w:szCs w:val="28"/>
        </w:rPr>
        <w:t>；</w:t>
      </w:r>
    </w:p>
    <w:p w14:paraId="60AB606C">
      <w:pPr>
        <w:spacing w:line="480" w:lineRule="exact"/>
        <w:ind w:firstLine="560"/>
        <w:rPr>
          <w:szCs w:val="28"/>
        </w:rPr>
      </w:pPr>
      <w:r>
        <w:rPr>
          <w:szCs w:val="28"/>
        </w:rPr>
        <w:t>生产规模：</w:t>
      </w:r>
      <w:bookmarkStart w:id="36" w:name="_Hlk213251039"/>
      <w:r>
        <w:rPr>
          <w:rFonts w:hint="eastAsia"/>
          <w:szCs w:val="28"/>
          <w:lang w:val="en-US" w:eastAsia="zh-CN"/>
        </w:rPr>
        <w:t>0.2</w:t>
      </w:r>
      <w:r>
        <w:rPr>
          <w:rFonts w:hint="eastAsia"/>
          <w:szCs w:val="28"/>
          <w:lang w:eastAsia="zh-CN"/>
        </w:rPr>
        <w:t>万</w:t>
      </w:r>
      <w:r>
        <w:rPr>
          <w:szCs w:val="28"/>
        </w:rPr>
        <w:t>吨/年；</w:t>
      </w:r>
      <w:bookmarkEnd w:id="36"/>
    </w:p>
    <w:p w14:paraId="299EECAC">
      <w:pPr>
        <w:spacing w:line="480" w:lineRule="exact"/>
        <w:ind w:firstLine="560"/>
        <w:rPr>
          <w:szCs w:val="28"/>
        </w:rPr>
      </w:pPr>
      <w:r>
        <w:rPr>
          <w:szCs w:val="28"/>
        </w:rPr>
        <w:t>采矿许可证证号：</w:t>
      </w:r>
      <w:r>
        <w:rPr>
          <w:rFonts w:hint="eastAsia"/>
          <w:szCs w:val="28"/>
          <w:lang w:eastAsia="zh-CN"/>
        </w:rPr>
        <w:t>C2205002010127120085505</w:t>
      </w:r>
      <w:r>
        <w:rPr>
          <w:szCs w:val="28"/>
        </w:rPr>
        <w:t>；</w:t>
      </w:r>
    </w:p>
    <w:p w14:paraId="50EA495E">
      <w:pPr>
        <w:spacing w:line="480" w:lineRule="exact"/>
        <w:ind w:firstLine="560"/>
        <w:rPr>
          <w:szCs w:val="28"/>
        </w:rPr>
      </w:pPr>
      <w:r>
        <w:rPr>
          <w:szCs w:val="28"/>
        </w:rPr>
        <w:t>发证机关：</w:t>
      </w:r>
      <w:r>
        <w:rPr>
          <w:rFonts w:hint="eastAsia"/>
          <w:szCs w:val="28"/>
          <w:lang w:val="en-US" w:eastAsia="zh-CN"/>
        </w:rPr>
        <w:t>集安市自然资源局</w:t>
      </w:r>
      <w:r>
        <w:rPr>
          <w:szCs w:val="28"/>
        </w:rPr>
        <w:t>；</w:t>
      </w:r>
    </w:p>
    <w:p w14:paraId="470D6E8B">
      <w:pPr>
        <w:spacing w:line="500" w:lineRule="exact"/>
        <w:ind w:firstLine="560"/>
        <w:jc w:val="both"/>
        <w:rPr>
          <w:szCs w:val="28"/>
        </w:rPr>
      </w:pPr>
      <w:r>
        <w:rPr>
          <w:szCs w:val="28"/>
        </w:rPr>
        <w:t>有效期：自</w:t>
      </w:r>
      <w:r>
        <w:rPr>
          <w:rFonts w:hint="eastAsia"/>
          <w:szCs w:val="28"/>
          <w:lang w:eastAsia="zh-CN"/>
        </w:rPr>
        <w:t>2024年2月24日</w:t>
      </w:r>
      <w:r>
        <w:rPr>
          <w:szCs w:val="28"/>
        </w:rPr>
        <w:t>至</w:t>
      </w:r>
      <w:r>
        <w:rPr>
          <w:rFonts w:hint="eastAsia"/>
          <w:szCs w:val="28"/>
          <w:lang w:eastAsia="zh-CN"/>
        </w:rPr>
        <w:t>2025年5月24日</w:t>
      </w:r>
      <w:r>
        <w:rPr>
          <w:szCs w:val="28"/>
        </w:rPr>
        <w:t>。</w:t>
      </w:r>
    </w:p>
    <w:p w14:paraId="6956AAB4">
      <w:pPr>
        <w:spacing w:line="500" w:lineRule="exact"/>
        <w:ind w:firstLine="560"/>
        <w:jc w:val="both"/>
        <w:rPr>
          <w:szCs w:val="28"/>
        </w:rPr>
      </w:pPr>
      <w:r>
        <w:rPr>
          <w:szCs w:val="28"/>
        </w:rPr>
        <w:t>现有采矿许可证范围拐点坐标见下表。</w:t>
      </w:r>
    </w:p>
    <w:p w14:paraId="3CDF9DEC">
      <w:pPr>
        <w:pStyle w:val="57"/>
        <w:rPr>
          <w:rFonts w:ascii="Times New Roman" w:hAnsi="Times New Roman"/>
        </w:rPr>
      </w:pPr>
      <w:bookmarkStart w:id="37" w:name="_Hlk219058886"/>
      <w:r>
        <w:rPr>
          <w:rFonts w:ascii="Times New Roman" w:hAnsi="Times New Roman"/>
        </w:rPr>
        <w:t>表1-1现有采矿证范围拐点坐标表</w:t>
      </w:r>
    </w:p>
    <w:tbl>
      <w:tblPr>
        <w:tblStyle w:val="42"/>
        <w:tblW w:w="912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27"/>
        <w:gridCol w:w="2010"/>
        <w:gridCol w:w="2232"/>
        <w:gridCol w:w="403"/>
        <w:gridCol w:w="1564"/>
        <w:gridCol w:w="2185"/>
      </w:tblGrid>
      <w:tr w14:paraId="233C7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07" w:hRule="exact"/>
        </w:trPr>
        <w:tc>
          <w:tcPr>
            <w:tcW w:w="727" w:type="dxa"/>
            <w:vMerge w:val="restart"/>
            <w:tcBorders>
              <w:tl2br w:val="nil"/>
              <w:tr2bl w:val="nil"/>
            </w:tcBorders>
            <w:vAlign w:val="center"/>
          </w:tcPr>
          <w:p w14:paraId="0224CFDB">
            <w:pPr>
              <w:pStyle w:val="72"/>
              <w:rPr>
                <w:rFonts w:hint="default" w:ascii="Times New Roman" w:hAnsi="Times New Roman" w:cs="Times New Roman"/>
              </w:rPr>
            </w:pPr>
            <w:r>
              <w:rPr>
                <w:rFonts w:hint="default" w:ascii="Times New Roman" w:hAnsi="Times New Roman" w:cs="Times New Roman"/>
              </w:rPr>
              <w:t>拐点</w:t>
            </w:r>
          </w:p>
          <w:p w14:paraId="5946A84C">
            <w:pPr>
              <w:pStyle w:val="72"/>
              <w:rPr>
                <w:rFonts w:hint="default" w:ascii="Times New Roman" w:hAnsi="Times New Roman" w:cs="Times New Roman"/>
              </w:rPr>
            </w:pPr>
            <w:r>
              <w:rPr>
                <w:rFonts w:hint="default" w:ascii="Times New Roman" w:hAnsi="Times New Roman" w:cs="Times New Roman"/>
              </w:rPr>
              <w:t>编号</w:t>
            </w:r>
          </w:p>
        </w:tc>
        <w:tc>
          <w:tcPr>
            <w:tcW w:w="4242" w:type="dxa"/>
            <w:gridSpan w:val="2"/>
            <w:tcBorders>
              <w:tl2br w:val="nil"/>
              <w:tr2bl w:val="nil"/>
            </w:tcBorders>
            <w:vAlign w:val="center"/>
          </w:tcPr>
          <w:p w14:paraId="06B35E1B">
            <w:pPr>
              <w:pStyle w:val="72"/>
              <w:rPr>
                <w:rFonts w:hint="default" w:ascii="Times New Roman" w:hAnsi="Times New Roman" w:cs="Times New Roman"/>
              </w:rPr>
            </w:pPr>
            <w:r>
              <w:rPr>
                <w:rFonts w:hint="default" w:ascii="Times New Roman" w:hAnsi="Times New Roman" w:cs="Times New Roman"/>
              </w:rPr>
              <w:t>2000国家</w:t>
            </w:r>
            <w:r>
              <w:rPr>
                <w:rFonts w:hint="eastAsia" w:ascii="Times New Roman" w:hAnsi="Times New Roman" w:cs="Times New Roman"/>
                <w:lang w:val="en-US" w:eastAsia="zh-CN"/>
              </w:rPr>
              <w:t>大地</w:t>
            </w:r>
            <w:r>
              <w:rPr>
                <w:rFonts w:hint="default" w:ascii="Times New Roman" w:hAnsi="Times New Roman" w:cs="Times New Roman"/>
              </w:rPr>
              <w:t>坐标系</w:t>
            </w:r>
          </w:p>
        </w:tc>
        <w:tc>
          <w:tcPr>
            <w:tcW w:w="403" w:type="dxa"/>
            <w:tcBorders>
              <w:right w:val="single" w:color="auto" w:sz="4" w:space="0"/>
              <w:tl2br w:val="nil"/>
              <w:tr2bl w:val="nil"/>
            </w:tcBorders>
            <w:vAlign w:val="center"/>
          </w:tcPr>
          <w:p w14:paraId="2A2DEAE8">
            <w:pPr>
              <w:pStyle w:val="72"/>
              <w:rPr>
                <w:rFonts w:hint="default" w:ascii="Times New Roman" w:hAnsi="Times New Roman" w:cs="Times New Roman"/>
              </w:rPr>
            </w:pPr>
          </w:p>
        </w:tc>
        <w:tc>
          <w:tcPr>
            <w:tcW w:w="3749" w:type="dxa"/>
            <w:gridSpan w:val="2"/>
            <w:tcBorders>
              <w:left w:val="single" w:color="auto" w:sz="4" w:space="0"/>
              <w:tl2br w:val="nil"/>
              <w:tr2bl w:val="nil"/>
            </w:tcBorders>
            <w:vAlign w:val="center"/>
          </w:tcPr>
          <w:p w14:paraId="3E99897E">
            <w:pPr>
              <w:pStyle w:val="72"/>
              <w:rPr>
                <w:rFonts w:hint="default" w:ascii="Times New Roman" w:hAnsi="Times New Roman" w:cs="Times New Roman"/>
              </w:rPr>
            </w:pPr>
            <w:r>
              <w:rPr>
                <w:rFonts w:hint="default" w:ascii="Times New Roman" w:hAnsi="Times New Roman" w:cs="Times New Roman"/>
              </w:rPr>
              <w:t>2000国家</w:t>
            </w:r>
            <w:r>
              <w:rPr>
                <w:rFonts w:hint="eastAsia" w:ascii="Times New Roman" w:hAnsi="Times New Roman" w:cs="Times New Roman"/>
                <w:lang w:val="en-US" w:eastAsia="zh-CN"/>
              </w:rPr>
              <w:t>大地</w:t>
            </w:r>
            <w:r>
              <w:rPr>
                <w:rFonts w:hint="default" w:ascii="Times New Roman" w:hAnsi="Times New Roman" w:cs="Times New Roman"/>
              </w:rPr>
              <w:t>坐标系</w:t>
            </w:r>
          </w:p>
        </w:tc>
      </w:tr>
      <w:tr w14:paraId="19F56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07" w:hRule="exact"/>
        </w:trPr>
        <w:tc>
          <w:tcPr>
            <w:tcW w:w="727" w:type="dxa"/>
            <w:vMerge w:val="continue"/>
            <w:tcBorders>
              <w:tl2br w:val="nil"/>
              <w:tr2bl w:val="nil"/>
            </w:tcBorders>
            <w:vAlign w:val="center"/>
          </w:tcPr>
          <w:p w14:paraId="62BA3D3B">
            <w:pPr>
              <w:pStyle w:val="72"/>
              <w:rPr>
                <w:rFonts w:hint="default" w:ascii="Times New Roman" w:hAnsi="Times New Roman" w:cs="Times New Roman"/>
              </w:rPr>
            </w:pPr>
          </w:p>
        </w:tc>
        <w:tc>
          <w:tcPr>
            <w:tcW w:w="2010" w:type="dxa"/>
            <w:tcBorders>
              <w:tl2br w:val="nil"/>
              <w:tr2bl w:val="nil"/>
            </w:tcBorders>
            <w:vAlign w:val="center"/>
          </w:tcPr>
          <w:p w14:paraId="1DCBF6F9">
            <w:pPr>
              <w:pStyle w:val="72"/>
              <w:rPr>
                <w:rFonts w:hint="default" w:ascii="Times New Roman" w:hAnsi="Times New Roman" w:cs="Times New Roman"/>
              </w:rPr>
            </w:pPr>
            <w:r>
              <w:rPr>
                <w:rFonts w:hint="default" w:ascii="Times New Roman" w:hAnsi="Times New Roman" w:cs="Times New Roman"/>
              </w:rPr>
              <w:t>X</w:t>
            </w:r>
          </w:p>
        </w:tc>
        <w:tc>
          <w:tcPr>
            <w:tcW w:w="2232" w:type="dxa"/>
            <w:tcBorders>
              <w:tl2br w:val="nil"/>
              <w:tr2bl w:val="nil"/>
            </w:tcBorders>
            <w:vAlign w:val="center"/>
          </w:tcPr>
          <w:p w14:paraId="34CE6F92">
            <w:pPr>
              <w:pStyle w:val="72"/>
              <w:rPr>
                <w:rFonts w:hint="default" w:ascii="Times New Roman" w:hAnsi="Times New Roman" w:cs="Times New Roman"/>
              </w:rPr>
            </w:pPr>
            <w:r>
              <w:rPr>
                <w:rFonts w:hint="default" w:ascii="Times New Roman" w:hAnsi="Times New Roman" w:cs="Times New Roman"/>
              </w:rPr>
              <w:t>Y</w:t>
            </w:r>
          </w:p>
        </w:tc>
        <w:tc>
          <w:tcPr>
            <w:tcW w:w="403" w:type="dxa"/>
            <w:tcBorders>
              <w:right w:val="single" w:color="auto" w:sz="4" w:space="0"/>
              <w:tl2br w:val="nil"/>
              <w:tr2bl w:val="nil"/>
            </w:tcBorders>
            <w:vAlign w:val="center"/>
          </w:tcPr>
          <w:p w14:paraId="6E9B07F5">
            <w:pPr>
              <w:pStyle w:val="72"/>
              <w:rPr>
                <w:rFonts w:hint="default" w:ascii="Times New Roman" w:hAnsi="Times New Roman" w:cs="Times New Roman"/>
              </w:rPr>
            </w:pPr>
          </w:p>
        </w:tc>
        <w:tc>
          <w:tcPr>
            <w:tcW w:w="1564" w:type="dxa"/>
            <w:tcBorders>
              <w:left w:val="single" w:color="auto" w:sz="4" w:space="0"/>
              <w:tl2br w:val="nil"/>
              <w:tr2bl w:val="nil"/>
            </w:tcBorders>
            <w:vAlign w:val="center"/>
          </w:tcPr>
          <w:p w14:paraId="4C8D2CA0">
            <w:pPr>
              <w:pStyle w:val="72"/>
              <w:rPr>
                <w:rFonts w:hint="default" w:ascii="Times New Roman" w:hAnsi="Times New Roman" w:cs="Times New Roman"/>
              </w:rPr>
            </w:pPr>
            <w:r>
              <w:rPr>
                <w:rFonts w:hint="default" w:ascii="Times New Roman" w:hAnsi="Times New Roman" w:cs="Times New Roman"/>
              </w:rPr>
              <w:t>X</w:t>
            </w:r>
          </w:p>
        </w:tc>
        <w:tc>
          <w:tcPr>
            <w:tcW w:w="2185" w:type="dxa"/>
            <w:tcBorders>
              <w:tl2br w:val="nil"/>
              <w:tr2bl w:val="nil"/>
            </w:tcBorders>
            <w:vAlign w:val="center"/>
          </w:tcPr>
          <w:p w14:paraId="5EF5E23F">
            <w:pPr>
              <w:pStyle w:val="72"/>
              <w:rPr>
                <w:rFonts w:hint="default" w:ascii="Times New Roman" w:hAnsi="Times New Roman" w:cs="Times New Roman"/>
              </w:rPr>
            </w:pPr>
            <w:r>
              <w:rPr>
                <w:rFonts w:hint="default" w:ascii="Times New Roman" w:hAnsi="Times New Roman" w:cs="Times New Roman"/>
              </w:rPr>
              <w:t>Y</w:t>
            </w:r>
          </w:p>
        </w:tc>
      </w:tr>
      <w:tr w14:paraId="7E3CC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284" w:hRule="exact"/>
        </w:trPr>
        <w:tc>
          <w:tcPr>
            <w:tcW w:w="727" w:type="dxa"/>
            <w:tcBorders>
              <w:tl2br w:val="nil"/>
              <w:tr2bl w:val="nil"/>
            </w:tcBorders>
            <w:vAlign w:val="bottom"/>
          </w:tcPr>
          <w:p w14:paraId="76C41E20">
            <w:pPr>
              <w:pStyle w:val="72"/>
              <w:rPr>
                <w:rFonts w:hint="default" w:ascii="Times New Roman" w:hAnsi="Times New Roman" w:cs="Times New Roman"/>
              </w:rPr>
            </w:pPr>
            <w:r>
              <w:rPr>
                <w:rFonts w:hint="default" w:ascii="Times New Roman" w:hAnsi="Times New Roman" w:cs="Times New Roman"/>
              </w:rPr>
              <w:t>1</w:t>
            </w:r>
          </w:p>
        </w:tc>
        <w:tc>
          <w:tcPr>
            <w:tcW w:w="2010" w:type="dxa"/>
            <w:tcBorders>
              <w:tl2br w:val="nil"/>
              <w:tr2bl w:val="nil"/>
            </w:tcBorders>
            <w:vAlign w:val="top"/>
          </w:tcPr>
          <w:p w14:paraId="5CC4B4E6">
            <w:pPr>
              <w:pStyle w:val="72"/>
              <w:rPr>
                <w:rFonts w:hint="default" w:ascii="Times New Roman" w:hAnsi="Times New Roman" w:eastAsia="仿宋" w:cs="Times New Roman"/>
                <w:lang w:val="en-US" w:eastAsia="zh-CN"/>
              </w:rPr>
            </w:pPr>
            <w:r>
              <w:rPr>
                <w:rFonts w:hint="default" w:ascii="Times New Roman" w:hAnsi="Times New Roman" w:cs="Times New Roman"/>
              </w:rPr>
              <w:t>4585027.39</w:t>
            </w:r>
            <w:r>
              <w:rPr>
                <w:rFonts w:hint="eastAsia" w:ascii="Times New Roman" w:hAnsi="Times New Roman" w:cs="Times New Roman"/>
                <w:lang w:val="en-US" w:eastAsia="zh-CN"/>
              </w:rPr>
              <w:t>00</w:t>
            </w:r>
          </w:p>
        </w:tc>
        <w:tc>
          <w:tcPr>
            <w:tcW w:w="2232" w:type="dxa"/>
            <w:tcBorders>
              <w:tl2br w:val="nil"/>
              <w:tr2bl w:val="nil"/>
            </w:tcBorders>
            <w:vAlign w:val="top"/>
          </w:tcPr>
          <w:p w14:paraId="015CBE64">
            <w:pPr>
              <w:pStyle w:val="72"/>
              <w:rPr>
                <w:rFonts w:hint="default" w:ascii="Times New Roman" w:hAnsi="Times New Roman" w:eastAsia="仿宋" w:cs="Times New Roman"/>
                <w:lang w:val="en-US" w:eastAsia="zh-CN"/>
              </w:rPr>
            </w:pPr>
            <w:r>
              <w:rPr>
                <w:rFonts w:hint="default" w:ascii="Times New Roman" w:hAnsi="Times New Roman" w:cs="Times New Roman"/>
              </w:rPr>
              <w:t>42491383.60</w:t>
            </w:r>
            <w:r>
              <w:rPr>
                <w:rFonts w:hint="eastAsia" w:ascii="Times New Roman" w:hAnsi="Times New Roman" w:cs="Times New Roman"/>
                <w:lang w:val="en-US" w:eastAsia="zh-CN"/>
              </w:rPr>
              <w:t>00</w:t>
            </w:r>
          </w:p>
        </w:tc>
        <w:tc>
          <w:tcPr>
            <w:tcW w:w="403" w:type="dxa"/>
            <w:tcBorders>
              <w:right w:val="single" w:color="auto" w:sz="4" w:space="0"/>
              <w:tl2br w:val="nil"/>
              <w:tr2bl w:val="nil"/>
            </w:tcBorders>
            <w:vAlign w:val="center"/>
          </w:tcPr>
          <w:p w14:paraId="5E00A5D8">
            <w:pPr>
              <w:pStyle w:val="72"/>
              <w:rPr>
                <w:rFonts w:hint="default" w:ascii="Times New Roman" w:hAnsi="Times New Roman" w:eastAsia="仿宋" w:cs="Times New Roman"/>
                <w:lang w:eastAsia="zh-CN"/>
              </w:rPr>
            </w:pPr>
            <w:r>
              <w:rPr>
                <w:rFonts w:hint="default" w:ascii="Times New Roman" w:hAnsi="Times New Roman" w:cs="Times New Roman"/>
                <w:lang w:val="en-US" w:eastAsia="zh-CN"/>
              </w:rPr>
              <w:t>3</w:t>
            </w:r>
          </w:p>
        </w:tc>
        <w:tc>
          <w:tcPr>
            <w:tcW w:w="1564" w:type="dxa"/>
            <w:tcBorders>
              <w:left w:val="single" w:color="auto" w:sz="4" w:space="0"/>
              <w:tl2br w:val="nil"/>
              <w:tr2bl w:val="nil"/>
            </w:tcBorders>
            <w:vAlign w:val="top"/>
          </w:tcPr>
          <w:p w14:paraId="59E72D0E">
            <w:pPr>
              <w:pStyle w:val="72"/>
              <w:rPr>
                <w:rFonts w:hint="default" w:ascii="Times New Roman" w:hAnsi="Times New Roman" w:eastAsia="仿宋" w:cs="Times New Roman"/>
                <w:lang w:val="en-US" w:eastAsia="zh-CN"/>
              </w:rPr>
            </w:pPr>
            <w:r>
              <w:rPr>
                <w:rFonts w:hint="default" w:ascii="Times New Roman" w:hAnsi="Times New Roman" w:cs="Times New Roman"/>
              </w:rPr>
              <w:t>4584510.27</w:t>
            </w:r>
            <w:r>
              <w:rPr>
                <w:rFonts w:hint="eastAsia" w:ascii="Times New Roman" w:hAnsi="Times New Roman" w:cs="Times New Roman"/>
                <w:lang w:val="en-US" w:eastAsia="zh-CN"/>
              </w:rPr>
              <w:t>00</w:t>
            </w:r>
          </w:p>
        </w:tc>
        <w:tc>
          <w:tcPr>
            <w:tcW w:w="2185" w:type="dxa"/>
            <w:tcBorders>
              <w:tl2br w:val="nil"/>
              <w:tr2bl w:val="nil"/>
            </w:tcBorders>
            <w:vAlign w:val="top"/>
          </w:tcPr>
          <w:p w14:paraId="14B8525F">
            <w:pPr>
              <w:pStyle w:val="72"/>
              <w:rPr>
                <w:rFonts w:hint="default" w:ascii="Times New Roman" w:hAnsi="Times New Roman" w:eastAsia="仿宋" w:cs="Times New Roman"/>
                <w:lang w:val="en-US" w:eastAsia="zh-CN"/>
              </w:rPr>
            </w:pPr>
            <w:r>
              <w:rPr>
                <w:rFonts w:hint="default" w:ascii="Times New Roman" w:hAnsi="Times New Roman" w:cs="Times New Roman"/>
              </w:rPr>
              <w:t>42491866.22</w:t>
            </w:r>
            <w:r>
              <w:rPr>
                <w:rFonts w:hint="eastAsia" w:ascii="Times New Roman" w:hAnsi="Times New Roman" w:cs="Times New Roman"/>
                <w:lang w:val="en-US" w:eastAsia="zh-CN"/>
              </w:rPr>
              <w:t>00</w:t>
            </w:r>
          </w:p>
        </w:tc>
      </w:tr>
      <w:tr w14:paraId="0CA6A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284" w:hRule="exact"/>
        </w:trPr>
        <w:tc>
          <w:tcPr>
            <w:tcW w:w="727" w:type="dxa"/>
            <w:tcBorders>
              <w:tl2br w:val="nil"/>
              <w:tr2bl w:val="nil"/>
            </w:tcBorders>
            <w:vAlign w:val="bottom"/>
          </w:tcPr>
          <w:p w14:paraId="7D10B58D">
            <w:pPr>
              <w:pStyle w:val="72"/>
              <w:rPr>
                <w:rFonts w:hint="default" w:ascii="Times New Roman" w:hAnsi="Times New Roman" w:cs="Times New Roman"/>
              </w:rPr>
            </w:pPr>
            <w:r>
              <w:rPr>
                <w:rFonts w:hint="default" w:ascii="Times New Roman" w:hAnsi="Times New Roman" w:cs="Times New Roman"/>
              </w:rPr>
              <w:t>2</w:t>
            </w:r>
          </w:p>
        </w:tc>
        <w:tc>
          <w:tcPr>
            <w:tcW w:w="2010" w:type="dxa"/>
            <w:tcBorders>
              <w:tl2br w:val="nil"/>
              <w:tr2bl w:val="nil"/>
            </w:tcBorders>
            <w:vAlign w:val="top"/>
          </w:tcPr>
          <w:p w14:paraId="0511D0BF">
            <w:pPr>
              <w:pStyle w:val="72"/>
              <w:rPr>
                <w:rFonts w:hint="default" w:ascii="Times New Roman" w:hAnsi="Times New Roman" w:eastAsia="仿宋" w:cs="Times New Roman"/>
                <w:lang w:val="en-US" w:eastAsia="zh-CN"/>
              </w:rPr>
            </w:pPr>
            <w:r>
              <w:rPr>
                <w:rFonts w:hint="default" w:ascii="Times New Roman" w:hAnsi="Times New Roman" w:cs="Times New Roman"/>
              </w:rPr>
              <w:t>4585010.40</w:t>
            </w:r>
            <w:r>
              <w:rPr>
                <w:rFonts w:hint="eastAsia" w:ascii="Times New Roman" w:hAnsi="Times New Roman" w:cs="Times New Roman"/>
                <w:lang w:val="en-US" w:eastAsia="zh-CN"/>
              </w:rPr>
              <w:t>00</w:t>
            </w:r>
          </w:p>
        </w:tc>
        <w:tc>
          <w:tcPr>
            <w:tcW w:w="2232" w:type="dxa"/>
            <w:tcBorders>
              <w:tl2br w:val="nil"/>
              <w:tr2bl w:val="nil"/>
            </w:tcBorders>
            <w:vAlign w:val="top"/>
          </w:tcPr>
          <w:p w14:paraId="1781DFDE">
            <w:pPr>
              <w:pStyle w:val="72"/>
              <w:rPr>
                <w:rFonts w:hint="default" w:ascii="Times New Roman" w:hAnsi="Times New Roman" w:eastAsia="仿宋" w:cs="Times New Roman"/>
                <w:lang w:val="en-US" w:eastAsia="zh-CN"/>
              </w:rPr>
            </w:pPr>
            <w:r>
              <w:rPr>
                <w:rFonts w:hint="default" w:ascii="Times New Roman" w:hAnsi="Times New Roman" w:cs="Times New Roman"/>
              </w:rPr>
              <w:t>42491884.47</w:t>
            </w:r>
            <w:r>
              <w:rPr>
                <w:rFonts w:hint="eastAsia" w:ascii="Times New Roman" w:hAnsi="Times New Roman" w:cs="Times New Roman"/>
                <w:lang w:val="en-US" w:eastAsia="zh-CN"/>
              </w:rPr>
              <w:t>00</w:t>
            </w:r>
          </w:p>
        </w:tc>
        <w:tc>
          <w:tcPr>
            <w:tcW w:w="403" w:type="dxa"/>
            <w:tcBorders>
              <w:right w:val="single" w:color="auto" w:sz="4" w:space="0"/>
              <w:tl2br w:val="nil"/>
              <w:tr2bl w:val="nil"/>
            </w:tcBorders>
            <w:vAlign w:val="bottom"/>
          </w:tcPr>
          <w:p w14:paraId="6C760F21">
            <w:pPr>
              <w:pStyle w:val="72"/>
              <w:rPr>
                <w:rFonts w:hint="default" w:ascii="Times New Roman" w:hAnsi="Times New Roman" w:eastAsia="仿宋" w:cs="Times New Roman"/>
                <w:lang w:eastAsia="zh-CN"/>
              </w:rPr>
            </w:pPr>
            <w:r>
              <w:rPr>
                <w:rFonts w:hint="default" w:ascii="Times New Roman" w:hAnsi="Times New Roman" w:cs="Times New Roman"/>
                <w:lang w:val="en-US" w:eastAsia="zh-CN"/>
              </w:rPr>
              <w:t>4</w:t>
            </w:r>
          </w:p>
        </w:tc>
        <w:tc>
          <w:tcPr>
            <w:tcW w:w="1564" w:type="dxa"/>
            <w:tcBorders>
              <w:left w:val="single" w:color="auto" w:sz="4" w:space="0"/>
              <w:tl2br w:val="nil"/>
              <w:tr2bl w:val="nil"/>
            </w:tcBorders>
            <w:vAlign w:val="top"/>
          </w:tcPr>
          <w:p w14:paraId="082F49C5">
            <w:pPr>
              <w:pStyle w:val="72"/>
              <w:rPr>
                <w:rFonts w:hint="default" w:ascii="Times New Roman" w:hAnsi="Times New Roman" w:eastAsia="仿宋" w:cs="Times New Roman"/>
                <w:lang w:val="en-US" w:eastAsia="zh-CN"/>
              </w:rPr>
            </w:pPr>
            <w:r>
              <w:rPr>
                <w:rFonts w:hint="default" w:ascii="Times New Roman" w:hAnsi="Times New Roman" w:cs="Times New Roman"/>
              </w:rPr>
              <w:t>4584528.68</w:t>
            </w:r>
            <w:r>
              <w:rPr>
                <w:rFonts w:hint="eastAsia" w:ascii="Times New Roman" w:hAnsi="Times New Roman" w:cs="Times New Roman"/>
                <w:lang w:val="en-US" w:eastAsia="zh-CN"/>
              </w:rPr>
              <w:t>00</w:t>
            </w:r>
          </w:p>
        </w:tc>
        <w:tc>
          <w:tcPr>
            <w:tcW w:w="2185" w:type="dxa"/>
            <w:tcBorders>
              <w:tl2br w:val="nil"/>
              <w:tr2bl w:val="nil"/>
            </w:tcBorders>
            <w:vAlign w:val="top"/>
          </w:tcPr>
          <w:p w14:paraId="192DC9E2">
            <w:pPr>
              <w:pStyle w:val="72"/>
              <w:rPr>
                <w:rFonts w:hint="default" w:ascii="Times New Roman" w:hAnsi="Times New Roman" w:eastAsia="仿宋" w:cs="Times New Roman"/>
                <w:lang w:val="en-US" w:eastAsia="zh-CN"/>
              </w:rPr>
            </w:pPr>
            <w:r>
              <w:rPr>
                <w:rFonts w:hint="default" w:ascii="Times New Roman" w:hAnsi="Times New Roman" w:cs="Times New Roman"/>
              </w:rPr>
              <w:t>42491366.96</w:t>
            </w:r>
            <w:r>
              <w:rPr>
                <w:rFonts w:hint="eastAsia" w:ascii="Times New Roman" w:hAnsi="Times New Roman" w:cs="Times New Roman"/>
                <w:lang w:val="en-US" w:eastAsia="zh-CN"/>
              </w:rPr>
              <w:t>00</w:t>
            </w:r>
          </w:p>
        </w:tc>
      </w:tr>
      <w:tr w14:paraId="02813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284" w:hRule="exact"/>
        </w:trPr>
        <w:tc>
          <w:tcPr>
            <w:tcW w:w="9121" w:type="dxa"/>
            <w:gridSpan w:val="6"/>
            <w:tcBorders>
              <w:tl2br w:val="nil"/>
              <w:tr2bl w:val="nil"/>
            </w:tcBorders>
            <w:vAlign w:val="bottom"/>
          </w:tcPr>
          <w:p w14:paraId="419EC1E5">
            <w:pPr>
              <w:pStyle w:val="72"/>
              <w:rPr>
                <w:rFonts w:hint="default" w:ascii="Times New Roman" w:hAnsi="Times New Roman" w:cs="Times New Roman"/>
              </w:rPr>
            </w:pPr>
            <w:r>
              <w:rPr>
                <w:rFonts w:hint="default" w:ascii="Times New Roman" w:hAnsi="Times New Roman" w:cs="Times New Roman"/>
              </w:rPr>
              <w:t>开采深度：由</w:t>
            </w:r>
            <w:r>
              <w:rPr>
                <w:rFonts w:hint="eastAsia" w:ascii="Times New Roman" w:hAnsi="Times New Roman" w:cs="Times New Roman"/>
                <w:lang w:val="en-US" w:eastAsia="zh-CN"/>
              </w:rPr>
              <w:t>574</w:t>
            </w:r>
            <w:r>
              <w:rPr>
                <w:rFonts w:hint="default" w:ascii="Times New Roman" w:hAnsi="Times New Roman" w:cs="Times New Roman"/>
                <w:lang w:eastAsia="zh-CN"/>
              </w:rPr>
              <w:t>米</w:t>
            </w:r>
            <w:r>
              <w:rPr>
                <w:rFonts w:hint="default" w:ascii="Times New Roman" w:hAnsi="Times New Roman" w:cs="Times New Roman"/>
              </w:rPr>
              <w:t>至</w:t>
            </w:r>
            <w:r>
              <w:rPr>
                <w:rFonts w:hint="eastAsia" w:ascii="Times New Roman" w:hAnsi="Times New Roman" w:cs="Times New Roman"/>
                <w:lang w:val="en-US" w:eastAsia="zh-CN"/>
              </w:rPr>
              <w:t>524</w:t>
            </w:r>
            <w:r>
              <w:rPr>
                <w:rFonts w:hint="default" w:ascii="Times New Roman" w:hAnsi="Times New Roman" w:cs="Times New Roman"/>
                <w:lang w:eastAsia="zh-CN"/>
              </w:rPr>
              <w:t>米</w:t>
            </w:r>
            <w:r>
              <w:rPr>
                <w:rFonts w:hint="default" w:ascii="Times New Roman" w:hAnsi="Times New Roman" w:cs="Times New Roman"/>
              </w:rPr>
              <w:t>标高，矿区面积</w:t>
            </w:r>
            <w:r>
              <w:rPr>
                <w:rFonts w:hint="default" w:ascii="Times New Roman" w:hAnsi="Times New Roman" w:cs="Times New Roman"/>
                <w:lang w:eastAsia="zh-CN"/>
              </w:rPr>
              <w:t>0.2501</w:t>
            </w:r>
            <w:r>
              <w:rPr>
                <w:rFonts w:hint="default" w:ascii="Times New Roman" w:hAnsi="Times New Roman" w:cs="Times New Roman"/>
              </w:rPr>
              <w:t>km</w:t>
            </w:r>
            <w:r>
              <w:rPr>
                <w:rFonts w:hint="default" w:ascii="Times New Roman" w:hAnsi="Times New Roman" w:cs="Times New Roman"/>
                <w:szCs w:val="28"/>
              </w:rPr>
              <w:t>²</w:t>
            </w:r>
          </w:p>
        </w:tc>
      </w:tr>
      <w:bookmarkEnd w:id="37"/>
    </w:tbl>
    <w:p w14:paraId="7142E5B9">
      <w:pPr>
        <w:pStyle w:val="4"/>
        <w:ind w:firstLine="602"/>
        <w:rPr>
          <w:rFonts w:ascii="Times New Roman" w:hAnsi="Times New Roman"/>
        </w:rPr>
      </w:pPr>
      <w:bookmarkStart w:id="38" w:name="_Toc219050271"/>
      <w:bookmarkStart w:id="39" w:name="_Toc215692433"/>
      <w:bookmarkStart w:id="40" w:name="_Toc211790729"/>
      <w:r>
        <w:rPr>
          <w:rFonts w:ascii="Times New Roman" w:hAnsi="Times New Roman"/>
        </w:rPr>
        <w:t>二、</w:t>
      </w:r>
      <w:bookmarkStart w:id="41" w:name="OLE_LINK5"/>
      <w:r>
        <w:rPr>
          <w:rFonts w:ascii="Times New Roman" w:hAnsi="Times New Roman"/>
        </w:rPr>
        <w:t>地理位置</w:t>
      </w:r>
      <w:bookmarkEnd w:id="41"/>
      <w:r>
        <w:rPr>
          <w:rFonts w:ascii="Times New Roman" w:hAnsi="Times New Roman"/>
        </w:rPr>
        <w:t>与区域概况</w:t>
      </w:r>
      <w:bookmarkEnd w:id="38"/>
      <w:bookmarkEnd w:id="39"/>
      <w:bookmarkEnd w:id="40"/>
    </w:p>
    <w:p w14:paraId="2E73D428">
      <w:pPr>
        <w:ind w:firstLine="560"/>
        <w:rPr>
          <w:szCs w:val="28"/>
        </w:rPr>
      </w:pPr>
      <w:r>
        <w:rPr>
          <w:szCs w:val="28"/>
        </w:rPr>
        <w:t>1.矿山位置</w:t>
      </w:r>
    </w:p>
    <w:p w14:paraId="53CF131E">
      <w:pPr>
        <w:spacing w:line="520" w:lineRule="exact"/>
        <w:rPr>
          <w:rFonts w:hAnsi="Times New Roman"/>
        </w:rPr>
      </w:pPr>
      <w:r>
        <w:rPr>
          <w:rFonts w:hAnsi="Times New Roman"/>
        </w:rPr>
        <w:t>矿区位于</w:t>
      </w:r>
      <w:r>
        <w:rPr>
          <w:rFonts w:hint="eastAsia" w:hAnsi="Times New Roman"/>
        </w:rPr>
        <w:t>集安市清河镇二道村0.5km的东山附近，距离集安市39km,距离通化市40km。</w:t>
      </w:r>
      <w:r>
        <w:rPr>
          <w:rFonts w:hAnsi="Times New Roman"/>
        </w:rPr>
        <w:t>行政区划隶属于吉林省</w:t>
      </w:r>
      <w:bookmarkStart w:id="42" w:name="_Hlk97275143"/>
      <w:r>
        <w:rPr>
          <w:rFonts w:hint="eastAsia" w:hAnsi="Times New Roman"/>
        </w:rPr>
        <w:t>集安市清河镇</w:t>
      </w:r>
      <w:bookmarkEnd w:id="42"/>
      <w:r>
        <w:rPr>
          <w:rFonts w:hint="eastAsia" w:hAnsi="Times New Roman"/>
        </w:rPr>
        <w:t>二道村</w:t>
      </w:r>
      <w:r>
        <w:rPr>
          <w:rFonts w:hAnsi="Times New Roman"/>
        </w:rPr>
        <w:t>。</w:t>
      </w:r>
    </w:p>
    <w:p w14:paraId="48B7F75A">
      <w:pPr>
        <w:spacing w:line="520" w:lineRule="exact"/>
        <w:rPr>
          <w:rFonts w:hAnsi="Times New Roman"/>
        </w:rPr>
      </w:pPr>
      <w:r>
        <w:rPr>
          <w:rFonts w:hAnsi="Times New Roman"/>
        </w:rPr>
        <w:t>矿区中心点地理坐标（2000国家大地坐标系）：</w:t>
      </w:r>
    </w:p>
    <w:p w14:paraId="6E13BF6F">
      <w:pPr>
        <w:spacing w:line="520" w:lineRule="exact"/>
        <w:rPr>
          <w:rFonts w:hAnsi="Times New Roman"/>
        </w:rPr>
      </w:pPr>
      <w:r>
        <w:rPr>
          <w:rFonts w:hAnsi="Times New Roman"/>
        </w:rPr>
        <w:t>东经：</w:t>
      </w:r>
      <w:r>
        <w:rPr>
          <w:rFonts w:hint="eastAsia" w:hAnsi="Times New Roman"/>
        </w:rPr>
        <w:t>125°54′02″</w:t>
      </w:r>
      <w:r>
        <w:rPr>
          <w:rFonts w:hAnsi="Times New Roman"/>
        </w:rPr>
        <w:t>，北纬：</w:t>
      </w:r>
      <w:r>
        <w:rPr>
          <w:rFonts w:hAnsi="Times New Roman" w:eastAsia="Times New Roman"/>
          <w:spacing w:val="-10"/>
        </w:rPr>
        <w:t>41°23′34″</w:t>
      </w:r>
      <w:r>
        <w:rPr>
          <w:rFonts w:hAnsi="Times New Roman"/>
        </w:rPr>
        <w:t>。</w:t>
      </w:r>
    </w:p>
    <w:p w14:paraId="2908A38B">
      <w:pPr>
        <w:keepNext w:val="0"/>
        <w:keepLines w:val="0"/>
        <w:pageBreakBefore w:val="0"/>
        <w:widowControl w:val="0"/>
        <w:kinsoku/>
        <w:wordWrap/>
        <w:overflowPunct/>
        <w:topLinePunct w:val="0"/>
        <w:autoSpaceDE/>
        <w:autoSpaceDN/>
        <w:bidi w:val="0"/>
        <w:adjustRightInd w:val="0"/>
        <w:snapToGrid w:val="0"/>
        <w:spacing w:line="520" w:lineRule="atLeast"/>
        <w:textAlignment w:val="auto"/>
        <w:rPr>
          <w:rFonts w:hAnsi="Times New Roman"/>
        </w:rPr>
      </w:pPr>
      <w:r>
        <w:rPr>
          <w:rFonts w:hint="eastAsia" w:hAnsi="Times New Roman"/>
        </w:rPr>
        <w:t>矿山距离乡道0.5km,</w:t>
      </w:r>
      <w:r>
        <w:rPr>
          <w:rFonts w:hAnsi="Times New Roman"/>
        </w:rPr>
        <w:t>矿区与公路间有乡村水泥路及砂石路相连，交通方便。矿区周边500m范围内无医院，学校，文物古迹及旅游景点等小区域环境敏感目标。</w:t>
      </w:r>
    </w:p>
    <w:p w14:paraId="64930487">
      <w:pPr>
        <w:keepNext w:val="0"/>
        <w:keepLines w:val="0"/>
        <w:pageBreakBefore w:val="0"/>
        <w:widowControl w:val="0"/>
        <w:kinsoku/>
        <w:wordWrap/>
        <w:overflowPunct/>
        <w:topLinePunct w:val="0"/>
        <w:autoSpaceDE/>
        <w:autoSpaceDN/>
        <w:bidi w:val="0"/>
        <w:adjustRightInd w:val="0"/>
        <w:snapToGrid w:val="0"/>
        <w:spacing w:line="520" w:lineRule="atLeast"/>
        <w:ind w:firstLine="560"/>
        <w:textAlignment w:val="auto"/>
        <w:rPr>
          <w:kern w:val="11"/>
          <w:szCs w:val="28"/>
        </w:rPr>
      </w:pPr>
      <w:r>
        <w:rPr>
          <w:rFonts w:hint="eastAsia"/>
          <w:szCs w:val="28"/>
        </w:rPr>
        <w:t>（详见交通位置图）</w:t>
      </w:r>
      <w:r>
        <w:rPr>
          <w:szCs w:val="28"/>
        </w:rPr>
        <w:t>。</w:t>
      </w:r>
    </w:p>
    <w:p w14:paraId="77219F35">
      <w:pPr>
        <w:pStyle w:val="58"/>
        <w:spacing w:line="240" w:lineRule="auto"/>
        <w:ind w:firstLine="0" w:firstLineChars="0"/>
        <w:jc w:val="center"/>
        <w:rPr>
          <w:rFonts w:eastAsia="黑体"/>
          <w:b/>
          <w:bCs/>
          <w:sz w:val="24"/>
          <w:szCs w:val="28"/>
        </w:rPr>
      </w:pPr>
      <w:r>
        <w:drawing>
          <wp:inline distT="0" distB="0" distL="114300" distR="114300">
            <wp:extent cx="5642610" cy="4380865"/>
            <wp:effectExtent l="0" t="0" r="11430" b="8255"/>
            <wp:docPr id="1" name="图片 12"/>
            <wp:cNvGraphicFramePr/>
            <a:graphic xmlns:a="http://schemas.openxmlformats.org/drawingml/2006/main">
              <a:graphicData uri="http://schemas.openxmlformats.org/drawingml/2006/picture">
                <pic:pic xmlns:pic="http://schemas.openxmlformats.org/drawingml/2006/picture">
                  <pic:nvPicPr>
                    <pic:cNvPr id="1" name="图片 12"/>
                    <pic:cNvPicPr/>
                  </pic:nvPicPr>
                  <pic:blipFill>
                    <a:blip r:embed="rId24"/>
                    <a:stretch>
                      <a:fillRect/>
                    </a:stretch>
                  </pic:blipFill>
                  <pic:spPr>
                    <a:xfrm>
                      <a:off x="0" y="0"/>
                      <a:ext cx="5642610" cy="4380865"/>
                    </a:xfrm>
                    <a:prstGeom prst="rect">
                      <a:avLst/>
                    </a:prstGeom>
                    <a:noFill/>
                    <a:ln>
                      <a:noFill/>
                    </a:ln>
                  </pic:spPr>
                </pic:pic>
              </a:graphicData>
            </a:graphic>
          </wp:inline>
        </w:drawing>
      </w:r>
    </w:p>
    <w:p w14:paraId="5FE5B13C">
      <w:pPr>
        <w:pStyle w:val="66"/>
        <w:rPr>
          <w:rStyle w:val="67"/>
          <w:rFonts w:hint="eastAsia"/>
        </w:rPr>
      </w:pPr>
      <w:r>
        <w:t>图1-1矿区交通位置图</w:t>
      </w:r>
    </w:p>
    <w:p w14:paraId="09CD23BE">
      <w:pPr>
        <w:ind w:firstLine="560"/>
        <w:rPr>
          <w:lang w:val="zh-CN"/>
        </w:rPr>
      </w:pPr>
      <w:r>
        <w:rPr>
          <w:lang w:val="zh-CN"/>
        </w:rPr>
        <w:t>2.相邻矿山</w:t>
      </w:r>
    </w:p>
    <w:p w14:paraId="299559D7">
      <w:pPr>
        <w:ind w:firstLine="560"/>
        <w:rPr>
          <w:rFonts w:hint="default" w:ascii="Times New Roman" w:hAnsi="Times New Roman" w:cs="Times New Roman"/>
        </w:rPr>
      </w:pPr>
      <w:r>
        <w:rPr>
          <w:rFonts w:hint="default" w:ascii="Times New Roman" w:hAnsi="Times New Roman" w:cs="Times New Roman"/>
        </w:rPr>
        <w:t>矿区相邻</w:t>
      </w:r>
      <w:r>
        <w:rPr>
          <w:rFonts w:hint="default" w:ascii="Times New Roman" w:hAnsi="Times New Roman" w:cs="Times New Roman"/>
          <w:lang w:eastAsia="zh-CN"/>
        </w:rPr>
        <w:t>停产矿山</w:t>
      </w:r>
      <w:r>
        <w:rPr>
          <w:rFonts w:hint="default" w:ascii="Times New Roman" w:hAnsi="Times New Roman" w:cs="Times New Roman"/>
        </w:rPr>
        <w:t>为</w:t>
      </w:r>
      <w:r>
        <w:rPr>
          <w:rFonts w:hint="default" w:ascii="Times New Roman" w:hAnsi="Times New Roman" w:cs="Times New Roman"/>
          <w:lang w:eastAsia="zh-CN"/>
        </w:rPr>
        <w:t>吉林省集安市清河镇二道村石墨矿</w:t>
      </w:r>
      <w:r>
        <w:rPr>
          <w:rFonts w:hint="default" w:ascii="Times New Roman" w:hAnsi="Times New Roman" w:cs="Times New Roman"/>
        </w:rPr>
        <w:t>，</w:t>
      </w:r>
      <w:r>
        <w:rPr>
          <w:rFonts w:hint="default" w:ascii="Times New Roman" w:hAnsi="Times New Roman" w:cs="Times New Roman"/>
          <w:lang w:val="en-US" w:eastAsia="zh-CN"/>
        </w:rPr>
        <w:t>为探矿保留阶段，许可证号：T000002023097048001450,探矿</w:t>
      </w:r>
      <w:r>
        <w:rPr>
          <w:rFonts w:hint="default" w:ascii="Times New Roman" w:hAnsi="Times New Roman" w:cs="Times New Roman"/>
        </w:rPr>
        <w:t>矿权人：</w:t>
      </w:r>
      <w:r>
        <w:rPr>
          <w:rFonts w:hint="default" w:ascii="Times New Roman" w:hAnsi="Times New Roman" w:cs="Times New Roman"/>
          <w:lang w:val="en-US" w:eastAsia="zh-CN"/>
        </w:rPr>
        <w:t>吉林省企旭贸易有限公司</w:t>
      </w:r>
      <w:r>
        <w:rPr>
          <w:rFonts w:hint="default" w:ascii="Times New Roman" w:hAnsi="Times New Roman" w:cs="Times New Roman"/>
        </w:rPr>
        <w:t>，</w:t>
      </w:r>
      <w:r>
        <w:rPr>
          <w:rFonts w:hint="default" w:ascii="Times New Roman" w:hAnsi="Times New Roman" w:cs="Times New Roman"/>
          <w:lang w:val="en-US" w:eastAsia="zh-CN"/>
        </w:rPr>
        <w:t>登记勘查</w:t>
      </w:r>
      <w:r>
        <w:rPr>
          <w:rFonts w:hint="default" w:ascii="Times New Roman" w:hAnsi="Times New Roman" w:cs="Times New Roman"/>
        </w:rPr>
        <w:t>矿种为</w:t>
      </w:r>
      <w:r>
        <w:rPr>
          <w:rFonts w:hint="default" w:ascii="Times New Roman" w:hAnsi="Times New Roman" w:cs="Times New Roman"/>
          <w:lang w:val="en-US" w:eastAsia="zh-CN"/>
        </w:rPr>
        <w:t>石墨</w:t>
      </w:r>
      <w:r>
        <w:rPr>
          <w:rFonts w:hint="default" w:ascii="Times New Roman" w:hAnsi="Times New Roman" w:cs="Times New Roman"/>
        </w:rPr>
        <w:t>，有效期限：有效期限：202</w:t>
      </w:r>
      <w:r>
        <w:rPr>
          <w:rFonts w:hint="default" w:ascii="Times New Roman" w:hAnsi="Times New Roman" w:cs="Times New Roman"/>
          <w:lang w:val="en-US" w:eastAsia="zh-CN"/>
        </w:rPr>
        <w:t>3</w:t>
      </w: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w:t>
      </w:r>
      <w:r>
        <w:rPr>
          <w:rFonts w:hint="default" w:ascii="Times New Roman" w:hAnsi="Times New Roman" w:cs="Times New Roman"/>
          <w:lang w:val="en-US" w:eastAsia="zh-CN"/>
        </w:rPr>
        <w:t>21</w:t>
      </w:r>
      <w:r>
        <w:rPr>
          <w:rFonts w:hint="default" w:ascii="Times New Roman" w:hAnsi="Times New Roman" w:cs="Times New Roman"/>
        </w:rPr>
        <w:t>至20</w:t>
      </w:r>
      <w:r>
        <w:rPr>
          <w:rFonts w:hint="default" w:ascii="Times New Roman" w:hAnsi="Times New Roman" w:cs="Times New Roman"/>
          <w:lang w:val="en-US" w:eastAsia="zh-CN"/>
        </w:rPr>
        <w:t>28</w:t>
      </w: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w:t>
      </w:r>
      <w:r>
        <w:rPr>
          <w:rFonts w:hint="default" w:ascii="Times New Roman" w:hAnsi="Times New Roman" w:cs="Times New Roman"/>
          <w:lang w:val="en-US" w:eastAsia="zh-CN"/>
        </w:rPr>
        <w:t>20</w:t>
      </w:r>
      <w:r>
        <w:rPr>
          <w:rFonts w:hint="default" w:ascii="Times New Roman" w:hAnsi="Times New Roman" w:cs="Times New Roman"/>
        </w:rPr>
        <w:t>。详见相邻矿山位置关系图。</w:t>
      </w:r>
    </w:p>
    <w:p w14:paraId="7A3624A8">
      <w:pPr>
        <w:spacing w:line="240" w:lineRule="auto"/>
        <w:ind w:firstLine="0" w:firstLineChars="0"/>
        <w:jc w:val="center"/>
        <w:rPr>
          <w:rFonts w:hint="eastAsia" w:ascii="仿宋_GB2312" w:hAnsi="仿宋_GB2312" w:eastAsia="仿宋_GB2312" w:cs="仿宋_GB2312"/>
          <w:szCs w:val="28"/>
        </w:rPr>
      </w:pPr>
      <w:r>
        <w:rPr>
          <w:position w:val="-148"/>
        </w:rPr>
        <w:drawing>
          <wp:inline distT="0" distB="0" distL="0" distR="0">
            <wp:extent cx="3763645" cy="4716145"/>
            <wp:effectExtent l="0" t="0" r="635" b="825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5"/>
                    <a:stretch>
                      <a:fillRect/>
                    </a:stretch>
                  </pic:blipFill>
                  <pic:spPr>
                    <a:xfrm>
                      <a:off x="0" y="0"/>
                      <a:ext cx="3764279" cy="4716779"/>
                    </a:xfrm>
                    <a:prstGeom prst="rect">
                      <a:avLst/>
                    </a:prstGeom>
                  </pic:spPr>
                </pic:pic>
              </a:graphicData>
            </a:graphic>
          </wp:inline>
        </w:drawing>
      </w:r>
    </w:p>
    <w:p w14:paraId="0A293D91">
      <w:pPr>
        <w:pStyle w:val="66"/>
        <w:rPr>
          <w:rFonts w:hint="eastAsia"/>
        </w:rPr>
      </w:pPr>
      <w:r>
        <w:rPr>
          <w:rFonts w:hint="eastAsia"/>
        </w:rPr>
        <w:t>图1-2相邻</w:t>
      </w:r>
      <w:r>
        <w:rPr>
          <w:rFonts w:hint="eastAsia"/>
          <w:lang w:eastAsia="zh-CN"/>
        </w:rPr>
        <w:t>矿山</w:t>
      </w:r>
      <w:r>
        <w:rPr>
          <w:rFonts w:hint="eastAsia"/>
        </w:rPr>
        <w:t>位置关系图</w:t>
      </w:r>
    </w:p>
    <w:p w14:paraId="1FF69CB9">
      <w:pPr>
        <w:pStyle w:val="4"/>
        <w:ind w:firstLine="602"/>
        <w:rPr>
          <w:rFonts w:ascii="Times New Roman" w:hAnsi="Times New Roman"/>
        </w:rPr>
      </w:pPr>
      <w:bookmarkStart w:id="43" w:name="_Toc215692434"/>
      <w:bookmarkStart w:id="44" w:name="_Toc211790730"/>
      <w:bookmarkStart w:id="45" w:name="_Toc219050272"/>
      <w:r>
        <w:rPr>
          <w:rFonts w:ascii="Times New Roman" w:hAnsi="Times New Roman"/>
        </w:rPr>
        <w:t>三、</w:t>
      </w:r>
      <w:bookmarkStart w:id="46" w:name="OLE_LINK8"/>
      <w:r>
        <w:rPr>
          <w:rFonts w:ascii="Times New Roman" w:hAnsi="Times New Roman"/>
        </w:rPr>
        <w:t>矿山开采历史</w:t>
      </w:r>
      <w:bookmarkEnd w:id="46"/>
      <w:r>
        <w:rPr>
          <w:rFonts w:ascii="Times New Roman" w:hAnsi="Times New Roman"/>
        </w:rPr>
        <w:t>及现状</w:t>
      </w:r>
      <w:bookmarkEnd w:id="43"/>
      <w:bookmarkEnd w:id="44"/>
      <w:bookmarkEnd w:id="45"/>
    </w:p>
    <w:p w14:paraId="52E726EB">
      <w:pPr>
        <w:pStyle w:val="5"/>
        <w:ind w:firstLine="562"/>
      </w:pPr>
      <w:r>
        <w:rPr>
          <w:rFonts w:hint="eastAsia"/>
        </w:rPr>
        <w:t>（一）</w:t>
      </w:r>
      <w:r>
        <w:t>矿山开采历史</w:t>
      </w:r>
    </w:p>
    <w:p w14:paraId="1FB42543">
      <w:pPr>
        <w:spacing w:before="293" w:line="411" w:lineRule="auto"/>
        <w:ind w:left="1" w:right="6" w:firstLine="562"/>
        <w:rPr>
          <w:rFonts w:hint="default" w:ascii="Times New Roman" w:hAnsi="Times New Roman" w:eastAsia="宋体" w:cs="Times New Roman"/>
          <w:sz w:val="28"/>
          <w:szCs w:val="28"/>
        </w:rPr>
      </w:pPr>
      <w:r>
        <w:rPr>
          <w:rFonts w:hint="default" w:ascii="Times New Roman" w:hAnsi="Times New Roman" w:eastAsia="宋体" w:cs="Times New Roman"/>
          <w:spacing w:val="1"/>
          <w:sz w:val="28"/>
          <w:szCs w:val="28"/>
        </w:rPr>
        <w:t>本矿山自日伪时期开始开采，1956年通化县工业科进行少量开采，1966年</w:t>
      </w:r>
      <w:r>
        <w:rPr>
          <w:rFonts w:hint="default" w:ascii="Times New Roman" w:hAnsi="Times New Roman" w:eastAsia="宋体" w:cs="Times New Roman"/>
          <w:spacing w:val="-1"/>
          <w:sz w:val="28"/>
          <w:szCs w:val="28"/>
        </w:rPr>
        <w:t>通化市雕刻社进行了开采。2005年至今矿山一直处于停产状态。</w:t>
      </w:r>
    </w:p>
    <w:p w14:paraId="056914E3">
      <w:pPr>
        <w:spacing w:before="4" w:line="411" w:lineRule="auto"/>
        <w:ind w:right="6" w:firstLine="566"/>
        <w:jc w:val="both"/>
        <w:rPr>
          <w:rFonts w:hint="default" w:ascii="Times New Roman" w:hAnsi="Times New Roman" w:eastAsia="宋体" w:cs="Times New Roman"/>
          <w:sz w:val="28"/>
          <w:szCs w:val="28"/>
        </w:rPr>
      </w:pPr>
      <w:r>
        <w:rPr>
          <w:rFonts w:hint="default" w:ascii="Times New Roman" w:hAnsi="Times New Roman" w:eastAsia="宋体" w:cs="Times New Roman"/>
          <w:spacing w:val="-4"/>
          <w:sz w:val="28"/>
          <w:szCs w:val="28"/>
        </w:rPr>
        <w:t>2013年1月26日营口环球矿业有限公司首次取得集安市清河镇二道滑石矿</w:t>
      </w:r>
      <w:r>
        <w:rPr>
          <w:rFonts w:hint="default" w:ascii="Times New Roman" w:hAnsi="Times New Roman" w:eastAsia="宋体" w:cs="Times New Roman"/>
          <w:spacing w:val="-2"/>
          <w:sz w:val="28"/>
          <w:szCs w:val="28"/>
        </w:rPr>
        <w:t>采矿权。2021年集安市清河镇二道滑石矿采矿权人变更为集安市中道矿业有限公</w:t>
      </w:r>
      <w:r>
        <w:rPr>
          <w:rFonts w:hint="default" w:ascii="Times New Roman" w:hAnsi="Times New Roman" w:eastAsia="宋体" w:cs="Times New Roman"/>
          <w:spacing w:val="1"/>
          <w:sz w:val="28"/>
          <w:szCs w:val="28"/>
        </w:rPr>
        <w:t>司，并于2024年延续该采矿权。在此期间矿山并未进行过采矿活动，根据吉林</w:t>
      </w:r>
      <w:r>
        <w:rPr>
          <w:rFonts w:hint="default" w:ascii="Times New Roman" w:hAnsi="Times New Roman" w:eastAsia="宋体" w:cs="Times New Roman"/>
          <w:spacing w:val="-3"/>
          <w:sz w:val="28"/>
          <w:szCs w:val="28"/>
        </w:rPr>
        <w:t>省矿产资源储量数据库记录，矿山截止20</w:t>
      </w:r>
      <w:r>
        <w:rPr>
          <w:rFonts w:hint="default" w:ascii="Times New Roman" w:hAnsi="Times New Roman" w:eastAsia="宋体" w:cs="Times New Roman"/>
          <w:spacing w:val="-4"/>
          <w:sz w:val="28"/>
          <w:szCs w:val="28"/>
        </w:rPr>
        <w:t>24年10月，采矿证内剩余保有资源储</w:t>
      </w:r>
      <w:r>
        <w:rPr>
          <w:rFonts w:hint="default" w:ascii="Times New Roman" w:hAnsi="Times New Roman" w:eastAsia="宋体" w:cs="Times New Roman"/>
          <w:spacing w:val="-6"/>
          <w:sz w:val="28"/>
          <w:szCs w:val="28"/>
        </w:rPr>
        <w:t>量21kt（与2005年核实报告相同</w:t>
      </w:r>
      <w:r>
        <w:rPr>
          <w:rFonts w:hint="default" w:ascii="Times New Roman" w:hAnsi="Times New Roman" w:eastAsia="宋体" w:cs="Times New Roman"/>
          <w:spacing w:val="-46"/>
          <w:sz w:val="28"/>
          <w:szCs w:val="28"/>
        </w:rPr>
        <w:t>），</w:t>
      </w:r>
      <w:r>
        <w:rPr>
          <w:rFonts w:hint="default" w:ascii="Times New Roman" w:hAnsi="Times New Roman" w:eastAsia="宋体" w:cs="Times New Roman"/>
          <w:spacing w:val="-6"/>
          <w:sz w:val="28"/>
          <w:szCs w:val="28"/>
        </w:rPr>
        <w:t>其中控</w:t>
      </w:r>
      <w:r>
        <w:rPr>
          <w:rFonts w:hint="default" w:ascii="Times New Roman" w:hAnsi="Times New Roman" w:eastAsia="宋体" w:cs="Times New Roman"/>
          <w:spacing w:val="-7"/>
          <w:sz w:val="28"/>
          <w:szCs w:val="28"/>
        </w:rPr>
        <w:t>制资源量7kt，推断资源量14kt</w:t>
      </w:r>
      <w:r>
        <w:rPr>
          <w:rFonts w:hint="default" w:ascii="Times New Roman" w:hAnsi="Times New Roman" w:eastAsia="宋体" w:cs="Times New Roman"/>
          <w:spacing w:val="-2"/>
          <w:sz w:val="28"/>
          <w:szCs w:val="28"/>
        </w:rPr>
        <w:t>。</w:t>
      </w:r>
    </w:p>
    <w:p w14:paraId="73C26624">
      <w:pPr>
        <w:pStyle w:val="5"/>
        <w:ind w:firstLine="562"/>
      </w:pPr>
      <w:r>
        <w:rPr>
          <w:rFonts w:hint="eastAsia"/>
        </w:rPr>
        <w:t>（二）</w:t>
      </w:r>
      <w:r>
        <w:t>矿山开采现状</w:t>
      </w:r>
    </w:p>
    <w:p w14:paraId="6AD3EBFB">
      <w:pPr>
        <w:spacing w:before="162" w:line="335" w:lineRule="auto"/>
        <w:ind w:left="6" w:right="8" w:firstLine="554"/>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矿山经历年开采形成了一个露天采坑，三个巷道（548m中段、533m中段、</w:t>
      </w:r>
      <w:r>
        <w:rPr>
          <w:rFonts w:hint="default" w:ascii="Times New Roman" w:hAnsi="Times New Roman" w:eastAsia="宋体" w:cs="Times New Roman"/>
          <w:spacing w:val="-10"/>
          <w:sz w:val="28"/>
          <w:szCs w:val="28"/>
        </w:rPr>
        <w:t>520m中段）和一个日本开采残留坑口，都是2005年之前形成的，现仅548m、533m</w:t>
      </w:r>
    </w:p>
    <w:p w14:paraId="190606DB">
      <w:pPr>
        <w:spacing w:before="56" w:line="359" w:lineRule="auto"/>
        <w:ind w:left="0" w:leftChars="0" w:right="76" w:firstLine="0" w:firstLineChars="0"/>
        <w:rPr>
          <w:rFonts w:hint="default" w:ascii="Times New Roman" w:hAnsi="Times New Roman" w:eastAsia="宋体" w:cs="Times New Roman"/>
          <w:sz w:val="28"/>
          <w:szCs w:val="28"/>
        </w:rPr>
      </w:pPr>
      <w:r>
        <w:rPr>
          <w:rFonts w:hint="default" w:ascii="Times New Roman" w:hAnsi="Times New Roman" w:eastAsia="宋体" w:cs="Times New Roman"/>
          <w:spacing w:val="-4"/>
          <w:sz w:val="28"/>
          <w:szCs w:val="28"/>
        </w:rPr>
        <w:t>中段部分巷道完好，其余坍塌。</w:t>
      </w:r>
      <w:r>
        <w:rPr>
          <w:rFonts w:hint="eastAsia" w:cs="Times New Roman"/>
          <w:spacing w:val="-4"/>
          <w:sz w:val="28"/>
          <w:szCs w:val="28"/>
          <w:lang w:val="en-US" w:eastAsia="zh-CN"/>
        </w:rPr>
        <w:t>露天采场已经停产20多年，目前已经自然恢复。</w:t>
      </w:r>
      <w:r>
        <w:rPr>
          <w:rFonts w:hint="default" w:ascii="Times New Roman" w:hAnsi="Times New Roman" w:eastAsia="宋体" w:cs="Times New Roman"/>
          <w:spacing w:val="-4"/>
          <w:sz w:val="28"/>
          <w:szCs w:val="28"/>
        </w:rPr>
        <w:t>2005年</w:t>
      </w:r>
      <w:r>
        <w:rPr>
          <w:rFonts w:hint="default" w:ascii="Times New Roman" w:hAnsi="Times New Roman" w:eastAsia="宋体" w:cs="Times New Roman"/>
          <w:spacing w:val="-5"/>
          <w:sz w:val="28"/>
          <w:szCs w:val="28"/>
        </w:rPr>
        <w:t>之前矿山没有开发利用方案，也没有采矿</w:t>
      </w:r>
      <w:r>
        <w:rPr>
          <w:rFonts w:hint="default" w:ascii="Times New Roman" w:hAnsi="Times New Roman" w:eastAsia="宋体" w:cs="Times New Roman"/>
          <w:sz w:val="28"/>
          <w:szCs w:val="28"/>
        </w:rPr>
        <w:t>方法、开采和运输方式、通风系统、坑内排水</w:t>
      </w:r>
      <w:r>
        <w:rPr>
          <w:rFonts w:hint="default" w:ascii="Times New Roman" w:hAnsi="Times New Roman" w:eastAsia="宋体" w:cs="Times New Roman"/>
          <w:spacing w:val="-1"/>
          <w:sz w:val="28"/>
          <w:szCs w:val="28"/>
        </w:rPr>
        <w:t>及坑内运输的任何记录。</w:t>
      </w:r>
    </w:p>
    <w:p w14:paraId="7963DFE7">
      <w:pPr>
        <w:spacing w:before="6" w:line="358" w:lineRule="auto"/>
        <w:ind w:left="2" w:right="76" w:firstLine="563"/>
        <w:jc w:val="both"/>
        <w:rPr>
          <w:rFonts w:hint="default" w:ascii="Times New Roman" w:hAnsi="Times New Roman" w:eastAsia="宋体" w:cs="Times New Roman"/>
          <w:sz w:val="28"/>
          <w:szCs w:val="28"/>
        </w:rPr>
      </w:pPr>
      <w:r>
        <w:rPr>
          <w:rFonts w:hint="default" w:ascii="Times New Roman" w:hAnsi="Times New Roman" w:eastAsia="宋体" w:cs="Times New Roman"/>
          <w:spacing w:val="-3"/>
          <w:sz w:val="28"/>
          <w:szCs w:val="28"/>
        </w:rPr>
        <w:t>2005年6月吉林省通化铜镍公司编制的《吉林省集安市二道滑石矿开发利用</w:t>
      </w:r>
      <w:r>
        <w:rPr>
          <w:rFonts w:hint="default" w:ascii="Times New Roman" w:hAnsi="Times New Roman" w:eastAsia="宋体" w:cs="Times New Roman"/>
          <w:spacing w:val="-2"/>
          <w:sz w:val="28"/>
          <w:szCs w:val="28"/>
        </w:rPr>
        <w:t>方案》，采矿方法采用浅钻留矿法回采；开采方式为坑采；开拓方式采用平硐开拓，坑外采用汽车运输；采用多级站通风，矿区设主扇一台，各作业点采用自然或局扇通风；坑内排水靠自流排出坑外；中段水平运输，采用人工推车将矿石运出坑外。2005年至今矿山一直没有开采。</w:t>
      </w:r>
    </w:p>
    <w:p w14:paraId="7FDD7A92">
      <w:pPr>
        <w:spacing w:before="3" w:line="359" w:lineRule="auto"/>
        <w:ind w:firstLine="562"/>
        <w:jc w:val="both"/>
        <w:rPr>
          <w:rFonts w:hint="default" w:ascii="Times New Roman" w:hAnsi="Times New Roman" w:eastAsia="宋体" w:cs="Times New Roman"/>
          <w:spacing w:val="-2"/>
          <w:sz w:val="28"/>
          <w:szCs w:val="28"/>
        </w:rPr>
      </w:pPr>
      <w:r>
        <w:rPr>
          <w:rFonts w:hint="default" w:ascii="Times New Roman" w:hAnsi="Times New Roman" w:eastAsia="宋体" w:cs="Times New Roman"/>
          <w:sz w:val="28"/>
          <w:szCs w:val="28"/>
        </w:rPr>
        <w:t>根据《吉林省集安市清河镇二道滑石矿资源储量核实及深部（524米标高以</w:t>
      </w:r>
      <w:r>
        <w:rPr>
          <w:rFonts w:hint="default" w:ascii="Times New Roman" w:hAnsi="Times New Roman" w:eastAsia="宋体" w:cs="Times New Roman"/>
          <w:spacing w:val="-4"/>
          <w:sz w:val="28"/>
          <w:szCs w:val="28"/>
        </w:rPr>
        <w:t>下）和外围详查报告》（评审文号：吉储核字[2025]11号，备案文号：吉自然资</w:t>
      </w:r>
      <w:r>
        <w:rPr>
          <w:rFonts w:hint="default" w:ascii="Times New Roman" w:hAnsi="Times New Roman" w:eastAsia="宋体" w:cs="Times New Roman"/>
          <w:spacing w:val="-7"/>
          <w:sz w:val="28"/>
          <w:szCs w:val="28"/>
        </w:rPr>
        <w:t>储备字[2025]31号</w:t>
      </w:r>
      <w:r>
        <w:rPr>
          <w:rFonts w:hint="default" w:ascii="Times New Roman" w:hAnsi="Times New Roman" w:eastAsia="宋体" w:cs="Times New Roman"/>
          <w:spacing w:val="-62"/>
          <w:w w:val="84"/>
          <w:sz w:val="28"/>
          <w:szCs w:val="28"/>
        </w:rPr>
        <w:t>），</w:t>
      </w:r>
      <w:r>
        <w:rPr>
          <w:rFonts w:hint="default" w:ascii="Times New Roman" w:hAnsi="Times New Roman" w:eastAsia="宋体" w:cs="Times New Roman"/>
          <w:spacing w:val="-7"/>
          <w:sz w:val="28"/>
          <w:szCs w:val="28"/>
        </w:rPr>
        <w:t>矿山截止2024年10月，采矿证内剩余保有资源储量21kt，</w:t>
      </w:r>
      <w:r>
        <w:rPr>
          <w:rFonts w:hint="default" w:ascii="Times New Roman" w:hAnsi="Times New Roman" w:eastAsia="宋体" w:cs="Times New Roman"/>
          <w:spacing w:val="-9"/>
          <w:sz w:val="28"/>
          <w:szCs w:val="28"/>
        </w:rPr>
        <w:t>其中控制资源量7kt，推断资源量14kt（数据来源于吉林省矿产资源储量数据库</w:t>
      </w:r>
      <w:r>
        <w:rPr>
          <w:rFonts w:hint="default" w:ascii="Times New Roman" w:hAnsi="Times New Roman" w:eastAsia="宋体" w:cs="Times New Roman"/>
          <w:spacing w:val="-65"/>
          <w:w w:val="87"/>
          <w:sz w:val="28"/>
          <w:szCs w:val="28"/>
        </w:rPr>
        <w:t>），</w:t>
      </w:r>
      <w:r>
        <w:rPr>
          <w:rFonts w:hint="default" w:ascii="Times New Roman" w:hAnsi="Times New Roman" w:eastAsia="宋体" w:cs="Times New Roman"/>
          <w:spacing w:val="1"/>
          <w:sz w:val="28"/>
          <w:szCs w:val="28"/>
        </w:rPr>
        <w:t>与2005年《吉林省集安市二道阳岔滑石矿资源储量复核报告》（评审文号：通储审字[2005]8号，备案文号：吉国土资储备字[2005]111号）备案资源储量相</w:t>
      </w:r>
      <w:r>
        <w:rPr>
          <w:rFonts w:hint="default" w:ascii="Times New Roman" w:hAnsi="Times New Roman" w:eastAsia="宋体" w:cs="Times New Roman"/>
          <w:spacing w:val="-5"/>
          <w:sz w:val="28"/>
          <w:szCs w:val="28"/>
        </w:rPr>
        <w:t>同。2005年至2024年10月资源储量未发</w:t>
      </w:r>
      <w:r>
        <w:rPr>
          <w:rFonts w:hint="default" w:ascii="Times New Roman" w:hAnsi="Times New Roman" w:eastAsia="宋体" w:cs="Times New Roman"/>
          <w:spacing w:val="-6"/>
          <w:sz w:val="28"/>
          <w:szCs w:val="28"/>
        </w:rPr>
        <w:t>生变化。《吉林省集安市清河镇二道滑</w:t>
      </w:r>
      <w:r>
        <w:rPr>
          <w:rFonts w:hint="default" w:ascii="Times New Roman" w:hAnsi="Times New Roman" w:eastAsia="宋体" w:cs="Times New Roman"/>
          <w:sz w:val="28"/>
          <w:szCs w:val="28"/>
        </w:rPr>
        <w:t>石矿资源储量核实及深部（524米标高以下）和外围详查报告》（评审文号：吉</w:t>
      </w:r>
      <w:r>
        <w:rPr>
          <w:rFonts w:hint="default" w:ascii="Times New Roman" w:hAnsi="Times New Roman" w:eastAsia="宋体" w:cs="Times New Roman"/>
          <w:spacing w:val="1"/>
          <w:sz w:val="28"/>
          <w:szCs w:val="28"/>
        </w:rPr>
        <w:t>储核字[2025]11号，备案文号：吉自然资储备字[2025]31号）与《吉林省集安</w:t>
      </w:r>
      <w:r>
        <w:rPr>
          <w:rFonts w:hint="default" w:ascii="Times New Roman" w:hAnsi="Times New Roman" w:eastAsia="宋体" w:cs="Times New Roman"/>
          <w:sz w:val="28"/>
          <w:szCs w:val="28"/>
        </w:rPr>
        <w:t>市二道阳岔滑石矿资源储量复核报告》（评审文号：通储审字[2005</w:t>
      </w:r>
      <w:r>
        <w:rPr>
          <w:rFonts w:hint="default" w:ascii="Times New Roman" w:hAnsi="Times New Roman" w:eastAsia="宋体" w:cs="Times New Roman"/>
          <w:spacing w:val="-1"/>
          <w:sz w:val="28"/>
          <w:szCs w:val="28"/>
        </w:rPr>
        <w:t>]8号，备案</w:t>
      </w:r>
      <w:r>
        <w:rPr>
          <w:rFonts w:hint="default" w:ascii="Times New Roman" w:hAnsi="Times New Roman" w:eastAsia="宋体" w:cs="Times New Roman"/>
          <w:spacing w:val="1"/>
          <w:sz w:val="28"/>
          <w:szCs w:val="28"/>
        </w:rPr>
        <w:t>文号：吉国土资储备字[2005]111号）对比，保有资源量增加442</w:t>
      </w:r>
      <w:r>
        <w:rPr>
          <w:rFonts w:hint="default" w:ascii="Times New Roman" w:hAnsi="Times New Roman" w:eastAsia="宋体" w:cs="Times New Roman"/>
          <w:sz w:val="28"/>
          <w:szCs w:val="28"/>
        </w:rPr>
        <w:t>kt</w:t>
      </w:r>
      <w:r>
        <w:rPr>
          <w:rFonts w:hint="default" w:ascii="Times New Roman" w:hAnsi="Times New Roman" w:eastAsia="宋体" w:cs="Times New Roman"/>
          <w:spacing w:val="1"/>
          <w:sz w:val="28"/>
          <w:szCs w:val="28"/>
        </w:rPr>
        <w:t>，其中控制</w:t>
      </w:r>
      <w:r>
        <w:rPr>
          <w:rFonts w:hint="default" w:ascii="Times New Roman" w:hAnsi="Times New Roman" w:eastAsia="宋体" w:cs="Times New Roman"/>
          <w:spacing w:val="-2"/>
          <w:sz w:val="28"/>
          <w:szCs w:val="28"/>
        </w:rPr>
        <w:t>资源量（KZ）增加163kt，推断资源量(TD)增加279kt。</w:t>
      </w:r>
    </w:p>
    <w:p w14:paraId="41B1B2C8">
      <w:pPr>
        <w:spacing w:before="3" w:line="359" w:lineRule="auto"/>
        <w:ind w:firstLine="562"/>
        <w:jc w:val="both"/>
        <w:rPr>
          <w:rFonts w:hint="default" w:ascii="Times New Roman" w:hAnsi="Times New Roman" w:eastAsia="宋体" w:cs="Times New Roman"/>
          <w:spacing w:val="-2"/>
          <w:sz w:val="28"/>
          <w:szCs w:val="28"/>
          <w:lang w:val="en-US" w:eastAsia="zh-CN"/>
        </w:rPr>
      </w:pPr>
      <w:r>
        <w:rPr>
          <w:rFonts w:hint="eastAsia" w:cs="Times New Roman"/>
          <w:spacing w:val="-2"/>
          <w:sz w:val="28"/>
          <w:szCs w:val="28"/>
          <w:lang w:val="en-US" w:eastAsia="zh-CN"/>
        </w:rPr>
        <w:t>根据2025年12月《吉林省集安市清河镇二道话实况开采方案》，生产规模为5万吨/年，地下开采，开采方式标高为+581m-+352m。</w:t>
      </w:r>
    </w:p>
    <w:p w14:paraId="1932700D">
      <w:pPr>
        <w:ind w:firstLine="560"/>
        <w:jc w:val="both"/>
        <w:rPr>
          <w:rFonts w:hint="default" w:ascii="Times New Roman" w:hAnsi="Times New Roman" w:eastAsia="宋体" w:cs="Times New Roman"/>
          <w:sz w:val="28"/>
          <w:szCs w:val="28"/>
        </w:rPr>
      </w:pPr>
      <w:r>
        <w:rPr>
          <w:rFonts w:hint="default" w:ascii="Times New Roman" w:hAnsi="Times New Roman" w:eastAsia="宋体" w:cs="Times New Roman"/>
          <w:spacing w:val="-2"/>
          <w:sz w:val="28"/>
          <w:szCs w:val="28"/>
        </w:rPr>
        <w:t>未来矿山申请开采区域平面范围不变，开采最低标高降至352m，开采方式由</w:t>
      </w:r>
      <w:r>
        <w:rPr>
          <w:rFonts w:hint="default" w:ascii="Times New Roman" w:hAnsi="Times New Roman" w:eastAsia="宋体" w:cs="Times New Roman"/>
          <w:sz w:val="28"/>
          <w:szCs w:val="28"/>
        </w:rPr>
        <w:t>露天/地下采更改为地下开采，生产规模由0.2万吨/年改为5万吨/年。</w:t>
      </w:r>
    </w:p>
    <w:p w14:paraId="1045F1F0">
      <w:pPr>
        <w:ind w:firstLine="560"/>
        <w:jc w:val="both"/>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目前矿山仅有前期的工业广场和</w:t>
      </w:r>
      <w:r>
        <w:rPr>
          <w:rFonts w:hint="default" w:ascii="Times New Roman" w:hAnsi="Times New Roman" w:cs="Times New Roman"/>
          <w:sz w:val="28"/>
          <w:szCs w:val="28"/>
          <w:lang w:val="en-US" w:eastAsia="zh-CN"/>
        </w:rPr>
        <w:t>三处废弃平硐</w:t>
      </w:r>
      <w:r>
        <w:rPr>
          <w:rFonts w:hint="default" w:ascii="Times New Roman" w:hAnsi="Times New Roman" w:eastAsia="宋体" w:cs="Times New Roman"/>
          <w:sz w:val="28"/>
          <w:szCs w:val="28"/>
          <w:lang w:val="en-US" w:eastAsia="zh-CN"/>
        </w:rPr>
        <w:t>，占地面积</w:t>
      </w:r>
      <w:r>
        <w:rPr>
          <w:rFonts w:hint="eastAsia" w:cs="Times New Roman"/>
          <w:sz w:val="28"/>
          <w:szCs w:val="28"/>
          <w:lang w:val="en-US" w:eastAsia="zh-CN"/>
        </w:rPr>
        <w:t>0.3608</w:t>
      </w:r>
      <w:r>
        <w:rPr>
          <w:rFonts w:hint="default" w:ascii="Times New Roman" w:hAnsi="Times New Roman" w:eastAsia="宋体" w:cs="Times New Roman"/>
          <w:sz w:val="28"/>
          <w:szCs w:val="28"/>
          <w:lang w:val="en-US" w:eastAsia="zh-CN"/>
        </w:rPr>
        <w:t>hm</w:t>
      </w:r>
      <w:r>
        <w:rPr>
          <w:rFonts w:hint="default" w:ascii="Times New Roman" w:hAnsi="Times New Roman" w:eastAsia="宋体" w:cs="Times New Roman"/>
          <w:sz w:val="28"/>
          <w:szCs w:val="28"/>
          <w:vertAlign w:val="superscript"/>
          <w:lang w:val="en-US" w:eastAsia="zh-CN"/>
        </w:rPr>
        <w:t>2</w:t>
      </w:r>
      <w:r>
        <w:rPr>
          <w:rFonts w:hint="default" w:ascii="Times New Roman" w:hAnsi="Times New Roman" w:cs="Times New Roman"/>
        </w:rPr>
        <w:t>。</w:t>
      </w:r>
    </w:p>
    <w:p w14:paraId="4545FB51">
      <w:pPr>
        <w:ind w:firstLine="560"/>
        <w:jc w:val="both"/>
      </w:pPr>
      <w:r>
        <w:rPr>
          <w:rFonts w:hint="eastAsia"/>
        </w:rPr>
        <w:t>2、</w:t>
      </w:r>
      <w:r>
        <w:t>矿山剩余有效服务年限及生产规模</w:t>
      </w:r>
    </w:p>
    <w:p w14:paraId="28C71E8E">
      <w:pPr>
        <w:spacing w:before="3" w:line="359" w:lineRule="auto"/>
        <w:ind w:firstLine="562"/>
        <w:jc w:val="both"/>
        <w:rPr>
          <w:rFonts w:hint="default" w:ascii="Times New Roman" w:hAnsi="Times New Roman" w:cs="Times New Roman"/>
        </w:rPr>
      </w:pPr>
      <w:r>
        <w:rPr>
          <w:rFonts w:hint="default" w:ascii="Times New Roman" w:hAnsi="Times New Roman" w:eastAsia="宋体" w:cs="Times New Roman"/>
          <w:sz w:val="28"/>
          <w:szCs w:val="28"/>
        </w:rPr>
        <w:t>根据《吉林省集安市清河镇二道滑石矿资源储量核实及深部（524米标高以</w:t>
      </w:r>
      <w:r>
        <w:rPr>
          <w:rFonts w:hint="default" w:ascii="Times New Roman" w:hAnsi="Times New Roman" w:eastAsia="宋体" w:cs="Times New Roman"/>
          <w:spacing w:val="-4"/>
          <w:sz w:val="28"/>
          <w:szCs w:val="28"/>
        </w:rPr>
        <w:t>下）和外围详查报告》（评审文号：吉储核字[2025]11号，备案文号：吉自然资</w:t>
      </w:r>
      <w:r>
        <w:rPr>
          <w:rFonts w:hint="default" w:ascii="Times New Roman" w:hAnsi="Times New Roman" w:eastAsia="宋体" w:cs="Times New Roman"/>
          <w:spacing w:val="-7"/>
          <w:sz w:val="28"/>
          <w:szCs w:val="28"/>
        </w:rPr>
        <w:t>储备字[2025]31号</w:t>
      </w:r>
      <w:r>
        <w:rPr>
          <w:rFonts w:hint="default" w:ascii="Times New Roman" w:hAnsi="Times New Roman" w:eastAsia="宋体" w:cs="Times New Roman"/>
          <w:spacing w:val="-62"/>
          <w:w w:val="84"/>
          <w:sz w:val="28"/>
          <w:szCs w:val="28"/>
        </w:rPr>
        <w:t>），</w:t>
      </w:r>
      <w:r>
        <w:rPr>
          <w:rFonts w:hint="default" w:ascii="Times New Roman" w:hAnsi="Times New Roman" w:eastAsia="宋体" w:cs="Times New Roman"/>
          <w:spacing w:val="-7"/>
          <w:sz w:val="28"/>
          <w:szCs w:val="28"/>
        </w:rPr>
        <w:t>矿山截止2024年10月，采矿证内剩余保有资源储量21kt，</w:t>
      </w:r>
      <w:r>
        <w:rPr>
          <w:rFonts w:hint="default" w:ascii="Times New Roman" w:hAnsi="Times New Roman" w:eastAsia="宋体" w:cs="Times New Roman"/>
          <w:spacing w:val="-9"/>
          <w:sz w:val="28"/>
          <w:szCs w:val="28"/>
        </w:rPr>
        <w:t>其中控制资源量7kt，推断资源量14kt（数据来源于吉林省矿产资源储量数据库</w:t>
      </w:r>
      <w:r>
        <w:rPr>
          <w:rFonts w:hint="default" w:ascii="Times New Roman" w:hAnsi="Times New Roman" w:eastAsia="宋体" w:cs="Times New Roman"/>
          <w:spacing w:val="-65"/>
          <w:w w:val="87"/>
          <w:sz w:val="28"/>
          <w:szCs w:val="28"/>
        </w:rPr>
        <w:t>），</w:t>
      </w:r>
      <w:r>
        <w:rPr>
          <w:rFonts w:hint="default" w:ascii="Times New Roman" w:hAnsi="Times New Roman" w:eastAsia="宋体" w:cs="Times New Roman"/>
          <w:spacing w:val="1"/>
          <w:sz w:val="28"/>
          <w:szCs w:val="28"/>
        </w:rPr>
        <w:t>与2005年《吉林省集安市二道阳岔滑石矿资源储量复核报告》（评审文号：通储审字[2005]8号，备案文号：吉国土资储备字[2005]111号）备案资源储量相</w:t>
      </w:r>
      <w:r>
        <w:rPr>
          <w:rFonts w:hint="default" w:ascii="Times New Roman" w:hAnsi="Times New Roman" w:eastAsia="宋体" w:cs="Times New Roman"/>
          <w:spacing w:val="-5"/>
          <w:sz w:val="28"/>
          <w:szCs w:val="28"/>
        </w:rPr>
        <w:t>同。2005年至2024年10月资源储量未发</w:t>
      </w:r>
      <w:r>
        <w:rPr>
          <w:rFonts w:hint="default" w:ascii="Times New Roman" w:hAnsi="Times New Roman" w:eastAsia="宋体" w:cs="Times New Roman"/>
          <w:spacing w:val="-6"/>
          <w:sz w:val="28"/>
          <w:szCs w:val="28"/>
        </w:rPr>
        <w:t>生变化。《吉林省集安市清河镇二道滑</w:t>
      </w:r>
      <w:r>
        <w:rPr>
          <w:rFonts w:hint="default" w:ascii="Times New Roman" w:hAnsi="Times New Roman" w:eastAsia="宋体" w:cs="Times New Roman"/>
          <w:sz w:val="28"/>
          <w:szCs w:val="28"/>
        </w:rPr>
        <w:t>石矿资源储量核实及深部（524米标高以下）和外围详查报告》（评审文号：吉</w:t>
      </w:r>
      <w:r>
        <w:rPr>
          <w:rFonts w:hint="default" w:ascii="Times New Roman" w:hAnsi="Times New Roman" w:eastAsia="宋体" w:cs="Times New Roman"/>
          <w:spacing w:val="1"/>
          <w:sz w:val="28"/>
          <w:szCs w:val="28"/>
        </w:rPr>
        <w:t>储核字[2025]11号，备案文号：吉自然资储备字[2025]31号）与《吉林省集安</w:t>
      </w:r>
      <w:r>
        <w:rPr>
          <w:rFonts w:hint="default" w:ascii="Times New Roman" w:hAnsi="Times New Roman" w:eastAsia="宋体" w:cs="Times New Roman"/>
          <w:sz w:val="28"/>
          <w:szCs w:val="28"/>
        </w:rPr>
        <w:t>市二道阳岔滑石矿资源储量复核报告》（评审文号：通储审字[2005</w:t>
      </w:r>
      <w:r>
        <w:rPr>
          <w:rFonts w:hint="default" w:ascii="Times New Roman" w:hAnsi="Times New Roman" w:eastAsia="宋体" w:cs="Times New Roman"/>
          <w:spacing w:val="-1"/>
          <w:sz w:val="28"/>
          <w:szCs w:val="28"/>
        </w:rPr>
        <w:t>]8号，备案</w:t>
      </w:r>
      <w:r>
        <w:rPr>
          <w:rFonts w:hint="default" w:ascii="Times New Roman" w:hAnsi="Times New Roman" w:eastAsia="宋体" w:cs="Times New Roman"/>
          <w:spacing w:val="1"/>
          <w:sz w:val="28"/>
          <w:szCs w:val="28"/>
        </w:rPr>
        <w:t>文号：吉国土资储备字[2005]111号）对比，保有资源量增加442</w:t>
      </w:r>
      <w:r>
        <w:rPr>
          <w:rFonts w:hint="default" w:ascii="Times New Roman" w:hAnsi="Times New Roman" w:eastAsia="宋体" w:cs="Times New Roman"/>
          <w:sz w:val="28"/>
          <w:szCs w:val="28"/>
        </w:rPr>
        <w:t>kt</w:t>
      </w:r>
      <w:r>
        <w:rPr>
          <w:rFonts w:hint="default" w:ascii="Times New Roman" w:hAnsi="Times New Roman" w:eastAsia="宋体" w:cs="Times New Roman"/>
          <w:spacing w:val="1"/>
          <w:sz w:val="28"/>
          <w:szCs w:val="28"/>
        </w:rPr>
        <w:t>，其中控制</w:t>
      </w:r>
      <w:r>
        <w:rPr>
          <w:rFonts w:hint="default" w:ascii="Times New Roman" w:hAnsi="Times New Roman" w:eastAsia="宋体" w:cs="Times New Roman"/>
          <w:spacing w:val="-2"/>
          <w:sz w:val="28"/>
          <w:szCs w:val="28"/>
        </w:rPr>
        <w:t>资源量（KZ）增加163kt，推断资源量(TD)增加279kt。开采最低标高降至352m，开采方式由</w:t>
      </w:r>
      <w:r>
        <w:rPr>
          <w:rFonts w:hint="default" w:ascii="Times New Roman" w:hAnsi="Times New Roman" w:eastAsia="宋体" w:cs="Times New Roman"/>
          <w:sz w:val="28"/>
          <w:szCs w:val="28"/>
        </w:rPr>
        <w:t>露天/地下采更改为地下开采，生产规模由0.2万吨/年改为5万吨/年。</w:t>
      </w:r>
      <w:r>
        <w:rPr>
          <w:rFonts w:hint="default" w:ascii="Times New Roman" w:hAnsi="Times New Roman" w:cs="Times New Roman"/>
        </w:rPr>
        <w:t>剩余有效服务年限约为</w:t>
      </w:r>
      <w:r>
        <w:rPr>
          <w:rFonts w:hint="default" w:ascii="Times New Roman" w:hAnsi="Times New Roman" w:cs="Times New Roman"/>
          <w:lang w:eastAsia="zh-CN"/>
        </w:rPr>
        <w:t>8</w:t>
      </w:r>
      <w:r>
        <w:rPr>
          <w:rFonts w:hint="default" w:ascii="Times New Roman" w:hAnsi="Times New Roman" w:eastAsia="楷体" w:cs="Times New Roman"/>
          <w:szCs w:val="28"/>
          <w:lang w:eastAsia="zh-CN"/>
        </w:rPr>
        <w:t>年</w:t>
      </w:r>
      <w:r>
        <w:rPr>
          <w:rFonts w:hint="default" w:ascii="Times New Roman" w:hAnsi="Times New Roman" w:cs="Times New Roman"/>
        </w:rPr>
        <w:t>。</w:t>
      </w:r>
    </w:p>
    <w:p w14:paraId="79EBF60A">
      <w:pPr>
        <w:pStyle w:val="15"/>
        <w:ind w:firstLine="560"/>
      </w:pPr>
      <w:r>
        <w:rPr>
          <w:rFonts w:hint="eastAsia"/>
        </w:rPr>
        <w:t>3、</w:t>
      </w:r>
      <w:r>
        <w:t>采矿权有效期限及生产规模</w:t>
      </w:r>
    </w:p>
    <w:p w14:paraId="6C4AD045">
      <w:pPr>
        <w:ind w:firstLine="560"/>
        <w:jc w:val="both"/>
      </w:pPr>
      <w:r>
        <w:t>矿山现有采矿证有效期自</w:t>
      </w:r>
      <w:r>
        <w:rPr>
          <w:rFonts w:hint="eastAsia"/>
          <w:lang w:eastAsia="zh-CN"/>
        </w:rPr>
        <w:t>2024年2月24日</w:t>
      </w:r>
      <w:r>
        <w:rPr>
          <w:rFonts w:hint="eastAsia"/>
        </w:rPr>
        <w:t>至</w:t>
      </w:r>
      <w:r>
        <w:rPr>
          <w:rFonts w:hint="eastAsia"/>
          <w:lang w:eastAsia="zh-CN"/>
        </w:rPr>
        <w:t>2025年5月24日</w:t>
      </w:r>
      <w:r>
        <w:t>，有效期为</w:t>
      </w:r>
      <w:r>
        <w:rPr>
          <w:rFonts w:hint="eastAsia"/>
          <w:lang w:eastAsia="zh-CN"/>
        </w:rPr>
        <w:t>壹年零叁个月。</w:t>
      </w:r>
      <w:r>
        <w:rPr>
          <w:rFonts w:hint="eastAsia"/>
          <w:lang w:val="en-US" w:eastAsia="zh-CN"/>
        </w:rPr>
        <w:t>采矿证已到期，根据最新的开发利用方案，现</w:t>
      </w:r>
      <w:r>
        <w:t>矿山现生产规模为</w:t>
      </w:r>
      <w:r>
        <w:rPr>
          <w:rFonts w:hint="eastAsia"/>
          <w:lang w:eastAsia="zh-CN"/>
        </w:rPr>
        <w:t>5万</w:t>
      </w:r>
      <w:r>
        <w:t>t/a</w:t>
      </w:r>
      <w:r>
        <w:rPr>
          <w:rFonts w:hint="eastAsia"/>
          <w:lang w:eastAsia="zh-CN"/>
        </w:rPr>
        <w:t>，</w:t>
      </w:r>
      <w:r>
        <w:rPr>
          <w:rFonts w:hint="eastAsia"/>
          <w:lang w:val="en-US" w:eastAsia="zh-CN"/>
        </w:rPr>
        <w:t>开采剩余服务年限为8年</w:t>
      </w:r>
      <w:r>
        <w:t>。</w:t>
      </w:r>
    </w:p>
    <w:p w14:paraId="0D24E3FA">
      <w:pPr>
        <w:ind w:firstLine="560"/>
        <w:jc w:val="both"/>
      </w:pPr>
      <w:r>
        <w:rPr>
          <w:rFonts w:hint="eastAsia"/>
        </w:rPr>
        <w:t>4、</w:t>
      </w:r>
      <w:r>
        <w:t>可供开采矿产资源的范围</w:t>
      </w:r>
    </w:p>
    <w:p w14:paraId="3DD00C28">
      <w:pPr>
        <w:spacing w:line="360" w:lineRule="auto"/>
        <w:ind w:firstLine="560"/>
        <w:rPr>
          <w:rFonts w:hint="default" w:ascii="Times New Roman" w:hAnsi="Times New Roman" w:cs="Times New Roman" w:eastAsiaTheme="minorEastAsia"/>
        </w:rPr>
      </w:pPr>
      <w:r>
        <w:rPr>
          <w:rFonts w:hint="default" w:ascii="Times New Roman" w:hAnsi="Times New Roman" w:cs="Times New Roman"/>
        </w:rPr>
        <w:t>根据</w:t>
      </w:r>
      <w:r>
        <w:rPr>
          <w:rFonts w:hint="default" w:ascii="Times New Roman" w:hAnsi="Times New Roman" w:cs="Times New Roman"/>
          <w:lang w:val="en-US" w:eastAsia="zh-CN"/>
        </w:rPr>
        <w:t>《吉林省集安市清河镇二道滑石矿资源储量核实及深部（524米标高以下）和外围详查报告》，</w:t>
      </w:r>
      <w:r>
        <w:rPr>
          <w:rFonts w:hint="default" w:ascii="Times New Roman" w:hAnsi="Times New Roman" w:cs="Times New Roman"/>
          <w:color w:val="000000"/>
        </w:rPr>
        <w:t>集安市中道矿业有限公司</w:t>
      </w:r>
      <w:r>
        <w:rPr>
          <w:rFonts w:hint="default" w:ascii="Times New Roman" w:hAnsi="Times New Roman" w:cs="Times New Roman" w:eastAsiaTheme="minorEastAsia"/>
        </w:rPr>
        <w:t>向集安市自然资源局提交了《</w:t>
      </w:r>
      <w:r>
        <w:rPr>
          <w:rFonts w:hint="default" w:ascii="Times New Roman" w:hAnsi="Times New Roman" w:cs="Times New Roman"/>
          <w:color w:val="000000"/>
        </w:rPr>
        <w:t>集安市中道矿业有限公司</w:t>
      </w:r>
      <w:r>
        <w:rPr>
          <w:rFonts w:hint="default" w:ascii="Times New Roman" w:hAnsi="Times New Roman" w:cs="Times New Roman"/>
          <w:kern w:val="0"/>
        </w:rPr>
        <w:t>关于核实滑石矿矿产资源的申请</w:t>
      </w:r>
      <w:r>
        <w:rPr>
          <w:rFonts w:hint="default" w:ascii="Times New Roman" w:hAnsi="Times New Roman" w:cs="Times New Roman" w:eastAsiaTheme="minorEastAsia"/>
        </w:rPr>
        <w:t>》，集安市自然资源局于2025年3月17日批复通过了该申请。</w:t>
      </w:r>
    </w:p>
    <w:p w14:paraId="267C791C">
      <w:pPr>
        <w:ind w:firstLine="560"/>
        <w:jc w:val="both"/>
        <w:rPr>
          <w:rFonts w:hint="default" w:ascii="Times New Roman" w:hAnsi="Times New Roman" w:cs="Times New Roman"/>
        </w:rPr>
      </w:pPr>
      <w:r>
        <w:rPr>
          <w:rFonts w:hint="default" w:ascii="Times New Roman" w:hAnsi="Times New Roman" w:cs="Times New Roman" w:eastAsiaTheme="minorEastAsia"/>
        </w:rPr>
        <w:t>核实区平面范围包含采矿权和探矿权范围，标高+581m～+352m，面积0.</w:t>
      </w:r>
      <w:r>
        <w:rPr>
          <w:rFonts w:hint="eastAsia" w:ascii="Times New Roman" w:hAnsi="Times New Roman" w:cs="Times New Roman" w:eastAsiaTheme="minorEastAsia"/>
          <w:lang w:val="en-US" w:eastAsia="zh-CN"/>
        </w:rPr>
        <w:t>2501</w:t>
      </w:r>
      <w:r>
        <w:rPr>
          <w:rFonts w:hint="default" w:ascii="Times New Roman" w:hAnsi="Times New Roman" w:cs="Times New Roman" w:eastAsiaTheme="minorEastAsia"/>
        </w:rPr>
        <w:t>km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w:t>
      </w:r>
      <w:r>
        <w:rPr>
          <w:rFonts w:hint="default" w:ascii="Times New Roman" w:hAnsi="Times New Roman" w:cs="Times New Roman"/>
          <w:lang w:val="en-US" w:eastAsia="zh-CN"/>
        </w:rPr>
        <w:t>二</w:t>
      </w:r>
      <w:r>
        <w:rPr>
          <w:rFonts w:hint="default" w:ascii="Times New Roman" w:hAnsi="Times New Roman" w:cs="Times New Roman"/>
          <w:lang w:eastAsia="zh-CN"/>
        </w:rPr>
        <w:t>道滑石矿</w:t>
      </w:r>
      <w:r>
        <w:rPr>
          <w:rFonts w:hint="default" w:ascii="Times New Roman" w:hAnsi="Times New Roman" w:cs="Times New Roman"/>
        </w:rPr>
        <w:t>可供开采矿产资源范围见表1-</w:t>
      </w:r>
      <w:r>
        <w:rPr>
          <w:rFonts w:hint="default" w:ascii="Times New Roman" w:hAnsi="Times New Roman" w:cs="Times New Roman"/>
          <w:lang w:val="en-US" w:eastAsia="zh-CN"/>
        </w:rPr>
        <w:t>2</w:t>
      </w:r>
      <w:r>
        <w:rPr>
          <w:rFonts w:hint="default" w:ascii="Times New Roman" w:hAnsi="Times New Roman" w:cs="Times New Roman"/>
        </w:rPr>
        <w:t>。</w:t>
      </w:r>
    </w:p>
    <w:p w14:paraId="57EFBFBB">
      <w:pPr>
        <w:pStyle w:val="57"/>
        <w:rPr>
          <w:rFonts w:hint="eastAsia"/>
        </w:rPr>
      </w:pPr>
      <w:r>
        <w:t>表1-</w:t>
      </w:r>
      <w:r>
        <w:rPr>
          <w:rFonts w:hint="eastAsia"/>
          <w:lang w:val="en-US" w:eastAsia="zh-CN"/>
        </w:rPr>
        <w:t>2</w:t>
      </w:r>
      <w:r>
        <w:t>资源储量估算范围</w:t>
      </w: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1"/>
        <w:gridCol w:w="2936"/>
        <w:gridCol w:w="2433"/>
        <w:gridCol w:w="1015"/>
      </w:tblGrid>
      <w:tr w14:paraId="08323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51"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56AAB3D">
            <w:pPr>
              <w:pStyle w:val="72"/>
              <w:rPr>
                <w:rFonts w:hint="eastAsia"/>
              </w:rPr>
            </w:pPr>
            <w:r>
              <w:rPr>
                <w:rFonts w:hint="eastAsia"/>
              </w:rPr>
              <w:t>拐点</w:t>
            </w:r>
          </w:p>
          <w:p w14:paraId="383809BE">
            <w:pPr>
              <w:pStyle w:val="72"/>
              <w:rPr>
                <w:rFonts w:hint="eastAsia"/>
              </w:rPr>
            </w:pPr>
            <w:r>
              <w:rPr>
                <w:rFonts w:hint="eastAsia"/>
              </w:rPr>
              <w:t>坐标</w:t>
            </w:r>
          </w:p>
        </w:tc>
        <w:tc>
          <w:tcPr>
            <w:tcW w:w="5369"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8DA9BE8">
            <w:pPr>
              <w:pStyle w:val="72"/>
              <w:rPr>
                <w:rFonts w:hint="eastAsia"/>
              </w:rPr>
            </w:pPr>
            <w:r>
              <w:rPr>
                <w:rFonts w:hint="eastAsia"/>
              </w:rPr>
              <w:t>2000</w:t>
            </w:r>
            <w:r>
              <w:t>国家坐标系</w:t>
            </w:r>
          </w:p>
        </w:tc>
        <w:tc>
          <w:tcPr>
            <w:tcW w:w="10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C28D472">
            <w:pPr>
              <w:pStyle w:val="72"/>
              <w:rPr>
                <w:rFonts w:hint="eastAsia" w:eastAsia="仿宋"/>
                <w:lang w:val="en-US" w:eastAsia="zh-CN"/>
              </w:rPr>
            </w:pPr>
            <w:r>
              <w:rPr>
                <w:rFonts w:hint="eastAsia"/>
                <w:lang w:val="en-US" w:eastAsia="zh-CN"/>
              </w:rPr>
              <w:t>备注</w:t>
            </w:r>
          </w:p>
        </w:tc>
      </w:tr>
      <w:tr w14:paraId="76FA1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vAlign w:val="center"/>
          </w:tcPr>
          <w:p w14:paraId="1256C5DE">
            <w:pPr>
              <w:pStyle w:val="72"/>
              <w:rPr>
                <w:rFonts w:hint="eastAsia"/>
              </w:rPr>
            </w:pP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5F1A30D">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X</w:t>
            </w:r>
          </w:p>
        </w:tc>
        <w:tc>
          <w:tcPr>
            <w:tcW w:w="243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208F58D">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Ｙ</w:t>
            </w:r>
          </w:p>
        </w:tc>
        <w:tc>
          <w:tcPr>
            <w:tcW w:w="10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07E9DB4">
            <w:pPr>
              <w:pStyle w:val="72"/>
              <w:rPr>
                <w:rFonts w:hint="eastAsia"/>
              </w:rPr>
            </w:pPr>
          </w:p>
        </w:tc>
      </w:tr>
      <w:tr w14:paraId="75B73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 w:hRule="atLeast"/>
          <w:jc w:val="center"/>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CA79501">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1</w:t>
            </w: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40BF5BF">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4584907.67</w:t>
            </w:r>
          </w:p>
        </w:tc>
        <w:tc>
          <w:tcPr>
            <w:tcW w:w="243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9DF6493">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42491706.79</w:t>
            </w:r>
          </w:p>
        </w:tc>
        <w:tc>
          <w:tcPr>
            <w:tcW w:w="10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9AB3985">
            <w:pPr>
              <w:pStyle w:val="72"/>
              <w:rPr>
                <w:rFonts w:hint="eastAsia"/>
              </w:rPr>
            </w:pPr>
          </w:p>
        </w:tc>
      </w:tr>
      <w:tr w14:paraId="41D5A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2A14C6A">
            <w:pPr>
              <w:pStyle w:val="72"/>
              <w:rPr>
                <w:rFonts w:hint="eastAsia"/>
              </w:rPr>
            </w:pPr>
            <w:r>
              <w:rPr>
                <w:rFonts w:hint="eastAsia"/>
              </w:rPr>
              <w:t>2</w:t>
            </w: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0FD2CE3">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4584913.33</w:t>
            </w:r>
          </w:p>
        </w:tc>
        <w:tc>
          <w:tcPr>
            <w:tcW w:w="243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BAFEB04">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42491750.96</w:t>
            </w:r>
          </w:p>
        </w:tc>
        <w:tc>
          <w:tcPr>
            <w:tcW w:w="10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FE40D1D">
            <w:pPr>
              <w:pStyle w:val="72"/>
              <w:rPr>
                <w:rFonts w:hint="eastAsia"/>
              </w:rPr>
            </w:pPr>
          </w:p>
        </w:tc>
      </w:tr>
      <w:tr w14:paraId="4FBC4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29685AB">
            <w:pPr>
              <w:pStyle w:val="72"/>
              <w:rPr>
                <w:rFonts w:hint="eastAsia"/>
              </w:rPr>
            </w:pPr>
            <w:r>
              <w:rPr>
                <w:rFonts w:hint="eastAsia"/>
              </w:rPr>
              <w:t>3</w:t>
            </w: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3929F5A">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4584916.38</w:t>
            </w:r>
          </w:p>
        </w:tc>
        <w:tc>
          <w:tcPr>
            <w:tcW w:w="243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AF81C50">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42491854.23</w:t>
            </w:r>
          </w:p>
        </w:tc>
        <w:tc>
          <w:tcPr>
            <w:tcW w:w="10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FD128DC">
            <w:pPr>
              <w:pStyle w:val="72"/>
              <w:rPr>
                <w:rFonts w:hint="eastAsia"/>
              </w:rPr>
            </w:pPr>
          </w:p>
        </w:tc>
      </w:tr>
      <w:tr w14:paraId="44737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E8D7552">
            <w:pPr>
              <w:pStyle w:val="72"/>
              <w:rPr>
                <w:rFonts w:hint="eastAsia"/>
              </w:rPr>
            </w:pPr>
            <w:r>
              <w:rPr>
                <w:rFonts w:hint="eastAsia"/>
              </w:rPr>
              <w:t>4</w:t>
            </w: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3DA908C">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4584897.68</w:t>
            </w:r>
          </w:p>
        </w:tc>
        <w:tc>
          <w:tcPr>
            <w:tcW w:w="243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2E828D1">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42491879.9</w:t>
            </w:r>
          </w:p>
        </w:tc>
        <w:tc>
          <w:tcPr>
            <w:tcW w:w="10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C5EE93A">
            <w:pPr>
              <w:pStyle w:val="72"/>
              <w:rPr>
                <w:rFonts w:hint="eastAsia"/>
              </w:rPr>
            </w:pPr>
          </w:p>
        </w:tc>
      </w:tr>
      <w:tr w14:paraId="2E078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B0C8F34">
            <w:pPr>
              <w:pStyle w:val="72"/>
              <w:rPr>
                <w:rFonts w:hint="eastAsia"/>
              </w:rPr>
            </w:pPr>
            <w:r>
              <w:rPr>
                <w:rFonts w:hint="eastAsia"/>
              </w:rPr>
              <w:t>5</w:t>
            </w: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BDEA285">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4584849.04</w:t>
            </w:r>
          </w:p>
        </w:tc>
        <w:tc>
          <w:tcPr>
            <w:tcW w:w="243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70DA010">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42491875.05</w:t>
            </w:r>
          </w:p>
        </w:tc>
        <w:tc>
          <w:tcPr>
            <w:tcW w:w="10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9F675F0">
            <w:pPr>
              <w:pStyle w:val="72"/>
              <w:rPr>
                <w:rFonts w:hint="eastAsia"/>
              </w:rPr>
            </w:pPr>
          </w:p>
        </w:tc>
      </w:tr>
      <w:tr w14:paraId="7FADC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E1C3B06">
            <w:pPr>
              <w:pStyle w:val="72"/>
              <w:rPr>
                <w:rFonts w:hint="eastAsia"/>
              </w:rPr>
            </w:pPr>
            <w:r>
              <w:rPr>
                <w:rFonts w:hint="eastAsia"/>
              </w:rPr>
              <w:t>6</w:t>
            </w: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C1122A7">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4584823.53</w:t>
            </w:r>
          </w:p>
        </w:tc>
        <w:tc>
          <w:tcPr>
            <w:tcW w:w="243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86B59D4">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42491869.92</w:t>
            </w:r>
          </w:p>
        </w:tc>
        <w:tc>
          <w:tcPr>
            <w:tcW w:w="10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49EAF65">
            <w:pPr>
              <w:pStyle w:val="72"/>
              <w:rPr>
                <w:rFonts w:hint="eastAsia"/>
              </w:rPr>
            </w:pPr>
          </w:p>
        </w:tc>
      </w:tr>
      <w:tr w14:paraId="31769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B8C89FD">
            <w:pPr>
              <w:pStyle w:val="72"/>
              <w:rPr>
                <w:rFonts w:hint="eastAsia" w:eastAsia="仿宋"/>
                <w:lang w:val="en-US" w:eastAsia="zh-CN"/>
              </w:rPr>
            </w:pPr>
            <w:r>
              <w:rPr>
                <w:rFonts w:hint="eastAsia"/>
                <w:lang w:val="en-US" w:eastAsia="zh-CN"/>
              </w:rPr>
              <w:t>7</w:t>
            </w: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4C96EE4">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4584810.09</w:t>
            </w:r>
          </w:p>
        </w:tc>
        <w:tc>
          <w:tcPr>
            <w:tcW w:w="243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7212E01">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42491844.92</w:t>
            </w:r>
          </w:p>
        </w:tc>
        <w:tc>
          <w:tcPr>
            <w:tcW w:w="10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398F861">
            <w:pPr>
              <w:pStyle w:val="72"/>
              <w:rPr>
                <w:rFonts w:hint="eastAsia"/>
              </w:rPr>
            </w:pPr>
          </w:p>
        </w:tc>
      </w:tr>
      <w:tr w14:paraId="39D9B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9715E2D">
            <w:pPr>
              <w:pStyle w:val="72"/>
              <w:rPr>
                <w:rFonts w:hint="eastAsia" w:eastAsia="仿宋"/>
                <w:lang w:val="en-US" w:eastAsia="zh-CN"/>
              </w:rPr>
            </w:pPr>
            <w:r>
              <w:rPr>
                <w:rFonts w:hint="eastAsia"/>
                <w:lang w:val="en-US" w:eastAsia="zh-CN"/>
              </w:rPr>
              <w:t>8</w:t>
            </w: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F1C37CD">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4584800.77</w:t>
            </w:r>
          </w:p>
        </w:tc>
        <w:tc>
          <w:tcPr>
            <w:tcW w:w="243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8214D08">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42491795.8</w:t>
            </w:r>
          </w:p>
        </w:tc>
        <w:tc>
          <w:tcPr>
            <w:tcW w:w="10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3B8719E">
            <w:pPr>
              <w:pStyle w:val="72"/>
              <w:rPr>
                <w:rFonts w:hint="eastAsia"/>
              </w:rPr>
            </w:pPr>
          </w:p>
        </w:tc>
      </w:tr>
      <w:tr w14:paraId="24937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D1A2F7E">
            <w:pPr>
              <w:pStyle w:val="72"/>
              <w:rPr>
                <w:rFonts w:hint="eastAsia" w:eastAsia="仿宋"/>
                <w:lang w:val="en-US" w:eastAsia="zh-CN"/>
              </w:rPr>
            </w:pPr>
            <w:r>
              <w:rPr>
                <w:rFonts w:hint="eastAsia"/>
                <w:lang w:val="en-US" w:eastAsia="zh-CN"/>
              </w:rPr>
              <w:t>9</w:t>
            </w: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F4E6719">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4584808.31</w:t>
            </w:r>
          </w:p>
        </w:tc>
        <w:tc>
          <w:tcPr>
            <w:tcW w:w="243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CF62404">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42491748.73</w:t>
            </w:r>
          </w:p>
        </w:tc>
        <w:tc>
          <w:tcPr>
            <w:tcW w:w="10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4FF6752">
            <w:pPr>
              <w:pStyle w:val="72"/>
              <w:rPr>
                <w:rFonts w:hint="eastAsia"/>
              </w:rPr>
            </w:pPr>
          </w:p>
        </w:tc>
      </w:tr>
      <w:tr w14:paraId="1C13D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6B19A5E">
            <w:pPr>
              <w:pStyle w:val="72"/>
              <w:rPr>
                <w:rFonts w:hint="default" w:eastAsia="仿宋"/>
                <w:lang w:val="en-US" w:eastAsia="zh-CN"/>
              </w:rPr>
            </w:pPr>
            <w:r>
              <w:rPr>
                <w:rFonts w:hint="eastAsia"/>
                <w:lang w:val="en-US" w:eastAsia="zh-CN"/>
              </w:rPr>
              <w:t>10</w:t>
            </w: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919D5FC">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4584823.63</w:t>
            </w:r>
          </w:p>
        </w:tc>
        <w:tc>
          <w:tcPr>
            <w:tcW w:w="243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DEF86E1">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42491709.11</w:t>
            </w:r>
          </w:p>
        </w:tc>
        <w:tc>
          <w:tcPr>
            <w:tcW w:w="10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072EFEF">
            <w:pPr>
              <w:pStyle w:val="72"/>
              <w:rPr>
                <w:rFonts w:hint="eastAsia"/>
              </w:rPr>
            </w:pPr>
          </w:p>
        </w:tc>
      </w:tr>
      <w:tr w14:paraId="27A76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283C315">
            <w:pPr>
              <w:pStyle w:val="72"/>
              <w:rPr>
                <w:rFonts w:hint="default" w:eastAsia="仿宋"/>
                <w:lang w:val="en-US" w:eastAsia="zh-CN"/>
              </w:rPr>
            </w:pPr>
            <w:r>
              <w:rPr>
                <w:rFonts w:hint="eastAsia"/>
                <w:lang w:val="en-US" w:eastAsia="zh-CN"/>
              </w:rPr>
              <w:t>11</w:t>
            </w: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BCAB58B">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4584847.03</w:t>
            </w:r>
          </w:p>
        </w:tc>
        <w:tc>
          <w:tcPr>
            <w:tcW w:w="243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75096C7">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42491684.11</w:t>
            </w:r>
          </w:p>
        </w:tc>
        <w:tc>
          <w:tcPr>
            <w:tcW w:w="10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75BC5A4">
            <w:pPr>
              <w:pStyle w:val="72"/>
              <w:rPr>
                <w:rFonts w:hint="eastAsia"/>
              </w:rPr>
            </w:pPr>
          </w:p>
        </w:tc>
      </w:tr>
      <w:tr w14:paraId="30682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D9DBB26">
            <w:pPr>
              <w:pStyle w:val="72"/>
              <w:rPr>
                <w:rFonts w:hint="default" w:eastAsia="仿宋"/>
                <w:lang w:val="en-US" w:eastAsia="zh-CN"/>
              </w:rPr>
            </w:pPr>
            <w:r>
              <w:rPr>
                <w:rFonts w:hint="eastAsia"/>
                <w:lang w:val="en-US" w:eastAsia="zh-CN"/>
              </w:rPr>
              <w:t>12</w:t>
            </w:r>
          </w:p>
        </w:tc>
        <w:tc>
          <w:tcPr>
            <w:tcW w:w="29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8827FE3">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4584882.02</w:t>
            </w:r>
          </w:p>
        </w:tc>
        <w:tc>
          <w:tcPr>
            <w:tcW w:w="243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F1544BA">
            <w:pPr>
              <w:widowControl/>
              <w:spacing w:line="240" w:lineRule="auto"/>
              <w:ind w:firstLine="0" w:firstLineChars="0"/>
              <w:jc w:val="center"/>
              <w:rPr>
                <w:rFonts w:hint="eastAsia"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42491681.16</w:t>
            </w:r>
          </w:p>
        </w:tc>
        <w:tc>
          <w:tcPr>
            <w:tcW w:w="10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8AF7395">
            <w:pPr>
              <w:pStyle w:val="72"/>
              <w:rPr>
                <w:rFonts w:hint="eastAsia"/>
              </w:rPr>
            </w:pPr>
          </w:p>
        </w:tc>
      </w:tr>
    </w:tbl>
    <w:p w14:paraId="4B879E46">
      <w:pPr>
        <w:pStyle w:val="66"/>
        <w:ind w:firstLine="420"/>
        <w:rPr>
          <w:rFonts w:ascii="Times New Roman" w:hAnsi="Times New Roman"/>
        </w:rPr>
      </w:pPr>
    </w:p>
    <w:p w14:paraId="61FCC124">
      <w:pPr>
        <w:ind w:firstLine="560"/>
      </w:pPr>
      <w:r>
        <w:rPr>
          <w:rFonts w:hint="eastAsia"/>
        </w:rPr>
        <w:t>5.矿区</w:t>
      </w:r>
      <w:r>
        <w:t>工程布局</w:t>
      </w:r>
    </w:p>
    <w:p w14:paraId="224FB0ED">
      <w:pPr>
        <w:ind w:firstLine="560"/>
        <w:rPr>
          <w:lang w:val="zh-CN"/>
        </w:rPr>
      </w:pPr>
      <w:r>
        <w:rPr>
          <w:rFonts w:hint="eastAsia"/>
          <w:lang w:val="zh-CN"/>
        </w:rPr>
        <w:t>经调查，矿区主要工业布局为</w:t>
      </w:r>
      <w:r>
        <w:rPr>
          <w:rFonts w:hint="eastAsia"/>
          <w:lang w:val="en-US" w:eastAsia="zh-CN"/>
        </w:rPr>
        <w:t>工业广场和三处废弃平硐</w:t>
      </w:r>
      <w:r>
        <w:rPr>
          <w:rFonts w:hint="eastAsia"/>
          <w:lang w:val="zh-CN"/>
        </w:rPr>
        <w:t>组成，总占地面积</w:t>
      </w:r>
      <w:r>
        <w:rPr>
          <w:rFonts w:hint="eastAsia"/>
          <w:lang w:val="en-US" w:eastAsia="zh-CN"/>
        </w:rPr>
        <w:t>0.3608</w:t>
      </w:r>
      <w:r>
        <w:rPr>
          <w:rFonts w:hint="eastAsia"/>
        </w:rPr>
        <w:t>hm</w:t>
      </w:r>
      <w:r>
        <w:rPr>
          <w:rFonts w:hint="eastAsia"/>
          <w:vertAlign w:val="superscript"/>
        </w:rPr>
        <w:t>2</w:t>
      </w:r>
      <w:r>
        <w:rPr>
          <w:rFonts w:hint="eastAsia"/>
          <w:lang w:val="zh-CN"/>
        </w:rPr>
        <w:t>。</w:t>
      </w:r>
    </w:p>
    <w:p w14:paraId="7F2CFC75">
      <w:pPr>
        <w:numPr>
          <w:ilvl w:val="0"/>
          <w:numId w:val="3"/>
        </w:numPr>
        <w:ind w:firstLine="560"/>
        <w:rPr>
          <w:rFonts w:hint="eastAsia"/>
          <w:lang w:val="en-US" w:eastAsia="zh-CN"/>
        </w:rPr>
      </w:pPr>
      <w:r>
        <w:rPr>
          <w:rFonts w:hint="eastAsia"/>
          <w:lang w:val="en-US" w:eastAsia="zh-CN"/>
        </w:rPr>
        <w:t>工业广场</w:t>
      </w:r>
    </w:p>
    <w:p w14:paraId="5D3AE06D">
      <w:pPr>
        <w:ind w:firstLine="560"/>
      </w:pPr>
      <w:r>
        <w:rPr>
          <w:rFonts w:hint="eastAsia"/>
          <w:lang w:val="en-US" w:eastAsia="zh-CN"/>
        </w:rPr>
        <w:t>工业广场</w:t>
      </w:r>
      <w:r>
        <w:rPr>
          <w:rFonts w:hint="eastAsia"/>
        </w:rPr>
        <w:t>：</w:t>
      </w:r>
      <w:r>
        <w:rPr>
          <w:rFonts w:hint="eastAsia"/>
          <w:lang w:val="en-US" w:eastAsia="zh-CN"/>
        </w:rPr>
        <w:t>前期开采时候留下的工业广场，现在无建筑物，占地面积0.3608</w:t>
      </w:r>
      <w:r>
        <w:rPr>
          <w:rFonts w:hint="eastAsia"/>
        </w:rPr>
        <w:t>hm</w:t>
      </w:r>
      <w:r>
        <w:rPr>
          <w:rFonts w:hint="eastAsia"/>
          <w:vertAlign w:val="superscript"/>
        </w:rPr>
        <w:t>2</w:t>
      </w:r>
      <w:r>
        <w:rPr>
          <w:rFonts w:hint="eastAsia"/>
        </w:rPr>
        <w:t>。</w:t>
      </w:r>
    </w:p>
    <w:p w14:paraId="3BC01267">
      <w:pPr>
        <w:numPr>
          <w:ilvl w:val="0"/>
          <w:numId w:val="3"/>
        </w:numPr>
        <w:ind w:firstLine="560"/>
      </w:pPr>
      <w:r>
        <w:rPr>
          <w:rFonts w:hint="eastAsia"/>
        </w:rPr>
        <w:t>现场有</w:t>
      </w:r>
      <w:r>
        <w:rPr>
          <w:rFonts w:hint="eastAsia"/>
          <w:lang w:val="en-US" w:eastAsia="zh-CN"/>
        </w:rPr>
        <w:t>废弃</w:t>
      </w:r>
      <w:r>
        <w:rPr>
          <w:rFonts w:hint="eastAsia"/>
        </w:rPr>
        <w:t>3</w:t>
      </w:r>
      <w:r>
        <w:rPr>
          <w:rFonts w:hint="eastAsia"/>
          <w:lang w:val="en-US" w:eastAsia="zh-CN"/>
        </w:rPr>
        <w:t>处平硐</w:t>
      </w:r>
      <w:r>
        <w:rPr>
          <w:rFonts w:hint="eastAsia"/>
        </w:rPr>
        <w:t>，详细数据见下述：</w:t>
      </w:r>
    </w:p>
    <w:p w14:paraId="6EC0EC17">
      <w:pPr>
        <w:ind w:firstLine="560"/>
      </w:pPr>
      <w:r>
        <w:rPr>
          <w:rFonts w:hint="eastAsia"/>
          <w:lang w:val="en-US" w:eastAsia="zh-CN"/>
        </w:rPr>
        <w:t>548m平硐</w:t>
      </w:r>
      <w:r>
        <w:rPr>
          <w:rFonts w:hint="eastAsia"/>
        </w:rPr>
        <w:t>：</w:t>
      </w:r>
      <w:r>
        <w:rPr>
          <w:rFonts w:hint="eastAsia"/>
          <w:lang w:val="en-US" w:eastAsia="zh-CN"/>
        </w:rPr>
        <w:t>平硐断面面积6</w:t>
      </w:r>
      <w:r>
        <w:rPr>
          <w:rFonts w:hint="eastAsia"/>
        </w:rPr>
        <w:t>m</w:t>
      </w:r>
      <w:r>
        <w:rPr>
          <w:rFonts w:hint="eastAsia"/>
          <w:vertAlign w:val="superscript"/>
        </w:rPr>
        <w:t>2</w:t>
      </w:r>
      <w:r>
        <w:rPr>
          <w:rFonts w:hint="eastAsia"/>
          <w:vertAlign w:val="baseline"/>
          <w:lang w:eastAsia="zh-CN"/>
        </w:rPr>
        <w:t>，</w:t>
      </w:r>
      <w:r>
        <w:rPr>
          <w:rFonts w:hint="eastAsia"/>
          <w:vertAlign w:val="baseline"/>
          <w:lang w:val="en-US" w:eastAsia="zh-CN"/>
        </w:rPr>
        <w:t>深度240m</w:t>
      </w:r>
      <w:r>
        <w:rPr>
          <w:rFonts w:hint="eastAsia"/>
        </w:rPr>
        <w:t>。</w:t>
      </w:r>
    </w:p>
    <w:p w14:paraId="265191F0">
      <w:pPr>
        <w:ind w:firstLine="560"/>
      </w:pPr>
      <w:r>
        <w:rPr>
          <w:rFonts w:hint="eastAsia"/>
          <w:lang w:val="en-US" w:eastAsia="zh-CN"/>
        </w:rPr>
        <w:t>533m平硐</w:t>
      </w:r>
      <w:r>
        <w:rPr>
          <w:rFonts w:hint="eastAsia"/>
        </w:rPr>
        <w:t>：</w:t>
      </w:r>
      <w:r>
        <w:rPr>
          <w:rFonts w:hint="eastAsia"/>
          <w:lang w:val="en-US" w:eastAsia="zh-CN"/>
        </w:rPr>
        <w:t>平硐断面面积6</w:t>
      </w:r>
      <w:r>
        <w:rPr>
          <w:rFonts w:hint="eastAsia"/>
        </w:rPr>
        <w:t>m</w:t>
      </w:r>
      <w:r>
        <w:rPr>
          <w:rFonts w:hint="eastAsia"/>
          <w:vertAlign w:val="superscript"/>
        </w:rPr>
        <w:t>2</w:t>
      </w:r>
      <w:r>
        <w:rPr>
          <w:rFonts w:hint="eastAsia"/>
          <w:vertAlign w:val="baseline"/>
          <w:lang w:eastAsia="zh-CN"/>
        </w:rPr>
        <w:t>，</w:t>
      </w:r>
      <w:r>
        <w:rPr>
          <w:rFonts w:hint="eastAsia"/>
          <w:vertAlign w:val="baseline"/>
          <w:lang w:val="en-US" w:eastAsia="zh-CN"/>
        </w:rPr>
        <w:t>深度240m</w:t>
      </w:r>
      <w:r>
        <w:rPr>
          <w:rFonts w:hint="eastAsia"/>
        </w:rPr>
        <w:t>。</w:t>
      </w:r>
    </w:p>
    <w:p w14:paraId="1D5D06FA">
      <w:pPr>
        <w:ind w:firstLine="560"/>
      </w:pPr>
      <w:r>
        <w:rPr>
          <w:rFonts w:hint="eastAsia"/>
          <w:lang w:val="en-US" w:eastAsia="zh-CN"/>
        </w:rPr>
        <w:t>520m平硐</w:t>
      </w:r>
      <w:r>
        <w:rPr>
          <w:rFonts w:hint="eastAsia"/>
        </w:rPr>
        <w:t>：</w:t>
      </w:r>
      <w:r>
        <w:rPr>
          <w:rFonts w:hint="eastAsia"/>
          <w:lang w:val="en-US" w:eastAsia="zh-CN"/>
        </w:rPr>
        <w:t>平硐断面面积6</w:t>
      </w:r>
      <w:r>
        <w:rPr>
          <w:rFonts w:hint="eastAsia"/>
        </w:rPr>
        <w:t>m</w:t>
      </w:r>
      <w:r>
        <w:rPr>
          <w:rFonts w:hint="eastAsia"/>
          <w:vertAlign w:val="superscript"/>
        </w:rPr>
        <w:t>2</w:t>
      </w:r>
      <w:r>
        <w:rPr>
          <w:rFonts w:hint="eastAsia"/>
          <w:vertAlign w:val="baseline"/>
          <w:lang w:eastAsia="zh-CN"/>
        </w:rPr>
        <w:t>，</w:t>
      </w:r>
      <w:r>
        <w:rPr>
          <w:rFonts w:hint="eastAsia"/>
          <w:vertAlign w:val="baseline"/>
          <w:lang w:val="en-US" w:eastAsia="zh-CN"/>
        </w:rPr>
        <w:t>深度240m</w:t>
      </w:r>
      <w:r>
        <w:rPr>
          <w:rFonts w:hint="eastAsia"/>
        </w:rPr>
        <w:t>。</w:t>
      </w:r>
    </w:p>
    <w:p w14:paraId="32C1AC81">
      <w:pPr>
        <w:spacing w:line="240" w:lineRule="auto"/>
        <w:ind w:firstLine="0" w:firstLineChars="0"/>
        <w:jc w:val="center"/>
        <w:rPr>
          <w:rFonts w:hint="eastAsia" w:eastAsia="宋体"/>
          <w:lang w:eastAsia="zh-CN"/>
        </w:rPr>
      </w:pPr>
      <w:r>
        <w:rPr>
          <w:rFonts w:hint="eastAsia" w:eastAsia="宋体"/>
          <w:lang w:eastAsia="zh-CN"/>
        </w:rPr>
        <w:drawing>
          <wp:inline distT="0" distB="0" distL="114300" distR="114300">
            <wp:extent cx="5928360" cy="4742815"/>
            <wp:effectExtent l="0" t="0" r="15240" b="635"/>
            <wp:docPr id="14" name="图片 14"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1"/>
                    <pic:cNvPicPr>
                      <a:picLocks noChangeAspect="1"/>
                    </pic:cNvPicPr>
                  </pic:nvPicPr>
                  <pic:blipFill>
                    <a:blip r:embed="rId26"/>
                    <a:stretch>
                      <a:fillRect/>
                    </a:stretch>
                  </pic:blipFill>
                  <pic:spPr>
                    <a:xfrm>
                      <a:off x="0" y="0"/>
                      <a:ext cx="5928360" cy="4742815"/>
                    </a:xfrm>
                    <a:prstGeom prst="rect">
                      <a:avLst/>
                    </a:prstGeom>
                  </pic:spPr>
                </pic:pic>
              </a:graphicData>
            </a:graphic>
          </wp:inline>
        </w:drawing>
      </w:r>
    </w:p>
    <w:p w14:paraId="4B03B15F">
      <w:pPr>
        <w:pStyle w:val="66"/>
        <w:ind w:firstLine="420"/>
        <w:rPr>
          <w:rFonts w:ascii="Times New Roman" w:hAnsi="Times New Roman"/>
        </w:rPr>
      </w:pPr>
      <w:r>
        <w:rPr>
          <w:rFonts w:ascii="Times New Roman" w:hAnsi="Times New Roman"/>
        </w:rPr>
        <w:t>图1-</w:t>
      </w:r>
      <w:r>
        <w:rPr>
          <w:rFonts w:hint="eastAsia" w:ascii="Times New Roman" w:hAnsi="Times New Roman"/>
        </w:rPr>
        <w:t>5</w:t>
      </w:r>
      <w:r>
        <w:rPr>
          <w:rFonts w:ascii="Times New Roman" w:hAnsi="Times New Roman"/>
        </w:rPr>
        <w:t>工业</w:t>
      </w:r>
      <w:r>
        <w:rPr>
          <w:rFonts w:hint="eastAsia" w:ascii="Times New Roman" w:hAnsi="Times New Roman"/>
        </w:rPr>
        <w:t>广场</w:t>
      </w:r>
      <w:r>
        <w:rPr>
          <w:rFonts w:ascii="Times New Roman" w:hAnsi="Times New Roman"/>
        </w:rPr>
        <w:t>布局图</w:t>
      </w:r>
    </w:p>
    <w:p w14:paraId="306FC952">
      <w:pPr>
        <w:pStyle w:val="4"/>
        <w:ind w:firstLine="602"/>
      </w:pPr>
      <w:bookmarkStart w:id="47" w:name="_Toc219050273"/>
      <w:r>
        <w:rPr>
          <w:rFonts w:hint="eastAsia"/>
        </w:rPr>
        <w:t>四、发利用方案概述</w:t>
      </w:r>
      <w:bookmarkEnd w:id="47"/>
    </w:p>
    <w:p w14:paraId="4B8B171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rPr>
      </w:pPr>
      <w:r>
        <w:rPr>
          <w:rFonts w:hint="default" w:ascii="Times New Roman" w:hAnsi="Times New Roman" w:cs="Times New Roman"/>
          <w:lang w:eastAsia="zh-CN"/>
        </w:rPr>
        <w:t>202</w:t>
      </w:r>
      <w:r>
        <w:rPr>
          <w:rFonts w:hint="default" w:ascii="Times New Roman" w:hAnsi="Times New Roman" w:cs="Times New Roman"/>
          <w:lang w:val="en-US" w:eastAsia="zh-CN"/>
        </w:rPr>
        <w:t>5</w:t>
      </w:r>
      <w:r>
        <w:rPr>
          <w:rFonts w:hint="default" w:ascii="Times New Roman" w:hAnsi="Times New Roman" w:cs="Times New Roman"/>
          <w:lang w:eastAsia="zh-CN"/>
        </w:rPr>
        <w:t>年12月</w:t>
      </w:r>
      <w:r>
        <w:rPr>
          <w:rFonts w:hint="default" w:ascii="Times New Roman" w:hAnsi="Times New Roman" w:cs="Times New Roman"/>
        </w:rPr>
        <w:t>，</w:t>
      </w:r>
      <w:r>
        <w:rPr>
          <w:rFonts w:hint="default" w:ascii="Times New Roman" w:hAnsi="Times New Roman" w:cs="Times New Roman"/>
          <w:lang w:eastAsia="zh-CN"/>
        </w:rPr>
        <w:t>集安市清河镇二道滑石矿</w:t>
      </w:r>
      <w:r>
        <w:rPr>
          <w:rFonts w:hint="default" w:ascii="Times New Roman" w:hAnsi="Times New Roman" w:cs="Times New Roman"/>
        </w:rPr>
        <w:t>提交了《</w:t>
      </w:r>
      <w:r>
        <w:rPr>
          <w:rFonts w:hint="default" w:ascii="Times New Roman" w:hAnsi="Times New Roman" w:cs="Times New Roman"/>
          <w:lang w:eastAsia="zh-CN"/>
        </w:rPr>
        <w:t>吉林省集安市清河镇二道滑石矿开采方案</w:t>
      </w:r>
      <w:r>
        <w:rPr>
          <w:rFonts w:hint="default" w:ascii="Times New Roman" w:hAnsi="Times New Roman" w:cs="Times New Roman"/>
        </w:rPr>
        <w:t>》，并通过了专家评审，矿产资源开发利用方案内容如下：</w:t>
      </w:r>
    </w:p>
    <w:p w14:paraId="3201D86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szCs w:val="28"/>
        </w:rPr>
      </w:pPr>
      <w:r>
        <w:rPr>
          <w:rFonts w:hint="default" w:ascii="Times New Roman" w:hAnsi="Times New Roman" w:cs="Times New Roman"/>
          <w:szCs w:val="28"/>
        </w:rPr>
        <w:t>1.建设规模及产品方案</w:t>
      </w:r>
    </w:p>
    <w:p w14:paraId="355C0A4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szCs w:val="28"/>
        </w:rPr>
      </w:pPr>
      <w:r>
        <w:rPr>
          <w:rFonts w:hint="default" w:ascii="Times New Roman" w:hAnsi="Times New Roman" w:cs="Times New Roman"/>
          <w:szCs w:val="28"/>
          <w:lang w:eastAsia="zh-CN"/>
        </w:rPr>
        <w:t>矿山</w:t>
      </w:r>
      <w:r>
        <w:rPr>
          <w:rFonts w:hint="default" w:ascii="Times New Roman" w:hAnsi="Times New Roman" w:cs="Times New Roman"/>
          <w:szCs w:val="28"/>
        </w:rPr>
        <w:t>核定生产规模为</w:t>
      </w:r>
      <w:r>
        <w:rPr>
          <w:rFonts w:hint="default" w:ascii="Times New Roman" w:hAnsi="Times New Roman" w:cs="Times New Roman"/>
          <w:szCs w:val="28"/>
          <w:lang w:eastAsia="zh-CN"/>
        </w:rPr>
        <w:t>5万</w:t>
      </w:r>
      <w:r>
        <w:rPr>
          <w:rFonts w:hint="default" w:ascii="Times New Roman" w:hAnsi="Times New Roman" w:cs="Times New Roman"/>
          <w:szCs w:val="28"/>
        </w:rPr>
        <w:t>t/a，</w:t>
      </w:r>
      <w:r>
        <w:rPr>
          <w:rFonts w:hint="eastAsia" w:cs="Times New Roman"/>
          <w:szCs w:val="28"/>
          <w:lang w:val="en-US" w:eastAsia="zh-CN"/>
        </w:rPr>
        <w:t>地下开采，开采标高+581m—+352m</w:t>
      </w:r>
      <w:r>
        <w:rPr>
          <w:rFonts w:hint="default" w:ascii="Times New Roman" w:hAnsi="Times New Roman" w:cs="Times New Roman"/>
          <w:szCs w:val="28"/>
        </w:rPr>
        <w:t>最终产品为原</w:t>
      </w:r>
      <w:r>
        <w:rPr>
          <w:rFonts w:hint="default" w:ascii="Times New Roman" w:hAnsi="Times New Roman" w:cs="Times New Roman"/>
          <w:szCs w:val="28"/>
          <w:lang w:eastAsia="zh-CN"/>
        </w:rPr>
        <w:t>滑石</w:t>
      </w:r>
      <w:r>
        <w:rPr>
          <w:rFonts w:hint="default" w:ascii="Times New Roman" w:hAnsi="Times New Roman" w:cs="Times New Roman"/>
          <w:szCs w:val="28"/>
        </w:rPr>
        <w:t>。</w:t>
      </w:r>
    </w:p>
    <w:p w14:paraId="679F575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szCs w:val="28"/>
        </w:rPr>
      </w:pPr>
      <w:r>
        <w:rPr>
          <w:rFonts w:hint="default" w:ascii="Times New Roman" w:hAnsi="Times New Roman" w:cs="Times New Roman"/>
          <w:szCs w:val="28"/>
        </w:rPr>
        <w:t>2.开采对象</w:t>
      </w:r>
    </w:p>
    <w:p w14:paraId="4BD12B5C">
      <w:pPr>
        <w:keepNext w:val="0"/>
        <w:keepLines w:val="0"/>
        <w:pageBreakBefore w:val="0"/>
        <w:widowControl w:val="0"/>
        <w:kinsoku/>
        <w:wordWrap/>
        <w:overflowPunct/>
        <w:topLinePunct w:val="0"/>
        <w:autoSpaceDE/>
        <w:autoSpaceDN/>
        <w:bidi w:val="0"/>
        <w:adjustRightInd w:val="0"/>
        <w:snapToGrid w:val="0"/>
        <w:spacing w:before="213" w:line="360" w:lineRule="auto"/>
        <w:ind w:left="1" w:right="1" w:firstLine="590"/>
        <w:jc w:val="both"/>
        <w:textAlignment w:val="auto"/>
        <w:rPr>
          <w:rFonts w:hint="default" w:ascii="Times New Roman" w:hAnsi="Times New Roman" w:eastAsia="宋体" w:cs="Times New Roman"/>
          <w:sz w:val="28"/>
          <w:szCs w:val="28"/>
        </w:rPr>
      </w:pPr>
      <w:r>
        <w:rPr>
          <w:rFonts w:hint="default" w:ascii="Times New Roman" w:hAnsi="Times New Roman" w:cs="Times New Roman"/>
          <w:szCs w:val="28"/>
        </w:rPr>
        <w:t>矿区</w:t>
      </w:r>
      <w:r>
        <w:rPr>
          <w:rFonts w:hint="default" w:ascii="Times New Roman" w:hAnsi="Times New Roman" w:eastAsia="宋体" w:cs="Times New Roman"/>
          <w:sz w:val="28"/>
          <w:szCs w:val="28"/>
        </w:rPr>
        <w:t>共圈出6条矿体，矿体延展长度为60m～</w:t>
      </w:r>
      <w:r>
        <w:rPr>
          <w:rFonts w:hint="default" w:ascii="Times New Roman" w:hAnsi="Times New Roman" w:eastAsia="宋体" w:cs="Times New Roman"/>
          <w:spacing w:val="-1"/>
          <w:sz w:val="28"/>
          <w:szCs w:val="28"/>
        </w:rPr>
        <w:t>204m，矿床规模为小型；矿</w:t>
      </w:r>
      <w:r>
        <w:rPr>
          <w:rFonts w:hint="default" w:ascii="Times New Roman" w:hAnsi="Times New Roman" w:eastAsia="宋体" w:cs="Times New Roman"/>
          <w:spacing w:val="3"/>
          <w:sz w:val="28"/>
          <w:szCs w:val="28"/>
        </w:rPr>
        <w:t>体多呈条带状、扁豆状，边界规则，矿体形态复杂程度属规则；矿体厚度变</w:t>
      </w:r>
      <w:r>
        <w:rPr>
          <w:rFonts w:hint="default" w:ascii="Times New Roman" w:hAnsi="Times New Roman" w:eastAsia="宋体" w:cs="Times New Roman"/>
          <w:spacing w:val="-1"/>
          <w:sz w:val="28"/>
          <w:szCs w:val="28"/>
        </w:rPr>
        <w:t>化系数为37.09%～63.78%，较稳定；矿体滑</w:t>
      </w:r>
      <w:r>
        <w:rPr>
          <w:rFonts w:hint="default" w:ascii="Times New Roman" w:hAnsi="Times New Roman" w:eastAsia="宋体" w:cs="Times New Roman"/>
          <w:spacing w:val="-2"/>
          <w:sz w:val="28"/>
          <w:szCs w:val="28"/>
        </w:rPr>
        <w:t>石含量48.98%～90.34%，滑石平</w:t>
      </w:r>
      <w:r>
        <w:rPr>
          <w:rFonts w:hint="default" w:ascii="Times New Roman" w:hAnsi="Times New Roman" w:eastAsia="宋体" w:cs="Times New Roman"/>
          <w:spacing w:val="2"/>
          <w:sz w:val="28"/>
          <w:szCs w:val="28"/>
        </w:rPr>
        <w:t>均含量81.04%，质量变化系数为5.65%～17</w:t>
      </w:r>
      <w:r>
        <w:rPr>
          <w:rFonts w:hint="default" w:ascii="Times New Roman" w:hAnsi="Times New Roman" w:eastAsia="宋体" w:cs="Times New Roman"/>
          <w:spacing w:val="1"/>
          <w:sz w:val="28"/>
          <w:szCs w:val="28"/>
        </w:rPr>
        <w:t>.87%，矿石质量属稳定。受林下</w:t>
      </w:r>
      <w:r>
        <w:rPr>
          <w:rFonts w:hint="default" w:ascii="Times New Roman" w:hAnsi="Times New Roman" w:eastAsia="宋体" w:cs="Times New Roman"/>
          <w:spacing w:val="4"/>
          <w:sz w:val="28"/>
          <w:szCs w:val="28"/>
        </w:rPr>
        <w:t>参影响，矿体倾向和沿走向西侧未封闭。累计查明资源量468</w:t>
      </w:r>
      <w:r>
        <w:rPr>
          <w:rFonts w:hint="default" w:ascii="Times New Roman" w:hAnsi="Times New Roman" w:eastAsia="宋体" w:cs="Times New Roman"/>
          <w:sz w:val="28"/>
          <w:szCs w:val="28"/>
        </w:rPr>
        <w:t>kt</w:t>
      </w:r>
      <w:r>
        <w:rPr>
          <w:rFonts w:hint="default" w:ascii="Times New Roman" w:hAnsi="Times New Roman" w:eastAsia="宋体" w:cs="Times New Roman"/>
          <w:spacing w:val="4"/>
          <w:sz w:val="28"/>
          <w:szCs w:val="28"/>
        </w:rPr>
        <w:t>，其中控制</w:t>
      </w:r>
      <w:r>
        <w:rPr>
          <w:rFonts w:hint="default" w:ascii="Times New Roman" w:hAnsi="Times New Roman" w:eastAsia="宋体" w:cs="Times New Roman"/>
          <w:spacing w:val="-3"/>
          <w:sz w:val="28"/>
          <w:szCs w:val="28"/>
        </w:rPr>
        <w:t>资源量（KZ）175kt，推断资源量（TD）293kt；保有资源量463kt，其中控制</w:t>
      </w:r>
    </w:p>
    <w:p w14:paraId="130FC63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pacing w:val="-1"/>
          <w:sz w:val="28"/>
          <w:szCs w:val="28"/>
        </w:rPr>
      </w:pPr>
      <w:r>
        <w:rPr>
          <w:rFonts w:hint="default" w:ascii="Times New Roman" w:hAnsi="Times New Roman" w:eastAsia="宋体" w:cs="Times New Roman"/>
          <w:spacing w:val="-1"/>
          <w:sz w:val="28"/>
          <w:szCs w:val="28"/>
        </w:rPr>
        <w:t>资源量（KZ）170kt，推断资源量（TD）293kt。</w:t>
      </w:r>
    </w:p>
    <w:p w14:paraId="37E464C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szCs w:val="28"/>
        </w:rPr>
      </w:pPr>
      <w:r>
        <w:rPr>
          <w:rFonts w:hint="default" w:ascii="Times New Roman" w:hAnsi="Times New Roman" w:cs="Times New Roman"/>
          <w:szCs w:val="28"/>
        </w:rPr>
        <w:t>3.开拓方式及采</w:t>
      </w:r>
      <w:r>
        <w:rPr>
          <w:rFonts w:hint="default" w:ascii="Times New Roman" w:hAnsi="Times New Roman" w:cs="Times New Roman"/>
          <w:szCs w:val="28"/>
          <w:lang w:eastAsia="zh-CN"/>
        </w:rPr>
        <w:t>滑石</w:t>
      </w:r>
      <w:r>
        <w:rPr>
          <w:rFonts w:hint="default" w:ascii="Times New Roman" w:hAnsi="Times New Roman" w:cs="Times New Roman"/>
          <w:szCs w:val="28"/>
        </w:rPr>
        <w:t>方法</w:t>
      </w:r>
    </w:p>
    <w:p w14:paraId="5C954BEE">
      <w:pPr>
        <w:keepNext w:val="0"/>
        <w:keepLines w:val="0"/>
        <w:pageBreakBefore w:val="0"/>
        <w:widowControl w:val="0"/>
        <w:kinsoku/>
        <w:wordWrap/>
        <w:overflowPunct/>
        <w:topLinePunct w:val="0"/>
        <w:autoSpaceDE/>
        <w:autoSpaceDN/>
        <w:bidi w:val="0"/>
        <w:adjustRightInd w:val="0"/>
        <w:snapToGrid w:val="0"/>
        <w:spacing w:before="226" w:line="360" w:lineRule="auto"/>
        <w:ind w:firstLine="563"/>
        <w:textAlignment w:val="auto"/>
        <w:rPr>
          <w:rFonts w:hint="default" w:ascii="Times New Roman" w:hAnsi="Times New Roman" w:eastAsia="宋体" w:cs="Times New Roman"/>
          <w:sz w:val="28"/>
          <w:szCs w:val="28"/>
        </w:rPr>
      </w:pPr>
      <w:r>
        <w:rPr>
          <w:rFonts w:hint="default" w:ascii="Times New Roman" w:hAnsi="Times New Roman" w:eastAsia="宋体" w:cs="Times New Roman"/>
          <w:spacing w:val="-2"/>
          <w:sz w:val="28"/>
          <w:szCs w:val="28"/>
        </w:rPr>
        <w:t>现采矿证开采方式为露天</w:t>
      </w:r>
      <w:r>
        <w:rPr>
          <w:rFonts w:hint="default" w:ascii="Times New Roman" w:hAnsi="Times New Roman" w:eastAsia="Times New Roman" w:cs="Times New Roman"/>
          <w:spacing w:val="-2"/>
          <w:sz w:val="28"/>
          <w:szCs w:val="28"/>
        </w:rPr>
        <w:t>/</w:t>
      </w:r>
      <w:r>
        <w:rPr>
          <w:rFonts w:hint="default" w:ascii="Times New Roman" w:hAnsi="Times New Roman" w:eastAsia="宋体" w:cs="Times New Roman"/>
          <w:spacing w:val="-2"/>
          <w:sz w:val="28"/>
          <w:szCs w:val="28"/>
        </w:rPr>
        <w:t>地下开采。经本次勘查，本矿山共圈出6条矿体，矿体赋存标高581m～352m，最大埋深251.54m，最小埋深0m，除5号矿</w:t>
      </w:r>
      <w:r>
        <w:rPr>
          <w:rFonts w:hint="default" w:ascii="Times New Roman" w:hAnsi="Times New Roman" w:eastAsia="宋体" w:cs="Times New Roman"/>
          <w:spacing w:val="3"/>
          <w:sz w:val="28"/>
          <w:szCs w:val="28"/>
        </w:rPr>
        <w:t>体出露天坑侧帮外，其它皆为盲矿体，开采区域内存在林下参，不适合露天开采。</w:t>
      </w:r>
      <w:r>
        <w:rPr>
          <w:rFonts w:hint="eastAsia" w:cs="Times New Roman"/>
          <w:spacing w:val="3"/>
          <w:sz w:val="28"/>
          <w:szCs w:val="28"/>
          <w:lang w:val="en-US" w:eastAsia="zh-CN"/>
        </w:rPr>
        <w:t>根据最新的开发利用方案，此次</w:t>
      </w:r>
      <w:r>
        <w:rPr>
          <w:rFonts w:hint="default" w:ascii="Times New Roman" w:hAnsi="Times New Roman" w:eastAsia="宋体" w:cs="Times New Roman"/>
          <w:spacing w:val="2"/>
          <w:sz w:val="28"/>
          <w:szCs w:val="28"/>
        </w:rPr>
        <w:t>开采方式为地下开采。采用平硐</w:t>
      </w:r>
      <w:r>
        <w:rPr>
          <w:rFonts w:hint="default" w:ascii="Times New Roman" w:hAnsi="Times New Roman" w:eastAsia="Times New Roman" w:cs="Times New Roman"/>
          <w:spacing w:val="2"/>
          <w:sz w:val="28"/>
          <w:szCs w:val="28"/>
        </w:rPr>
        <w:t>+</w:t>
      </w:r>
      <w:r>
        <w:rPr>
          <w:rFonts w:hint="default" w:ascii="Times New Roman" w:hAnsi="Times New Roman" w:eastAsia="宋体" w:cs="Times New Roman"/>
          <w:spacing w:val="2"/>
          <w:sz w:val="28"/>
          <w:szCs w:val="28"/>
        </w:rPr>
        <w:t>盲斜井开拓，单翼对角式通风</w:t>
      </w:r>
      <w:r>
        <w:rPr>
          <w:rFonts w:hint="default" w:ascii="Times New Roman" w:hAnsi="Times New Roman" w:eastAsia="宋体" w:cs="Times New Roman"/>
          <w:spacing w:val="1"/>
          <w:sz w:val="28"/>
          <w:szCs w:val="28"/>
        </w:rPr>
        <w:t>系统，一段</w:t>
      </w:r>
      <w:r>
        <w:rPr>
          <w:rFonts w:hint="default" w:ascii="Times New Roman" w:hAnsi="Times New Roman" w:eastAsia="宋体" w:cs="Times New Roman"/>
          <w:spacing w:val="-1"/>
          <w:sz w:val="28"/>
          <w:szCs w:val="28"/>
        </w:rPr>
        <w:t>机械排水</w:t>
      </w:r>
      <w:r>
        <w:rPr>
          <w:rFonts w:hint="default" w:ascii="Times New Roman" w:hAnsi="Times New Roman" w:eastAsia="宋体" w:cs="Times New Roman"/>
          <w:spacing w:val="-1"/>
          <w:sz w:val="28"/>
          <w:szCs w:val="28"/>
          <w:lang w:eastAsia="zh-CN"/>
        </w:rPr>
        <w:t>。</w:t>
      </w:r>
    </w:p>
    <w:p w14:paraId="3757A124">
      <w:pPr>
        <w:keepNext w:val="0"/>
        <w:keepLines w:val="0"/>
        <w:pageBreakBefore w:val="0"/>
        <w:widowControl w:val="0"/>
        <w:kinsoku/>
        <w:wordWrap/>
        <w:overflowPunct/>
        <w:topLinePunct w:val="0"/>
        <w:autoSpaceDE/>
        <w:autoSpaceDN/>
        <w:bidi w:val="0"/>
        <w:adjustRightInd w:val="0"/>
        <w:snapToGrid w:val="0"/>
        <w:spacing w:line="360" w:lineRule="auto"/>
        <w:ind w:firstLine="567"/>
        <w:textAlignment w:val="auto"/>
        <w:rPr>
          <w:rFonts w:hint="default" w:ascii="Times New Roman" w:hAnsi="Times New Roman" w:eastAsia="宋体" w:cs="Times New Roman"/>
          <w:sz w:val="28"/>
          <w:szCs w:val="28"/>
        </w:rPr>
      </w:pPr>
      <w:r>
        <w:rPr>
          <w:rFonts w:hint="default" w:ascii="Times New Roman" w:hAnsi="Times New Roman" w:eastAsia="宋体" w:cs="Times New Roman"/>
          <w:spacing w:val="-2"/>
          <w:sz w:val="28"/>
          <w:szCs w:val="28"/>
        </w:rPr>
        <w:t>设计推荐采用中深孔分段空场嗣后充填采矿方法、上向水平分层干式充填采</w:t>
      </w:r>
      <w:r>
        <w:rPr>
          <w:rFonts w:hint="default" w:ascii="Times New Roman" w:hAnsi="Times New Roman" w:eastAsia="宋体" w:cs="Times New Roman"/>
          <w:spacing w:val="-3"/>
          <w:sz w:val="28"/>
          <w:szCs w:val="28"/>
        </w:rPr>
        <w:t>矿方法。</w:t>
      </w:r>
      <w:r>
        <w:rPr>
          <w:rFonts w:hint="default" w:ascii="Times New Roman" w:hAnsi="Times New Roman" w:eastAsia="宋体" w:cs="Times New Roman"/>
          <w:spacing w:val="1"/>
          <w:sz w:val="28"/>
          <w:szCs w:val="28"/>
        </w:rPr>
        <w:t>采用上行开采顺序，自下而上为分中段开采，中段内采用自远而近后退</w:t>
      </w:r>
      <w:r>
        <w:rPr>
          <w:rFonts w:hint="default" w:ascii="Times New Roman" w:hAnsi="Times New Roman" w:eastAsia="宋体" w:cs="Times New Roman"/>
          <w:spacing w:val="3"/>
          <w:sz w:val="28"/>
          <w:szCs w:val="28"/>
        </w:rPr>
        <w:t>式开采。采至最上部回风中段结束开采后，采取废石复充及低浓度水泥砂浆灌注方式，有效控制地表岩移，不会造成地表塌陷。使用房柱法采矿的矿体厚度薄，埋藏深度大。按照硅藻土开采实际及相关研究报告，可以确定其采</w:t>
      </w:r>
      <w:r>
        <w:rPr>
          <w:rFonts w:hint="default" w:ascii="Times New Roman" w:hAnsi="Times New Roman" w:eastAsia="宋体" w:cs="Times New Roman"/>
          <w:spacing w:val="-1"/>
          <w:sz w:val="28"/>
          <w:szCs w:val="28"/>
        </w:rPr>
        <w:t>场冒落范围不会波及地表，</w:t>
      </w:r>
      <w:r>
        <w:rPr>
          <w:rFonts w:hint="default" w:ascii="Times New Roman" w:hAnsi="Times New Roman" w:eastAsia="宋体" w:cs="Times New Roman"/>
          <w:spacing w:val="-1"/>
          <w:sz w:val="28"/>
          <w:szCs w:val="28"/>
          <w:lang w:val="en-US" w:eastAsia="zh-CN"/>
        </w:rPr>
        <w:t>不会</w:t>
      </w:r>
      <w:r>
        <w:rPr>
          <w:rFonts w:hint="default" w:ascii="Times New Roman" w:hAnsi="Times New Roman" w:eastAsia="宋体" w:cs="Times New Roman"/>
          <w:spacing w:val="-1"/>
          <w:sz w:val="28"/>
          <w:szCs w:val="28"/>
        </w:rPr>
        <w:t>造成地表塌陷。</w:t>
      </w:r>
    </w:p>
    <w:p w14:paraId="041A2BD4">
      <w:pPr>
        <w:keepNext w:val="0"/>
        <w:keepLines w:val="0"/>
        <w:pageBreakBefore w:val="0"/>
        <w:widowControl w:val="0"/>
        <w:kinsoku/>
        <w:wordWrap/>
        <w:overflowPunct/>
        <w:topLinePunct w:val="0"/>
        <w:autoSpaceDE/>
        <w:autoSpaceDN/>
        <w:bidi w:val="0"/>
        <w:adjustRightInd w:val="0"/>
        <w:snapToGrid w:val="0"/>
        <w:spacing w:line="360" w:lineRule="auto"/>
        <w:ind w:firstLine="567"/>
        <w:textAlignment w:val="auto"/>
        <w:rPr>
          <w:rFonts w:hint="default" w:ascii="Times New Roman" w:hAnsi="Times New Roman" w:eastAsia="宋体" w:cs="Times New Roman"/>
          <w:spacing w:val="-1"/>
          <w:sz w:val="28"/>
          <w:szCs w:val="28"/>
        </w:rPr>
      </w:pPr>
      <w:r>
        <w:rPr>
          <w:rFonts w:hint="default" w:ascii="Times New Roman" w:hAnsi="Times New Roman" w:eastAsia="宋体" w:cs="Times New Roman"/>
          <w:spacing w:val="-1"/>
          <w:sz w:val="28"/>
          <w:szCs w:val="28"/>
        </w:rPr>
        <w:t>4.开拓运输方案</w:t>
      </w:r>
    </w:p>
    <w:p w14:paraId="4AE25566">
      <w:pPr>
        <w:keepNext w:val="0"/>
        <w:keepLines w:val="0"/>
        <w:pageBreakBefore w:val="0"/>
        <w:widowControl w:val="0"/>
        <w:kinsoku/>
        <w:wordWrap/>
        <w:overflowPunct/>
        <w:topLinePunct w:val="0"/>
        <w:autoSpaceDE/>
        <w:autoSpaceDN/>
        <w:bidi w:val="0"/>
        <w:adjustRightInd w:val="0"/>
        <w:snapToGrid w:val="0"/>
        <w:spacing w:line="360" w:lineRule="auto"/>
        <w:ind w:firstLine="567"/>
        <w:textAlignment w:val="auto"/>
        <w:rPr>
          <w:rFonts w:hint="default" w:ascii="Times New Roman" w:hAnsi="Times New Roman" w:eastAsia="宋体" w:cs="Times New Roman"/>
          <w:spacing w:val="-1"/>
          <w:sz w:val="28"/>
          <w:szCs w:val="28"/>
          <w:lang w:eastAsia="zh-CN"/>
        </w:rPr>
      </w:pPr>
      <w:r>
        <w:rPr>
          <w:rFonts w:hint="default" w:ascii="Times New Roman" w:hAnsi="Times New Roman" w:eastAsia="宋体" w:cs="Times New Roman"/>
          <w:spacing w:val="-1"/>
          <w:sz w:val="28"/>
          <w:szCs w:val="28"/>
        </w:rPr>
        <w:t>平巷运输蓄电池电机车运输矿岩，上行开采顺序。地面汽车运输</w:t>
      </w:r>
      <w:r>
        <w:rPr>
          <w:rFonts w:hint="default" w:ascii="Times New Roman" w:hAnsi="Times New Roman" w:cs="Times New Roman"/>
          <w:spacing w:val="-1"/>
          <w:sz w:val="28"/>
          <w:szCs w:val="28"/>
          <w:lang w:eastAsia="zh-CN"/>
        </w:rPr>
        <w:t>。</w:t>
      </w:r>
    </w:p>
    <w:p w14:paraId="716EB20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szCs w:val="28"/>
        </w:rPr>
      </w:pPr>
      <w:r>
        <w:rPr>
          <w:rFonts w:hint="default" w:ascii="Times New Roman" w:hAnsi="Times New Roman" w:cs="Times New Roman"/>
          <w:szCs w:val="28"/>
        </w:rPr>
        <w:t>5.防治水方案</w:t>
      </w:r>
    </w:p>
    <w:p w14:paraId="3EB02D8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szCs w:val="28"/>
        </w:rPr>
      </w:pPr>
      <w:r>
        <w:rPr>
          <w:rFonts w:hint="default" w:ascii="Times New Roman" w:hAnsi="Times New Roman" w:cs="Times New Roman"/>
          <w:color w:val="000000"/>
          <w:szCs w:val="28"/>
        </w:rPr>
        <w:t>据</w:t>
      </w:r>
      <w:r>
        <w:rPr>
          <w:rFonts w:hint="default" w:ascii="Times New Roman" w:hAnsi="Times New Roman" w:cs="Times New Roman"/>
          <w:color w:val="000000"/>
          <w:szCs w:val="28"/>
          <w:lang w:eastAsia="zh-CN"/>
        </w:rPr>
        <w:t>矿山</w:t>
      </w:r>
      <w:r>
        <w:rPr>
          <w:rFonts w:hint="default" w:ascii="Times New Roman" w:hAnsi="Times New Roman" w:cs="Times New Roman"/>
          <w:color w:val="000000"/>
          <w:szCs w:val="28"/>
          <w:lang w:val="en-US" w:eastAsia="zh-CN"/>
        </w:rPr>
        <w:t>开发利用方案中涌水量</w:t>
      </w:r>
      <w:r>
        <w:rPr>
          <w:rFonts w:hint="default" w:ascii="Times New Roman" w:hAnsi="Times New Roman" w:cs="Times New Roman"/>
          <w:color w:val="000000"/>
          <w:szCs w:val="28"/>
        </w:rPr>
        <w:t>监测资料，正常涌水量为</w:t>
      </w:r>
      <w:r>
        <w:rPr>
          <w:rFonts w:hint="default" w:ascii="Times New Roman" w:hAnsi="Times New Roman" w:eastAsia="宋体" w:cs="Times New Roman"/>
          <w:spacing w:val="-1"/>
          <w:sz w:val="28"/>
          <w:szCs w:val="28"/>
        </w:rPr>
        <w:t>206.81m</w:t>
      </w:r>
      <w:r>
        <w:rPr>
          <w:rFonts w:hint="default" w:ascii="Times New Roman" w:hAnsi="Times New Roman" w:eastAsia="宋体" w:cs="Times New Roman"/>
          <w:spacing w:val="-1"/>
          <w:position w:val="14"/>
          <w:sz w:val="13"/>
          <w:szCs w:val="13"/>
        </w:rPr>
        <w:t>3</w:t>
      </w:r>
      <w:r>
        <w:rPr>
          <w:rFonts w:hint="default" w:ascii="Times New Roman" w:hAnsi="Times New Roman" w:eastAsia="宋体" w:cs="Times New Roman"/>
          <w:spacing w:val="-1"/>
          <w:sz w:val="28"/>
          <w:szCs w:val="28"/>
        </w:rPr>
        <w:t>/d</w:t>
      </w:r>
      <w:r>
        <w:rPr>
          <w:rFonts w:hint="default" w:ascii="Times New Roman" w:hAnsi="Times New Roman" w:cs="Times New Roman"/>
          <w:color w:val="000000"/>
          <w:szCs w:val="28"/>
        </w:rPr>
        <w:t>，</w:t>
      </w:r>
      <w:r>
        <w:rPr>
          <w:rFonts w:hint="default" w:ascii="Times New Roman" w:hAnsi="Times New Roman" w:cs="Times New Roman"/>
          <w:szCs w:val="28"/>
        </w:rPr>
        <w:t>矿山为</w:t>
      </w:r>
      <w:r>
        <w:rPr>
          <w:rFonts w:hint="default" w:ascii="Times New Roman" w:hAnsi="Times New Roman" w:cs="Times New Roman"/>
          <w:szCs w:val="28"/>
          <w:lang w:val="en-US" w:eastAsia="zh-CN"/>
        </w:rPr>
        <w:t>平硐和盲斜井</w:t>
      </w:r>
      <w:r>
        <w:rPr>
          <w:rFonts w:hint="default" w:ascii="Times New Roman" w:hAnsi="Times New Roman" w:cs="Times New Roman"/>
          <w:szCs w:val="28"/>
        </w:rPr>
        <w:t>开拓方式，采用集中分段排水系统，井下各采掘工作面的水，通过自流排水方式进入各水平井底水仓，通过主排水泵分段排至地面。</w:t>
      </w:r>
    </w:p>
    <w:p w14:paraId="07D0676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szCs w:val="28"/>
        </w:rPr>
      </w:pPr>
      <w:r>
        <w:rPr>
          <w:rFonts w:hint="default" w:ascii="Times New Roman" w:hAnsi="Times New Roman" w:cs="Times New Roman"/>
          <w:szCs w:val="28"/>
        </w:rPr>
        <w:t>6.顶板管理方法</w:t>
      </w:r>
    </w:p>
    <w:p w14:paraId="0460497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pacing w:val="-2"/>
          <w:sz w:val="28"/>
          <w:szCs w:val="28"/>
        </w:rPr>
      </w:pPr>
      <w:r>
        <w:rPr>
          <w:rFonts w:hint="default" w:ascii="Times New Roman" w:hAnsi="Times New Roman" w:cs="Times New Roman"/>
          <w:szCs w:val="28"/>
        </w:rPr>
        <w:t>根据矿山矿产资源开发利用方案，</w:t>
      </w:r>
      <w:r>
        <w:rPr>
          <w:rFonts w:hint="default" w:ascii="Times New Roman" w:hAnsi="Times New Roman" w:eastAsia="宋体" w:cs="Times New Roman"/>
          <w:spacing w:val="-1"/>
          <w:sz w:val="28"/>
          <w:szCs w:val="28"/>
        </w:rPr>
        <w:t>该矿床矿体顶底板及围岩为变粒岩、浅粒岩，岩石力学强度高，岩体完</w:t>
      </w:r>
      <w:r>
        <w:rPr>
          <w:rFonts w:hint="default" w:ascii="Times New Roman" w:hAnsi="Times New Roman" w:eastAsia="宋体" w:cs="Times New Roman"/>
          <w:spacing w:val="-3"/>
          <w:sz w:val="28"/>
          <w:szCs w:val="28"/>
        </w:rPr>
        <w:t>整-较完整，矿体顶底板及井巷稳固性较好。但</w:t>
      </w:r>
      <w:r>
        <w:rPr>
          <w:rFonts w:hint="default" w:ascii="Times New Roman" w:hAnsi="Times New Roman" w:eastAsia="宋体" w:cs="Times New Roman"/>
          <w:spacing w:val="-4"/>
          <w:sz w:val="28"/>
          <w:szCs w:val="28"/>
        </w:rPr>
        <w:t>强风化带、构造破碎带岩石破碎，</w:t>
      </w:r>
      <w:r>
        <w:rPr>
          <w:rFonts w:hint="default" w:ascii="Times New Roman" w:hAnsi="Times New Roman" w:eastAsia="宋体" w:cs="Times New Roman"/>
          <w:spacing w:val="-2"/>
          <w:sz w:val="28"/>
          <w:szCs w:val="28"/>
        </w:rPr>
        <w:t>裂隙发育，稳定性较差，井巷必需进行支护</w:t>
      </w:r>
    </w:p>
    <w:p w14:paraId="715D153A">
      <w:pPr>
        <w:ind w:firstLine="560"/>
        <w:rPr>
          <w:rFonts w:hint="default" w:ascii="Times New Roman" w:hAnsi="Times New Roman" w:cs="Times New Roman"/>
          <w:szCs w:val="28"/>
        </w:rPr>
      </w:pPr>
      <w:r>
        <w:rPr>
          <w:rFonts w:hint="default" w:ascii="Times New Roman" w:hAnsi="Times New Roman" w:cs="Times New Roman"/>
          <w:szCs w:val="28"/>
        </w:rPr>
        <w:t>7.矿山固体废弃物和废水处理方案</w:t>
      </w:r>
    </w:p>
    <w:p w14:paraId="0B1B60F6">
      <w:pPr>
        <w:ind w:firstLine="560"/>
        <w:rPr>
          <w:rFonts w:hint="default" w:ascii="Times New Roman" w:hAnsi="Times New Roman" w:eastAsia="宋体" w:cs="Times New Roman"/>
          <w:szCs w:val="28"/>
          <w:lang w:eastAsia="zh-CN"/>
        </w:rPr>
      </w:pPr>
      <w:r>
        <w:rPr>
          <w:rFonts w:hint="default" w:ascii="Times New Roman" w:hAnsi="Times New Roman" w:cs="Times New Roman"/>
          <w:szCs w:val="28"/>
        </w:rPr>
        <w:t>矿山现有产生固体废弃物主要是</w:t>
      </w:r>
      <w:r>
        <w:rPr>
          <w:rFonts w:hint="default" w:ascii="Times New Roman" w:hAnsi="Times New Roman" w:cs="Times New Roman"/>
          <w:szCs w:val="28"/>
          <w:lang w:val="en-US" w:eastAsia="zh-CN"/>
        </w:rPr>
        <w:t>废石和</w:t>
      </w:r>
      <w:r>
        <w:rPr>
          <w:rFonts w:hint="default" w:ascii="Times New Roman" w:hAnsi="Times New Roman" w:cs="Times New Roman"/>
          <w:szCs w:val="28"/>
        </w:rPr>
        <w:t>生活垃圾。</w:t>
      </w:r>
      <w:r>
        <w:rPr>
          <w:rFonts w:hint="default" w:ascii="Times New Roman" w:hAnsi="Times New Roman" w:cs="Times New Roman"/>
          <w:szCs w:val="28"/>
          <w:lang w:val="en-US" w:eastAsia="zh-CN"/>
        </w:rPr>
        <w:t>废石定期回填采空区，</w:t>
      </w:r>
      <w:r>
        <w:rPr>
          <w:rFonts w:hint="default" w:ascii="Times New Roman" w:hAnsi="Times New Roman" w:cs="Times New Roman"/>
          <w:szCs w:val="28"/>
        </w:rPr>
        <w:t>矿山现产生的废水主要为</w:t>
      </w:r>
      <w:r>
        <w:rPr>
          <w:rFonts w:hint="default" w:ascii="Times New Roman" w:hAnsi="Times New Roman" w:cs="Times New Roman"/>
          <w:szCs w:val="28"/>
          <w:lang w:eastAsia="zh-CN"/>
        </w:rPr>
        <w:t>矿山</w:t>
      </w:r>
      <w:r>
        <w:rPr>
          <w:rFonts w:hint="default" w:ascii="Times New Roman" w:hAnsi="Times New Roman" w:cs="Times New Roman"/>
          <w:szCs w:val="28"/>
        </w:rPr>
        <w:t>排放的生产废水和职工的生活污水</w:t>
      </w:r>
      <w:r>
        <w:rPr>
          <w:rFonts w:hint="default" w:ascii="Times New Roman" w:hAnsi="Times New Roman" w:cs="Times New Roman"/>
          <w:szCs w:val="28"/>
          <w:lang w:eastAsia="zh-CN"/>
        </w:rPr>
        <w:t>，</w:t>
      </w:r>
      <w:r>
        <w:rPr>
          <w:rFonts w:hint="default" w:ascii="Times New Roman" w:hAnsi="Times New Roman" w:eastAsia="宋体" w:cs="Times New Roman"/>
          <w:spacing w:val="2"/>
          <w:sz w:val="28"/>
          <w:szCs w:val="28"/>
        </w:rPr>
        <w:t>矿山在今后的开采过程中必需严格执行废水排放制度，废水必需经过一</w:t>
      </w:r>
      <w:r>
        <w:rPr>
          <w:rFonts w:hint="default" w:ascii="Times New Roman" w:hAnsi="Times New Roman" w:eastAsia="宋体" w:cs="Times New Roman"/>
          <w:spacing w:val="-1"/>
          <w:sz w:val="28"/>
          <w:szCs w:val="28"/>
        </w:rPr>
        <w:t>定处理，达到规定排放标准之后方可排放</w:t>
      </w:r>
    </w:p>
    <w:p w14:paraId="002C0C3B">
      <w:pPr>
        <w:numPr>
          <w:ilvl w:val="0"/>
          <w:numId w:val="4"/>
        </w:numPr>
        <w:ind w:firstLine="560"/>
        <w:rPr>
          <w:rFonts w:hint="default" w:ascii="Times New Roman" w:hAnsi="Times New Roman" w:cs="Times New Roman"/>
          <w:szCs w:val="28"/>
          <w:lang w:val="en-US" w:eastAsia="zh-CN"/>
        </w:rPr>
      </w:pPr>
      <w:r>
        <w:rPr>
          <w:rFonts w:hint="default" w:ascii="Times New Roman" w:hAnsi="Times New Roman" w:cs="Times New Roman"/>
          <w:szCs w:val="28"/>
          <w:lang w:val="en-US" w:eastAsia="zh-CN"/>
        </w:rPr>
        <w:t>废石</w:t>
      </w:r>
    </w:p>
    <w:p w14:paraId="05C67585">
      <w:pPr>
        <w:numPr>
          <w:ilvl w:val="0"/>
          <w:numId w:val="0"/>
        </w:numPr>
        <w:ind w:firstLine="560" w:firstLineChars="200"/>
        <w:rPr>
          <w:rFonts w:hint="default" w:ascii="Times New Roman" w:hAnsi="Times New Roman" w:cs="Times New Roman"/>
          <w:szCs w:val="28"/>
        </w:rPr>
      </w:pPr>
      <w:r>
        <w:rPr>
          <w:rFonts w:hint="default" w:ascii="Times New Roman" w:hAnsi="Times New Roman" w:cs="Times New Roman"/>
          <w:szCs w:val="28"/>
          <w:lang w:val="en-US" w:eastAsia="zh-CN"/>
        </w:rPr>
        <w:t>废石</w:t>
      </w:r>
      <w:r>
        <w:rPr>
          <w:rFonts w:hint="default" w:ascii="Times New Roman" w:hAnsi="Times New Roman" w:cs="Times New Roman"/>
          <w:szCs w:val="28"/>
        </w:rPr>
        <w:t>井下作轨道路基和封闭巷道用，30%可做混凝土的掺合材料、建筑材料、保温材料和惰性防水材料等用。</w:t>
      </w:r>
    </w:p>
    <w:p w14:paraId="1E8B3486">
      <w:pPr>
        <w:ind w:firstLine="560"/>
        <w:rPr>
          <w:rFonts w:hint="default" w:ascii="Times New Roman" w:hAnsi="Times New Roman" w:cs="Times New Roman"/>
          <w:szCs w:val="28"/>
        </w:rPr>
      </w:pPr>
      <w:r>
        <w:rPr>
          <w:rFonts w:hint="default" w:ascii="Times New Roman" w:hAnsi="Times New Roman" w:cs="Times New Roman"/>
          <w:szCs w:val="28"/>
        </w:rPr>
        <w:t>（</w:t>
      </w:r>
      <w:r>
        <w:rPr>
          <w:rFonts w:hint="default" w:ascii="Times New Roman" w:hAnsi="Times New Roman" w:cs="Times New Roman"/>
          <w:szCs w:val="28"/>
          <w:lang w:val="en-US" w:eastAsia="zh-CN"/>
        </w:rPr>
        <w:t>2</w:t>
      </w:r>
      <w:r>
        <w:rPr>
          <w:rFonts w:hint="default" w:ascii="Times New Roman" w:hAnsi="Times New Roman" w:cs="Times New Roman"/>
          <w:szCs w:val="28"/>
        </w:rPr>
        <w:t>）生活垃圾</w:t>
      </w:r>
    </w:p>
    <w:p w14:paraId="039BD241">
      <w:pPr>
        <w:ind w:firstLine="560"/>
        <w:rPr>
          <w:rFonts w:hint="default" w:ascii="Times New Roman" w:hAnsi="Times New Roman" w:cs="Times New Roman"/>
          <w:szCs w:val="28"/>
        </w:rPr>
      </w:pPr>
      <w:r>
        <w:rPr>
          <w:rFonts w:hint="default" w:ascii="Times New Roman" w:hAnsi="Times New Roman" w:cs="Times New Roman"/>
          <w:szCs w:val="28"/>
        </w:rPr>
        <w:t>矿区生活垃圾的排放量与矿区人口数成正比，本矿总人数为196人，其中，原</w:t>
      </w:r>
      <w:r>
        <w:rPr>
          <w:rFonts w:hint="default" w:ascii="Times New Roman" w:hAnsi="Times New Roman" w:cs="Times New Roman"/>
          <w:szCs w:val="28"/>
          <w:lang w:eastAsia="zh-CN"/>
        </w:rPr>
        <w:t>滑石</w:t>
      </w:r>
      <w:r>
        <w:rPr>
          <w:rFonts w:hint="default" w:ascii="Times New Roman" w:hAnsi="Times New Roman" w:cs="Times New Roman"/>
          <w:szCs w:val="28"/>
        </w:rPr>
        <w:t>生产人员出勤人数为186人。出勤率采</w:t>
      </w:r>
      <w:r>
        <w:rPr>
          <w:rFonts w:hint="default" w:ascii="Times New Roman" w:hAnsi="Times New Roman" w:cs="Times New Roman"/>
          <w:szCs w:val="28"/>
          <w:lang w:eastAsia="zh-CN"/>
        </w:rPr>
        <w:t>滑石</w:t>
      </w:r>
      <w:r>
        <w:rPr>
          <w:rFonts w:hint="default" w:ascii="Times New Roman" w:hAnsi="Times New Roman" w:cs="Times New Roman"/>
          <w:szCs w:val="28"/>
        </w:rPr>
        <w:t>工人85%，井下其他工人90%，地面工人10%，按每人每天0.8kg排放量计算，本矿生活垃圾排放量134.5kg/d。</w:t>
      </w:r>
      <w:r>
        <w:rPr>
          <w:rFonts w:hint="default" w:ascii="Times New Roman" w:hAnsi="Times New Roman" w:cs="Times New Roman"/>
          <w:szCs w:val="28"/>
          <w:lang w:eastAsia="zh-CN"/>
        </w:rPr>
        <w:t>矿山</w:t>
      </w:r>
      <w:r>
        <w:rPr>
          <w:rFonts w:hint="default" w:ascii="Times New Roman" w:hAnsi="Times New Roman" w:cs="Times New Roman"/>
          <w:szCs w:val="28"/>
        </w:rPr>
        <w:t>应在工业场地设置垃圾箱定点收集垃圾，由汽车统一运往当地政府规划的垃圾填埋场进行填埋。</w:t>
      </w:r>
    </w:p>
    <w:p w14:paraId="549B904F">
      <w:pPr>
        <w:ind w:firstLine="560"/>
        <w:rPr>
          <w:rFonts w:hint="default" w:ascii="Times New Roman" w:hAnsi="Times New Roman" w:cs="Times New Roman"/>
          <w:szCs w:val="28"/>
        </w:rPr>
      </w:pPr>
      <w:r>
        <w:rPr>
          <w:rFonts w:hint="default" w:ascii="Times New Roman" w:hAnsi="Times New Roman" w:cs="Times New Roman"/>
          <w:szCs w:val="28"/>
        </w:rPr>
        <w:t>（</w:t>
      </w:r>
      <w:r>
        <w:rPr>
          <w:rFonts w:hint="default" w:ascii="Times New Roman" w:hAnsi="Times New Roman" w:cs="Times New Roman"/>
          <w:szCs w:val="28"/>
          <w:lang w:val="en-US" w:eastAsia="zh-CN"/>
        </w:rPr>
        <w:t>3</w:t>
      </w:r>
      <w:r>
        <w:rPr>
          <w:rFonts w:hint="default" w:ascii="Times New Roman" w:hAnsi="Times New Roman" w:cs="Times New Roman"/>
          <w:szCs w:val="28"/>
        </w:rPr>
        <w:t>）生产废水</w:t>
      </w:r>
    </w:p>
    <w:p w14:paraId="4691A013">
      <w:pPr>
        <w:ind w:firstLine="560"/>
        <w:rPr>
          <w:rFonts w:hint="default" w:ascii="Times New Roman" w:hAnsi="Times New Roman" w:cs="Times New Roman"/>
          <w:szCs w:val="28"/>
        </w:rPr>
      </w:pPr>
      <w:r>
        <w:rPr>
          <w:rFonts w:hint="default" w:ascii="Times New Roman" w:hAnsi="Times New Roman" w:cs="Times New Roman"/>
          <w:szCs w:val="28"/>
          <w:lang w:eastAsia="zh-CN"/>
        </w:rPr>
        <w:t>矿山</w:t>
      </w:r>
      <w:r>
        <w:rPr>
          <w:rFonts w:hint="default" w:ascii="Times New Roman" w:hAnsi="Times New Roman" w:cs="Times New Roman"/>
          <w:szCs w:val="28"/>
        </w:rPr>
        <w:t>水排至地面后，经矿区内设有的沉淀池预沉调节池内自然沉积3～4小时，经混凝沉淀+过滤+消毒处理后的井下水，通过管路返回井下，作为井下生产机械、降尘、洒水用水供水水源。</w:t>
      </w:r>
    </w:p>
    <w:p w14:paraId="1C3151DF">
      <w:pPr>
        <w:ind w:firstLine="560"/>
        <w:rPr>
          <w:rFonts w:hint="default" w:ascii="Times New Roman" w:hAnsi="Times New Roman" w:cs="Times New Roman"/>
          <w:szCs w:val="28"/>
        </w:rPr>
      </w:pPr>
      <w:r>
        <w:rPr>
          <w:rFonts w:hint="default" w:ascii="Times New Roman" w:hAnsi="Times New Roman" w:cs="Times New Roman"/>
          <w:szCs w:val="28"/>
        </w:rPr>
        <w:t>（</w:t>
      </w:r>
      <w:r>
        <w:rPr>
          <w:rFonts w:hint="default" w:ascii="Times New Roman" w:hAnsi="Times New Roman" w:cs="Times New Roman"/>
          <w:szCs w:val="28"/>
          <w:lang w:val="en-US" w:eastAsia="zh-CN"/>
        </w:rPr>
        <w:t>4</w:t>
      </w:r>
      <w:r>
        <w:rPr>
          <w:rFonts w:hint="default" w:ascii="Times New Roman" w:hAnsi="Times New Roman" w:cs="Times New Roman"/>
          <w:szCs w:val="28"/>
        </w:rPr>
        <w:t>）生活污水</w:t>
      </w:r>
    </w:p>
    <w:p w14:paraId="16861173">
      <w:pPr>
        <w:ind w:firstLine="560"/>
        <w:rPr>
          <w:rFonts w:hint="default" w:ascii="Times New Roman" w:hAnsi="Times New Roman" w:cs="Times New Roman"/>
          <w:szCs w:val="28"/>
        </w:rPr>
      </w:pPr>
      <w:r>
        <w:rPr>
          <w:rFonts w:hint="default" w:ascii="Times New Roman" w:hAnsi="Times New Roman" w:cs="Times New Roman"/>
          <w:szCs w:val="28"/>
        </w:rPr>
        <w:t>生活污水处理后一部分用于绿化、地面降尘及储</w:t>
      </w:r>
      <w:r>
        <w:rPr>
          <w:rFonts w:hint="default" w:ascii="Times New Roman" w:hAnsi="Times New Roman" w:cs="Times New Roman"/>
          <w:szCs w:val="28"/>
          <w:lang w:eastAsia="zh-CN"/>
        </w:rPr>
        <w:t>滑石</w:t>
      </w:r>
      <w:r>
        <w:rPr>
          <w:rFonts w:hint="default" w:ascii="Times New Roman" w:hAnsi="Times New Roman" w:cs="Times New Roman"/>
          <w:szCs w:val="28"/>
        </w:rPr>
        <w:t>场除尘洒水等，其余经地面管网排至场外。全矿生活污水排入本矿排水系统，进入城市下水管网，经</w:t>
      </w:r>
      <w:r>
        <w:rPr>
          <w:rFonts w:hint="default" w:ascii="Times New Roman" w:hAnsi="Times New Roman" w:cs="Times New Roman"/>
          <w:szCs w:val="28"/>
          <w:lang w:eastAsia="zh-CN"/>
        </w:rPr>
        <w:t>通化市</w:t>
      </w:r>
      <w:r>
        <w:rPr>
          <w:rFonts w:hint="default" w:ascii="Times New Roman" w:hAnsi="Times New Roman" w:cs="Times New Roman"/>
          <w:szCs w:val="28"/>
        </w:rPr>
        <w:t>污水处理厂处理后，排入</w:t>
      </w:r>
      <w:r>
        <w:rPr>
          <w:rFonts w:hint="eastAsia" w:cs="Times New Roman"/>
          <w:szCs w:val="28"/>
          <w:lang w:val="en-US" w:eastAsia="zh-CN"/>
        </w:rPr>
        <w:t>河流</w:t>
      </w:r>
      <w:r>
        <w:rPr>
          <w:rFonts w:hint="default" w:ascii="Times New Roman" w:hAnsi="Times New Roman" w:cs="Times New Roman"/>
          <w:szCs w:val="28"/>
        </w:rPr>
        <w:t>，生活污水水质符合《污水排入城市下水道水质标准》。</w:t>
      </w:r>
    </w:p>
    <w:bookmarkEnd w:id="30"/>
    <w:bookmarkEnd w:id="31"/>
    <w:p w14:paraId="6717125E">
      <w:pPr>
        <w:pStyle w:val="3"/>
      </w:pPr>
      <w:bookmarkStart w:id="48" w:name="_Toc215692435"/>
      <w:bookmarkStart w:id="49" w:name="_Toc211790733"/>
      <w:bookmarkStart w:id="50" w:name="_Toc219050274"/>
      <w:r>
        <w:t>第二章矿区基础信息</w:t>
      </w:r>
      <w:bookmarkEnd w:id="48"/>
      <w:bookmarkEnd w:id="49"/>
      <w:bookmarkEnd w:id="50"/>
    </w:p>
    <w:p w14:paraId="7B287CD5">
      <w:pPr>
        <w:pStyle w:val="4"/>
        <w:ind w:firstLine="602"/>
        <w:rPr>
          <w:rFonts w:ascii="Times New Roman" w:hAnsi="Times New Roman"/>
        </w:rPr>
      </w:pPr>
      <w:bookmarkStart w:id="51" w:name="_Toc211790734"/>
      <w:bookmarkStart w:id="52" w:name="_Toc215692436"/>
      <w:bookmarkStart w:id="53" w:name="_Toc219050275"/>
      <w:r>
        <w:rPr>
          <w:rFonts w:ascii="Times New Roman" w:hAnsi="Times New Roman"/>
        </w:rPr>
        <w:t>一、矿区自然条件</w:t>
      </w:r>
      <w:bookmarkEnd w:id="51"/>
      <w:bookmarkEnd w:id="52"/>
      <w:bookmarkEnd w:id="53"/>
    </w:p>
    <w:p w14:paraId="5B49EBAB">
      <w:pPr>
        <w:pStyle w:val="5"/>
        <w:ind w:firstLine="562"/>
      </w:pPr>
      <w:bookmarkStart w:id="54" w:name="_Toc211790735"/>
      <w:r>
        <w:t>（一）地形地貌</w:t>
      </w:r>
      <w:bookmarkEnd w:id="54"/>
    </w:p>
    <w:p w14:paraId="076A6075">
      <w:pPr>
        <w:ind w:firstLine="562"/>
        <w:rPr>
          <w:b/>
          <w:bCs/>
        </w:rPr>
      </w:pPr>
      <w:r>
        <w:rPr>
          <w:rFonts w:hint="eastAsia"/>
          <w:b/>
          <w:bCs/>
        </w:rPr>
        <w:t>1.地形</w:t>
      </w:r>
    </w:p>
    <w:p w14:paraId="635C557E">
      <w:pPr>
        <w:widowControl/>
        <w:jc w:val="left"/>
      </w:pPr>
      <w:r>
        <w:rPr>
          <w:rFonts w:hAnsi="Times New Roman"/>
        </w:rPr>
        <w:t>评估区长白山系老岭山脉北侧，属低山地貌形态，山势峻峭，坡陡林密，多为自然林覆盖。</w:t>
      </w:r>
    </w:p>
    <w:p w14:paraId="6B33166D">
      <w:pPr>
        <w:ind w:firstLine="562"/>
        <w:rPr>
          <w:b/>
          <w:bCs/>
        </w:rPr>
      </w:pPr>
      <w:r>
        <w:rPr>
          <w:rFonts w:hint="eastAsia"/>
          <w:b/>
          <w:bCs/>
        </w:rPr>
        <w:t>2.地貌</w:t>
      </w:r>
    </w:p>
    <w:p w14:paraId="21F03CB9">
      <w:pPr>
        <w:ind w:firstLine="560"/>
      </w:pPr>
      <w:r>
        <w:rPr>
          <w:rFonts w:hint="eastAsia"/>
        </w:rPr>
        <w:t>本区分为构造剥蚀低山区地貌单元。</w:t>
      </w:r>
    </w:p>
    <w:p w14:paraId="1856590E">
      <w:pPr>
        <w:ind w:firstLine="560"/>
      </w:pPr>
      <w:r>
        <w:rPr>
          <w:rFonts w:hint="eastAsia"/>
        </w:rPr>
        <w:t>构造剥蚀低山区：位于评估区的</w:t>
      </w:r>
      <w:r>
        <w:rPr>
          <w:rFonts w:hint="eastAsia"/>
          <w:highlight w:val="none"/>
        </w:rPr>
        <w:t>北部地区。海拔高度</w:t>
      </w:r>
      <w:r>
        <w:rPr>
          <w:rFonts w:hint="eastAsia"/>
          <w:highlight w:val="none"/>
          <w:lang w:val="en-US" w:eastAsia="zh-CN"/>
        </w:rPr>
        <w:t>654</w:t>
      </w:r>
      <w:r>
        <w:rPr>
          <w:rFonts w:hint="eastAsia"/>
          <w:highlight w:val="none"/>
        </w:rPr>
        <w:t>-</w:t>
      </w:r>
      <w:r>
        <w:rPr>
          <w:rFonts w:hint="eastAsia"/>
          <w:highlight w:val="none"/>
          <w:lang w:val="en-US" w:eastAsia="zh-CN"/>
        </w:rPr>
        <w:t>540</w:t>
      </w:r>
      <w:r>
        <w:rPr>
          <w:rFonts w:hint="eastAsia"/>
          <w:highlight w:val="none"/>
        </w:rPr>
        <w:t>m，相对高差</w:t>
      </w:r>
      <w:r>
        <w:rPr>
          <w:rFonts w:hint="eastAsia"/>
          <w:highlight w:val="none"/>
          <w:lang w:val="en-US" w:eastAsia="zh-CN"/>
        </w:rPr>
        <w:t>114</w:t>
      </w:r>
      <w:r>
        <w:rPr>
          <w:rFonts w:hint="eastAsia"/>
          <w:highlight w:val="none"/>
        </w:rPr>
        <w:t>m左右，主要由</w:t>
      </w:r>
      <w:r>
        <w:rPr>
          <w:rFonts w:hint="eastAsia"/>
          <w:highlight w:val="none"/>
          <w:lang w:val="en-US" w:eastAsia="zh-CN"/>
        </w:rPr>
        <w:t>变粒岩、斜长</w:t>
      </w:r>
      <w:r>
        <w:rPr>
          <w:rFonts w:hint="eastAsia"/>
          <w:lang w:val="en-US" w:eastAsia="zh-CN"/>
        </w:rPr>
        <w:t>角闪变粒岩、浅粒岩</w:t>
      </w:r>
      <w:r>
        <w:rPr>
          <w:rFonts w:hint="eastAsia"/>
        </w:rPr>
        <w:t>构成，地面坡度较陡，一般为</w:t>
      </w:r>
      <w:r>
        <w:rPr>
          <w:rFonts w:hint="eastAsia"/>
          <w:lang w:val="en-US" w:eastAsia="zh-CN"/>
        </w:rPr>
        <w:t>2</w:t>
      </w:r>
      <w:r>
        <w:rPr>
          <w:rFonts w:hint="eastAsia"/>
        </w:rPr>
        <w:t>5º～3</w:t>
      </w:r>
      <w:r>
        <w:rPr>
          <w:rFonts w:hint="eastAsia"/>
          <w:lang w:val="en-US" w:eastAsia="zh-CN"/>
        </w:rPr>
        <w:t>5</w:t>
      </w:r>
      <w:r>
        <w:rPr>
          <w:rFonts w:hint="eastAsia"/>
        </w:rPr>
        <w:t>º，覆盖层较薄，多为基岩裸露。</w:t>
      </w:r>
    </w:p>
    <w:p w14:paraId="018E9EAD">
      <w:pPr>
        <w:pStyle w:val="57"/>
        <w:rPr>
          <w:rFonts w:ascii="Times New Roman" w:hAnsi="Times New Roman"/>
        </w:rPr>
      </w:pPr>
      <w:r>
        <w:rPr>
          <w:rFonts w:ascii="Times New Roman" w:hAnsi="Times New Roman"/>
        </w:rPr>
        <w:t>表2-1地貌类型分区说明表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1479"/>
        <w:gridCol w:w="1045"/>
        <w:gridCol w:w="874"/>
        <w:gridCol w:w="5664"/>
      </w:tblGrid>
      <w:tr w14:paraId="546D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599" w:type="pct"/>
            <w:vAlign w:val="center"/>
          </w:tcPr>
          <w:p w14:paraId="576A07D2">
            <w:pPr>
              <w:pStyle w:val="72"/>
              <w:rPr>
                <w:rFonts w:ascii="Times New Roman" w:hAnsi="Times New Roman"/>
              </w:rPr>
            </w:pPr>
            <w:r>
              <w:rPr>
                <w:rFonts w:ascii="Times New Roman" w:hAnsi="Times New Roman"/>
              </w:rPr>
              <w:t>成因</w:t>
            </w:r>
          </w:p>
          <w:p w14:paraId="19BAED3E">
            <w:pPr>
              <w:pStyle w:val="72"/>
              <w:rPr>
                <w:rFonts w:ascii="Times New Roman" w:hAnsi="Times New Roman"/>
              </w:rPr>
            </w:pPr>
            <w:r>
              <w:rPr>
                <w:rFonts w:ascii="Times New Roman" w:hAnsi="Times New Roman"/>
              </w:rPr>
              <w:t>类型</w:t>
            </w:r>
          </w:p>
        </w:tc>
        <w:tc>
          <w:tcPr>
            <w:tcW w:w="718" w:type="pct"/>
            <w:vAlign w:val="center"/>
          </w:tcPr>
          <w:p w14:paraId="332C1C52">
            <w:pPr>
              <w:pStyle w:val="72"/>
              <w:rPr>
                <w:rFonts w:ascii="Times New Roman" w:hAnsi="Times New Roman"/>
              </w:rPr>
            </w:pPr>
            <w:r>
              <w:rPr>
                <w:rFonts w:ascii="Times New Roman" w:hAnsi="Times New Roman"/>
              </w:rPr>
              <w:t>成因形态</w:t>
            </w:r>
          </w:p>
        </w:tc>
        <w:tc>
          <w:tcPr>
            <w:tcW w:w="507" w:type="pct"/>
            <w:vAlign w:val="center"/>
          </w:tcPr>
          <w:p w14:paraId="3E47437D">
            <w:pPr>
              <w:pStyle w:val="72"/>
              <w:rPr>
                <w:rFonts w:ascii="Times New Roman" w:hAnsi="Times New Roman"/>
              </w:rPr>
            </w:pPr>
            <w:r>
              <w:rPr>
                <w:rFonts w:ascii="Times New Roman" w:hAnsi="Times New Roman"/>
              </w:rPr>
              <w:t>形态</w:t>
            </w:r>
          </w:p>
          <w:p w14:paraId="4EF4FA1C">
            <w:pPr>
              <w:pStyle w:val="72"/>
              <w:rPr>
                <w:rFonts w:ascii="Times New Roman" w:hAnsi="Times New Roman"/>
              </w:rPr>
            </w:pPr>
            <w:r>
              <w:rPr>
                <w:rFonts w:ascii="Times New Roman" w:hAnsi="Times New Roman"/>
              </w:rPr>
              <w:t>单元</w:t>
            </w:r>
          </w:p>
        </w:tc>
        <w:tc>
          <w:tcPr>
            <w:tcW w:w="424" w:type="pct"/>
            <w:vAlign w:val="center"/>
          </w:tcPr>
          <w:p w14:paraId="272BED00">
            <w:pPr>
              <w:pStyle w:val="72"/>
              <w:rPr>
                <w:rFonts w:ascii="Times New Roman" w:hAnsi="Times New Roman"/>
              </w:rPr>
            </w:pPr>
            <w:r>
              <w:rPr>
                <w:rFonts w:ascii="Times New Roman" w:hAnsi="Times New Roman"/>
              </w:rPr>
              <w:t>代号</w:t>
            </w:r>
          </w:p>
        </w:tc>
        <w:tc>
          <w:tcPr>
            <w:tcW w:w="2749" w:type="pct"/>
            <w:vAlign w:val="center"/>
          </w:tcPr>
          <w:p w14:paraId="5B2FD0E5">
            <w:pPr>
              <w:pStyle w:val="72"/>
              <w:rPr>
                <w:rFonts w:ascii="Times New Roman" w:hAnsi="Times New Roman"/>
              </w:rPr>
            </w:pPr>
            <w:r>
              <w:rPr>
                <w:rFonts w:ascii="Times New Roman" w:hAnsi="Times New Roman"/>
              </w:rPr>
              <w:t>分布与形态特征</w:t>
            </w:r>
          </w:p>
        </w:tc>
      </w:tr>
      <w:tr w14:paraId="1C0C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99" w:type="pct"/>
            <w:vAlign w:val="center"/>
          </w:tcPr>
          <w:p w14:paraId="13929237">
            <w:pPr>
              <w:pStyle w:val="72"/>
              <w:rPr>
                <w:rFonts w:ascii="Times New Roman" w:hAnsi="Times New Roman"/>
              </w:rPr>
            </w:pPr>
            <w:r>
              <w:rPr>
                <w:rFonts w:ascii="Times New Roman" w:hAnsi="Times New Roman"/>
              </w:rPr>
              <w:t>构造剥蚀地貌</w:t>
            </w:r>
          </w:p>
        </w:tc>
        <w:tc>
          <w:tcPr>
            <w:tcW w:w="718" w:type="pct"/>
            <w:vAlign w:val="center"/>
          </w:tcPr>
          <w:p w14:paraId="790005F1">
            <w:pPr>
              <w:pStyle w:val="72"/>
              <w:rPr>
                <w:rFonts w:ascii="Times New Roman" w:hAnsi="Times New Roman"/>
              </w:rPr>
            </w:pPr>
            <w:r>
              <w:rPr>
                <w:rFonts w:ascii="Times New Roman" w:hAnsi="Times New Roman"/>
              </w:rPr>
              <w:t>构造剥蚀</w:t>
            </w:r>
          </w:p>
          <w:p w14:paraId="10F0F713">
            <w:pPr>
              <w:pStyle w:val="72"/>
              <w:rPr>
                <w:rFonts w:ascii="Times New Roman" w:hAnsi="Times New Roman"/>
              </w:rPr>
            </w:pPr>
            <w:r>
              <w:rPr>
                <w:rFonts w:ascii="Times New Roman" w:hAnsi="Times New Roman"/>
              </w:rPr>
              <w:t>低山丘陵</w:t>
            </w:r>
          </w:p>
        </w:tc>
        <w:tc>
          <w:tcPr>
            <w:tcW w:w="507" w:type="pct"/>
            <w:vAlign w:val="center"/>
          </w:tcPr>
          <w:p w14:paraId="07434595">
            <w:pPr>
              <w:pStyle w:val="72"/>
              <w:rPr>
                <w:rFonts w:ascii="Times New Roman" w:hAnsi="Times New Roman"/>
              </w:rPr>
            </w:pPr>
            <w:r>
              <w:rPr>
                <w:rFonts w:ascii="Times New Roman" w:hAnsi="Times New Roman"/>
              </w:rPr>
              <w:t>低山</w:t>
            </w:r>
          </w:p>
        </w:tc>
        <w:tc>
          <w:tcPr>
            <w:tcW w:w="424" w:type="pct"/>
            <w:vAlign w:val="center"/>
          </w:tcPr>
          <w:p w14:paraId="3AD12904">
            <w:pPr>
              <w:pStyle w:val="72"/>
              <w:rPr>
                <w:rFonts w:ascii="Times New Roman" w:hAnsi="Times New Roman"/>
              </w:rPr>
            </w:pPr>
            <w:r>
              <w:rPr>
                <w:rFonts w:ascii="Times New Roman" w:hAnsi="Times New Roman"/>
              </w:rPr>
              <w:t>Ⅰ</w:t>
            </w:r>
          </w:p>
        </w:tc>
        <w:tc>
          <w:tcPr>
            <w:tcW w:w="2749" w:type="pct"/>
            <w:vAlign w:val="center"/>
          </w:tcPr>
          <w:p w14:paraId="051F47A9">
            <w:pPr>
              <w:pStyle w:val="72"/>
              <w:jc w:val="left"/>
              <w:rPr>
                <w:rFonts w:hint="eastAsia" w:ascii="Times New Roman" w:hAnsi="Times New Roman" w:eastAsia="仿宋"/>
                <w:lang w:eastAsia="zh-CN"/>
              </w:rPr>
            </w:pPr>
            <w:r>
              <w:rPr>
                <w:rFonts w:ascii="Times New Roman" w:hAnsi="Times New Roman"/>
              </w:rPr>
              <w:t>海拔标高755-500m，相对高差</w:t>
            </w:r>
            <w:r>
              <w:rPr>
                <w:rFonts w:hint="eastAsia" w:ascii="Times New Roman" w:hAnsi="Times New Roman"/>
              </w:rPr>
              <w:t>255</w:t>
            </w:r>
            <w:r>
              <w:rPr>
                <w:rFonts w:ascii="Times New Roman" w:hAnsi="Times New Roman"/>
              </w:rPr>
              <w:t>m，</w:t>
            </w:r>
            <w:r>
              <w:rPr>
                <w:rFonts w:hint="eastAsia" w:ascii="Times New Roman" w:hAnsi="Times New Roman"/>
              </w:rPr>
              <w:t>地面坡度15</w:t>
            </w:r>
            <w:r>
              <w:rPr>
                <w:rFonts w:hint="eastAsia" w:ascii="Calibri" w:hAnsi="Calibri" w:cs="Calibri"/>
              </w:rPr>
              <w:t>°</w:t>
            </w:r>
            <w:r>
              <w:rPr>
                <w:rFonts w:hint="eastAsia" w:ascii="仿宋" w:hAnsi="仿宋" w:cs="仿宋"/>
              </w:rPr>
              <w:t>～</w:t>
            </w:r>
            <w:r>
              <w:rPr>
                <w:rFonts w:hint="eastAsia" w:ascii="Times New Roman" w:hAnsi="Times New Roman"/>
              </w:rPr>
              <w:t>30</w:t>
            </w:r>
            <w:r>
              <w:rPr>
                <w:rFonts w:hint="eastAsia" w:ascii="Calibri" w:hAnsi="Calibri" w:cs="Calibri"/>
              </w:rPr>
              <w:t>°</w:t>
            </w:r>
            <w:r>
              <w:rPr>
                <w:rFonts w:hint="eastAsia"/>
              </w:rPr>
              <w:t>，</w:t>
            </w:r>
            <w:r>
              <w:rPr>
                <w:rFonts w:ascii="Times New Roman" w:hAnsi="Times New Roman" w:cs="Times New Roman"/>
                <w:spacing w:val="-4"/>
                <w:sz w:val="21"/>
                <w:szCs w:val="21"/>
              </w:rPr>
              <w:t>分布于整个评估区，地势起伏不大。岩性</w:t>
            </w:r>
            <w:r>
              <w:rPr>
                <w:spacing w:val="-8"/>
              </w:rPr>
              <w:t>混合岩夹变粒岩、斜长角闪变粒岩、浅粒岩</w:t>
            </w:r>
            <w:r>
              <w:rPr>
                <w:rFonts w:hint="eastAsia" w:ascii="Times New Roman" w:hAnsi="Times New Roman" w:cs="Times New Roman"/>
                <w:sz w:val="21"/>
                <w:szCs w:val="21"/>
                <w:lang w:eastAsia="zh-CN"/>
              </w:rPr>
              <w:t>。</w:t>
            </w:r>
          </w:p>
        </w:tc>
      </w:tr>
    </w:tbl>
    <w:p w14:paraId="35856B09">
      <w:pPr>
        <w:spacing w:before="190" w:beforeLines="50" w:line="240" w:lineRule="auto"/>
        <w:ind w:firstLine="0" w:firstLineChars="0"/>
        <w:jc w:val="center"/>
      </w:pPr>
      <w:bookmarkStart w:id="55" w:name="_Toc211790736"/>
      <w:r>
        <w:drawing>
          <wp:inline distT="0" distB="0" distL="114300" distR="114300">
            <wp:extent cx="5438775" cy="4048125"/>
            <wp:effectExtent l="9525" t="9525" r="19050" b="1905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7"/>
                    <a:stretch>
                      <a:fillRect/>
                    </a:stretch>
                  </pic:blipFill>
                  <pic:spPr>
                    <a:xfrm>
                      <a:off x="0" y="0"/>
                      <a:ext cx="5438775" cy="4048125"/>
                    </a:xfrm>
                    <a:prstGeom prst="rect">
                      <a:avLst/>
                    </a:prstGeom>
                    <a:noFill/>
                    <a:ln>
                      <a:solidFill>
                        <a:schemeClr val="tx1"/>
                      </a:solidFill>
                    </a:ln>
                  </pic:spPr>
                </pic:pic>
              </a:graphicData>
            </a:graphic>
          </wp:inline>
        </w:drawing>
      </w:r>
    </w:p>
    <w:p w14:paraId="5A68000D">
      <w:pPr>
        <w:pStyle w:val="66"/>
        <w:ind w:firstLine="420"/>
        <w:rPr>
          <w:rFonts w:ascii="Times New Roman" w:hAnsi="Times New Roman"/>
        </w:rPr>
      </w:pPr>
      <w:r>
        <w:rPr>
          <w:rFonts w:ascii="Times New Roman" w:hAnsi="Times New Roman"/>
        </w:rPr>
        <w:t>图2-1</w:t>
      </w:r>
      <w:r>
        <w:rPr>
          <w:rFonts w:hint="eastAsia" w:ascii="Times New Roman" w:hAnsi="Times New Roman"/>
          <w:lang w:eastAsia="zh-CN"/>
        </w:rPr>
        <w:t>二道滑石矿</w:t>
      </w:r>
      <w:r>
        <w:rPr>
          <w:rFonts w:ascii="Times New Roman" w:hAnsi="Times New Roman"/>
        </w:rPr>
        <w:t>矿区遥感影像图</w:t>
      </w:r>
      <w:r>
        <w:rPr>
          <w:rFonts w:hint="eastAsia" w:ascii="Times New Roman" w:hAnsi="Times New Roman"/>
        </w:rPr>
        <w:t>（拍摄时间2025年5月）</w:t>
      </w:r>
    </w:p>
    <w:p w14:paraId="0AE706EE">
      <w:pPr>
        <w:pStyle w:val="66"/>
        <w:rPr>
          <w:rFonts w:ascii="Times New Roman" w:hAnsi="Times New Roman"/>
          <w:color w:val="EE0000"/>
        </w:rPr>
      </w:pPr>
    </w:p>
    <w:p w14:paraId="62D6CD02">
      <w:pPr>
        <w:pStyle w:val="5"/>
        <w:keepNext w:val="0"/>
        <w:keepLines w:val="0"/>
        <w:ind w:firstLine="562"/>
      </w:pPr>
      <w:r>
        <w:t>（二）气象</w:t>
      </w:r>
      <w:bookmarkEnd w:id="55"/>
    </w:p>
    <w:p w14:paraId="71722832">
      <w:pPr>
        <w:widowControl/>
        <w:jc w:val="left"/>
        <w:rPr>
          <w:sz w:val="24"/>
        </w:rPr>
      </w:pPr>
      <w:r>
        <w:rPr>
          <w:rFonts w:hint="eastAsia" w:hAnsi="Times New Roman"/>
        </w:rPr>
        <w:t>评估区</w:t>
      </w:r>
      <w:r>
        <w:rPr>
          <w:rFonts w:hAnsi="Times New Roman"/>
        </w:rPr>
        <w:t>属北温带大陆性季风气候，四季分明，夏季温暖多雨，春季干燥多风，秋季少雨降温快，冬季寒冷漫长。年平均气温6.5℃，年最高气温35.50℃，最低气温-35.9℃，多年平均日照时数2019h。雨季多集中在7—8月份，年降水量700—1000mm，年均降雨量947mm，最大降雨量1272.8mm。蒸发量900mm，11月至翌年3月为冰冻期，最大积雪厚度350mm，最大冻层深度1.5m。本区常年主导风向为西南风，发生频率为15.1%，次主导风向为南南西风，发生频率11.3%，静风频率为34.6%。年平均风速1.6m/s。</w:t>
      </w:r>
    </w:p>
    <w:p w14:paraId="0A97F549">
      <w:pPr>
        <w:pStyle w:val="5"/>
        <w:ind w:firstLine="562"/>
      </w:pPr>
      <w:bookmarkStart w:id="56" w:name="_Toc211790737"/>
      <w:r>
        <w:t>（三）水文</w:t>
      </w:r>
      <w:bookmarkEnd w:id="56"/>
    </w:p>
    <w:p w14:paraId="4FB9AFFA">
      <w:pPr>
        <w:ind w:firstLine="560"/>
        <w:rPr>
          <w:rFonts w:hint="default" w:eastAsia="宋体"/>
          <w:kern w:val="0"/>
          <w:szCs w:val="28"/>
          <w:lang w:val="en-US" w:eastAsia="zh-CN"/>
        </w:rPr>
      </w:pPr>
      <w:r>
        <w:rPr>
          <w:rFonts w:hAnsi="Times New Roman"/>
        </w:rPr>
        <w:t>评估区内地表水系不发育，未见地表水体。评</w:t>
      </w:r>
      <w:r>
        <w:rPr>
          <w:rFonts w:hAnsi="Times New Roman"/>
          <w:highlight w:val="none"/>
        </w:rPr>
        <w:t>估区属苇沙河流域，苇沙河是浑江左岸的一大支流，系山溪性河流，流域形状为长扇形，流域内山脉纵横交错。苇沙河河道为复式断面，河床宽约100m左右</w:t>
      </w:r>
      <w:r>
        <w:rPr>
          <w:rFonts w:hAnsi="Times New Roman"/>
        </w:rPr>
        <w:t>，河流最大流量440m</w:t>
      </w:r>
      <w:r>
        <w:rPr>
          <w:rFonts w:hAnsi="Times New Roman"/>
          <w:vertAlign w:val="superscript"/>
        </w:rPr>
        <w:t>3</w:t>
      </w:r>
      <w:r>
        <w:rPr>
          <w:rFonts w:hAnsi="Times New Roman"/>
        </w:rPr>
        <w:t>/s，最小流量0.10m</w:t>
      </w:r>
      <w:r>
        <w:rPr>
          <w:rFonts w:hAnsi="Times New Roman"/>
          <w:vertAlign w:val="superscript"/>
        </w:rPr>
        <w:t>3</w:t>
      </w:r>
      <w:r>
        <w:rPr>
          <w:rFonts w:hAnsi="Times New Roman"/>
        </w:rPr>
        <w:t>/s，平水期3.3m</w:t>
      </w:r>
      <w:r>
        <w:rPr>
          <w:rFonts w:hAnsi="Times New Roman"/>
          <w:vertAlign w:val="superscript"/>
        </w:rPr>
        <w:t>3</w:t>
      </w:r>
      <w:r>
        <w:rPr>
          <w:rFonts w:hAnsi="Times New Roman"/>
        </w:rPr>
        <w:t>/s，冬季结冰期4个月。</w:t>
      </w:r>
      <w:r>
        <w:rPr>
          <w:rFonts w:hint="eastAsia"/>
          <w:kern w:val="0"/>
          <w:szCs w:val="28"/>
        </w:rPr>
        <w:t>当地侵蚀基准面标高+5</w:t>
      </w:r>
      <w:r>
        <w:rPr>
          <w:rFonts w:hint="eastAsia"/>
          <w:kern w:val="0"/>
          <w:szCs w:val="28"/>
          <w:lang w:val="en-US" w:eastAsia="zh-CN"/>
        </w:rPr>
        <w:t>3</w:t>
      </w:r>
      <w:r>
        <w:rPr>
          <w:rFonts w:hint="eastAsia"/>
          <w:kern w:val="0"/>
          <w:szCs w:val="28"/>
        </w:rPr>
        <w:t>0m。</w:t>
      </w:r>
      <w:r>
        <w:rPr>
          <w:rFonts w:hint="eastAsia"/>
          <w:kern w:val="0"/>
          <w:szCs w:val="28"/>
          <w:lang w:val="en-US" w:eastAsia="zh-CN"/>
        </w:rPr>
        <w:t>最近的河流为矿区西侧300m的蚂蚁河。</w:t>
      </w:r>
    </w:p>
    <w:p w14:paraId="68B6A7C2">
      <w:pPr>
        <w:pStyle w:val="5"/>
        <w:ind w:firstLine="562"/>
      </w:pPr>
      <w:bookmarkStart w:id="57" w:name="_Toc211790738"/>
      <w:bookmarkStart w:id="58" w:name="_Toc485629676"/>
      <w:r>
        <w:t>（四）土壤</w:t>
      </w:r>
      <w:bookmarkEnd w:id="57"/>
      <w:bookmarkEnd w:id="58"/>
    </w:p>
    <w:p w14:paraId="424E9A3D">
      <w:pPr>
        <w:ind w:firstLine="560"/>
        <w:rPr>
          <w:szCs w:val="28"/>
          <w:highlight w:val="yellow"/>
        </w:rPr>
      </w:pPr>
      <w:r>
        <w:rPr>
          <w:rFonts w:hAnsi="Times New Roman"/>
        </w:rPr>
        <w:t>项目区内的土壤类型主要为暗棕壤，有效土层厚度为0.2～0.6m，腐植土平均厚度约为0.3m。壤土表层有机质含量较高可达50g/kg～</w:t>
      </w:r>
      <w:r>
        <w:rPr>
          <w:rFonts w:hint="eastAsia"/>
          <w:lang w:val="en-US" w:eastAsia="zh-CN"/>
        </w:rPr>
        <w:t>6</w:t>
      </w:r>
      <w:r>
        <w:rPr>
          <w:rFonts w:hAnsi="Times New Roman"/>
        </w:rPr>
        <w:t>0g/kg，土壤Ph值5.2～6.6，为偏酸性土壤，土壤有机质含量变化幅度在2.22%～3.58%之间，暗棕壤土质粗糙，表土含少量沙砾，通透性好。</w:t>
      </w:r>
    </w:p>
    <w:tbl>
      <w:tblPr>
        <w:tblStyle w:val="42"/>
        <w:tblW w:w="10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0"/>
      </w:tblGrid>
      <w:tr w14:paraId="52A8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6" w:hRule="atLeast"/>
        </w:trPr>
        <w:tc>
          <w:tcPr>
            <w:tcW w:w="10040" w:type="dxa"/>
            <w:vAlign w:val="center"/>
          </w:tcPr>
          <w:p w14:paraId="07C95AAB">
            <w:pPr>
              <w:ind w:firstLine="0" w:firstLineChars="0"/>
              <w:jc w:val="center"/>
              <w:rPr>
                <w:b/>
                <w:szCs w:val="28"/>
              </w:rPr>
            </w:pPr>
            <w:bookmarkStart w:id="59" w:name="_Toc211790739"/>
            <w:r>
              <w:rPr>
                <w:rFonts w:hAnsi="Times New Roman"/>
              </w:rPr>
              <w:drawing>
                <wp:inline distT="0" distB="0" distL="114300" distR="114300">
                  <wp:extent cx="3813175" cy="4051300"/>
                  <wp:effectExtent l="9525" t="9525" r="25400" b="15875"/>
                  <wp:docPr id="3" name="图片 3" descr="eec7afc651e7c4f3f57fa6a21a68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ec7afc651e7c4f3f57fa6a21a68ff3"/>
                          <pic:cNvPicPr>
                            <a:picLocks noChangeAspect="1"/>
                          </pic:cNvPicPr>
                        </pic:nvPicPr>
                        <pic:blipFill>
                          <a:blip r:embed="rId28"/>
                          <a:srcRect t="6638" b="262"/>
                          <a:stretch>
                            <a:fillRect/>
                          </a:stretch>
                        </pic:blipFill>
                        <pic:spPr>
                          <a:xfrm>
                            <a:off x="0" y="0"/>
                            <a:ext cx="3813175" cy="4051300"/>
                          </a:xfrm>
                          <a:prstGeom prst="rect">
                            <a:avLst/>
                          </a:prstGeom>
                          <a:ln>
                            <a:solidFill>
                              <a:schemeClr val="tx1"/>
                            </a:solidFill>
                          </a:ln>
                        </pic:spPr>
                      </pic:pic>
                    </a:graphicData>
                  </a:graphic>
                </wp:inline>
              </w:drawing>
            </w:r>
          </w:p>
        </w:tc>
      </w:tr>
      <w:tr w14:paraId="784B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0040" w:type="dxa"/>
            <w:vAlign w:val="center"/>
          </w:tcPr>
          <w:p w14:paraId="0392FA13">
            <w:pPr>
              <w:pStyle w:val="66"/>
              <w:ind w:firstLine="420"/>
              <w:rPr>
                <w:rFonts w:ascii="Times New Roman" w:hAnsi="Times New Roman"/>
              </w:rPr>
            </w:pPr>
            <w:r>
              <w:rPr>
                <w:rFonts w:ascii="Times New Roman" w:hAnsi="Times New Roman"/>
              </w:rPr>
              <w:t>图2-</w:t>
            </w:r>
            <w:r>
              <w:rPr>
                <w:rFonts w:hint="eastAsia" w:ascii="Times New Roman" w:hAnsi="Times New Roman"/>
                <w:lang w:val="en-US" w:eastAsia="zh-CN"/>
              </w:rPr>
              <w:t>3</w:t>
            </w:r>
            <w:r>
              <w:rPr>
                <w:rFonts w:ascii="Times New Roman" w:hAnsi="Times New Roman"/>
              </w:rPr>
              <w:t xml:space="preserve"> 矿区</w:t>
            </w:r>
            <w:r>
              <w:rPr>
                <w:rFonts w:hint="eastAsia" w:ascii="Times New Roman" w:hAnsi="Times New Roman"/>
              </w:rPr>
              <w:t>林地</w:t>
            </w:r>
            <w:r>
              <w:rPr>
                <w:rFonts w:ascii="Times New Roman" w:hAnsi="Times New Roman"/>
              </w:rPr>
              <w:t>土壤断面</w:t>
            </w:r>
          </w:p>
          <w:p w14:paraId="38906460">
            <w:pPr>
              <w:pStyle w:val="66"/>
              <w:ind w:firstLine="420"/>
              <w:rPr>
                <w:rFonts w:ascii="Times New Roman" w:hAnsi="Times New Roman"/>
              </w:rPr>
            </w:pPr>
            <w:r>
              <w:rPr>
                <w:rFonts w:hint="eastAsia" w:ascii="Times New Roman" w:hAnsi="Times New Roman"/>
              </w:rPr>
              <w:t>拍摄日期2025年</w:t>
            </w:r>
            <w:r>
              <w:rPr>
                <w:rFonts w:hint="eastAsia" w:ascii="Times New Roman" w:hAnsi="Times New Roman"/>
                <w:lang w:val="en-US" w:eastAsia="zh-CN"/>
              </w:rPr>
              <w:t>1</w:t>
            </w:r>
            <w:r>
              <w:rPr>
                <w:rFonts w:hint="eastAsia" w:ascii="Times New Roman" w:hAnsi="Times New Roman"/>
              </w:rPr>
              <w:t>月7日</w:t>
            </w:r>
          </w:p>
          <w:p w14:paraId="48FEF6B9">
            <w:pPr>
              <w:pStyle w:val="66"/>
              <w:ind w:firstLine="420"/>
              <w:rPr>
                <w:rFonts w:ascii="Times New Roman" w:hAnsi="Times New Roman"/>
              </w:rPr>
            </w:pPr>
            <w:r>
              <w:rPr>
                <w:rFonts w:hint="eastAsia" w:ascii="Times New Roman" w:hAnsi="Times New Roman"/>
              </w:rPr>
              <w:t>坐标：12</w:t>
            </w:r>
            <w:r>
              <w:rPr>
                <w:rFonts w:hint="eastAsia" w:ascii="Times New Roman" w:hAnsi="Times New Roman"/>
                <w:lang w:val="en-US" w:eastAsia="zh-CN"/>
              </w:rPr>
              <w:t>5</w:t>
            </w:r>
            <w:r>
              <w:rPr>
                <w:rFonts w:hint="eastAsia" w:ascii="Times New Roman" w:hAnsi="Times New Roman"/>
              </w:rPr>
              <w:t>°</w:t>
            </w:r>
            <w:r>
              <w:rPr>
                <w:rFonts w:hint="eastAsia" w:ascii="Times New Roman" w:hAnsi="Times New Roman"/>
                <w:lang w:val="en-US" w:eastAsia="zh-CN"/>
              </w:rPr>
              <w:t>54</w:t>
            </w:r>
            <w:r>
              <w:rPr>
                <w:rFonts w:hint="eastAsia" w:ascii="Times New Roman" w:hAnsi="Times New Roman"/>
              </w:rPr>
              <w:t>′</w:t>
            </w:r>
            <w:r>
              <w:rPr>
                <w:rFonts w:hint="eastAsia" w:ascii="Times New Roman" w:hAnsi="Times New Roman"/>
                <w:lang w:val="en-US" w:eastAsia="zh-CN"/>
              </w:rPr>
              <w:t>3.80</w:t>
            </w:r>
            <w:r>
              <w:rPr>
                <w:rFonts w:hint="eastAsia" w:ascii="Times New Roman" w:hAnsi="Times New Roman"/>
              </w:rPr>
              <w:t>1″,42°</w:t>
            </w:r>
            <w:r>
              <w:rPr>
                <w:rFonts w:hint="eastAsia" w:ascii="Times New Roman" w:hAnsi="Times New Roman"/>
                <w:lang w:val="en-US" w:eastAsia="zh-CN"/>
              </w:rPr>
              <w:t>23</w:t>
            </w:r>
            <w:r>
              <w:rPr>
                <w:rFonts w:hint="eastAsia" w:ascii="Times New Roman" w:hAnsi="Times New Roman"/>
              </w:rPr>
              <w:t>′</w:t>
            </w:r>
            <w:r>
              <w:rPr>
                <w:rFonts w:hint="eastAsia" w:ascii="Times New Roman" w:hAnsi="Times New Roman"/>
                <w:lang w:val="en-US" w:eastAsia="zh-CN"/>
              </w:rPr>
              <w:t>56.61</w:t>
            </w:r>
            <w:r>
              <w:rPr>
                <w:rFonts w:hint="eastAsia" w:ascii="Times New Roman" w:hAnsi="Times New Roman"/>
              </w:rPr>
              <w:t>″</w:t>
            </w:r>
          </w:p>
        </w:tc>
      </w:tr>
    </w:tbl>
    <w:p w14:paraId="7BF2E652">
      <w:pPr>
        <w:pStyle w:val="66"/>
        <w:ind w:firstLine="420"/>
        <w:rPr>
          <w:rFonts w:hint="eastAsia" w:ascii="Times New Roman" w:hAnsi="Times New Roman"/>
          <w:lang w:val="en-US" w:eastAsia="zh-CN"/>
        </w:rPr>
      </w:pPr>
      <w:r>
        <w:rPr>
          <w:rFonts w:hint="eastAsia" w:ascii="Times New Roman" w:hAnsi="Times New Roman"/>
          <w:lang w:val="en-US" w:eastAsia="zh-CN"/>
        </w:rPr>
        <w:t xml:space="preserve">         </w:t>
      </w:r>
    </w:p>
    <w:p w14:paraId="5C7FEB0D">
      <w:pPr>
        <w:pStyle w:val="5"/>
        <w:ind w:firstLine="562"/>
      </w:pPr>
      <w:r>
        <w:t>（五）植被</w:t>
      </w:r>
      <w:bookmarkEnd w:id="59"/>
    </w:p>
    <w:p w14:paraId="32694A35">
      <w:pPr>
        <w:ind w:firstLine="560"/>
        <w:rPr>
          <w:szCs w:val="28"/>
        </w:rPr>
      </w:pPr>
      <w:r>
        <w:rPr>
          <w:rFonts w:hAnsi="Times New Roman"/>
        </w:rPr>
        <w:t>该区原始植被少见，矿区及周围主要为针阔叶林和农田，林地约占70-75%，植被有杨树、松树和灌木丛等。</w:t>
      </w:r>
      <w:r>
        <w:rPr>
          <w:rFonts w:hint="eastAsia"/>
          <w:szCs w:val="28"/>
        </w:rPr>
        <w:t>矿区植被主要为天然林，植被类型主要以乔木为主，也有少量灌木和草本植物。林木树种以落叶松、杨树、</w:t>
      </w:r>
      <w:r>
        <w:rPr>
          <w:rFonts w:hint="eastAsia"/>
          <w:szCs w:val="28"/>
          <w:lang w:eastAsia="zh-CN"/>
        </w:rPr>
        <w:t>落叶松</w:t>
      </w:r>
      <w:r>
        <w:rPr>
          <w:rFonts w:hint="eastAsia"/>
          <w:szCs w:val="28"/>
        </w:rPr>
        <w:t>、蒙古栎为主，辅以灌木丛及荒草地。</w:t>
      </w:r>
    </w:p>
    <w:p w14:paraId="58EB08A3">
      <w:pPr>
        <w:pStyle w:val="5"/>
        <w:ind w:firstLine="562"/>
      </w:pPr>
      <w:r>
        <w:rPr>
          <w:rFonts w:hint="eastAsia"/>
        </w:rPr>
        <w:t>（六）地下水基本状况</w:t>
      </w:r>
    </w:p>
    <w:p w14:paraId="417BF8F0">
      <w:pPr>
        <w:rPr>
          <w:rFonts w:hAnsi="Times New Roman"/>
        </w:rPr>
      </w:pPr>
      <w:r>
        <w:rPr>
          <w:rFonts w:hAnsi="Times New Roman"/>
        </w:rPr>
        <w:t>基岩分布区普遍发育有基岩风化裂隙带，厚度不等，一般在3-17m，与构造裂隙带形成成基岩裂隙潜水的赋存介质。这类地下水主要接受大气降水补给，沿</w:t>
      </w:r>
    </w:p>
    <w:p w14:paraId="411EF241">
      <w:pPr>
        <w:ind w:firstLine="0" w:firstLineChars="0"/>
        <w:rPr>
          <w:rFonts w:hAnsi="Times New Roman"/>
        </w:rPr>
      </w:pPr>
      <w:r>
        <w:rPr>
          <w:rFonts w:hAnsi="Times New Roman"/>
        </w:rPr>
        <w:t>风化裂隙与构造裂隙底板界面顺坡向快速潜流，一般在地表切割强烈的沟谷底部，以泉的形式排泄，往往形成小溪汇入下游河流。据野外调查实测，单井涌水量一般在100-800m</w:t>
      </w:r>
      <w:r>
        <w:rPr>
          <w:rFonts w:hAnsi="Times New Roman"/>
          <w:vertAlign w:val="superscript"/>
        </w:rPr>
        <w:t>3</w:t>
      </w:r>
      <w:r>
        <w:rPr>
          <w:rFonts w:hAnsi="Times New Roman"/>
        </w:rPr>
        <w:t>/d，属弱富水地区。</w:t>
      </w:r>
    </w:p>
    <w:p w14:paraId="0C4DF9EE">
      <w:pPr>
        <w:pStyle w:val="4"/>
        <w:ind w:firstLine="562"/>
        <w:rPr>
          <w:rFonts w:ascii="Times New Roman" w:hAnsi="Times New Roman"/>
          <w:sz w:val="28"/>
          <w:szCs w:val="28"/>
        </w:rPr>
      </w:pPr>
      <w:bookmarkStart w:id="60" w:name="_Toc211790740"/>
      <w:bookmarkStart w:id="61" w:name="_Toc215692437"/>
      <w:bookmarkStart w:id="62" w:name="_Toc219050276"/>
      <w:r>
        <w:rPr>
          <w:rFonts w:ascii="Times New Roman" w:hAnsi="Times New Roman"/>
          <w:sz w:val="28"/>
          <w:szCs w:val="28"/>
        </w:rPr>
        <w:t>二、社会经济概况</w:t>
      </w:r>
      <w:bookmarkEnd w:id="60"/>
      <w:bookmarkEnd w:id="61"/>
      <w:bookmarkEnd w:id="62"/>
    </w:p>
    <w:p w14:paraId="3228504E">
      <w:pPr>
        <w:ind w:firstLine="560"/>
        <w:rPr>
          <w:rFonts w:hint="eastAsia"/>
        </w:rPr>
      </w:pPr>
      <w:r>
        <w:t>202</w:t>
      </w:r>
      <w:r>
        <w:rPr>
          <w:rFonts w:hint="eastAsia"/>
        </w:rPr>
        <w:t>4</w:t>
      </w:r>
      <w:r>
        <w:t>年，</w:t>
      </w:r>
      <w:r>
        <w:rPr>
          <w:rFonts w:hint="eastAsia"/>
        </w:rPr>
        <w:t>集安市是吉林省通化市代管的县级市，位于吉林省东南部，与朝鲜隔江相望。以下是其社会经济概况：</w:t>
      </w:r>
    </w:p>
    <w:p w14:paraId="764FCDDA">
      <w:pPr>
        <w:ind w:firstLine="560"/>
        <w:rPr>
          <w:rFonts w:hint="eastAsia"/>
        </w:rPr>
      </w:pPr>
      <w:r>
        <w:rPr>
          <w:rFonts w:hint="eastAsia"/>
        </w:rPr>
        <w:t>总体概况：2024年全市实现地区生产总值（GDP）710354万元，按可比价格计算，同比增长4.3%。三次产业比重为14.1:23.5:62.4，第三产业占比较大。</w:t>
      </w:r>
    </w:p>
    <w:p w14:paraId="1096267C">
      <w:pPr>
        <w:ind w:firstLine="560"/>
        <w:rPr>
          <w:rFonts w:hint="eastAsia"/>
        </w:rPr>
      </w:pPr>
      <w:r>
        <w:rPr>
          <w:rFonts w:hint="eastAsia"/>
        </w:rPr>
        <w:t>农业：2024年农林牧渔业现价总产值182523万元，同比增长5.2%。粮食作物播种面积12286公顷，粮食总产量73500吨。</w:t>
      </w:r>
    </w:p>
    <w:p w14:paraId="7353D9A0">
      <w:pPr>
        <w:ind w:firstLine="560"/>
        <w:rPr>
          <w:rFonts w:hint="eastAsia"/>
        </w:rPr>
      </w:pPr>
      <w:r>
        <w:rPr>
          <w:rFonts w:hint="eastAsia"/>
        </w:rPr>
        <w:t>工业和建筑业：2024年完成工业总产值299640万元，同比增长3.9%，其中医药制造业占比较大，总产值占全市规模以上工业的59.5%。资质等级以上的总承包和专业承包建筑企业完成总产值88967万元，同比增长2.6%。</w:t>
      </w:r>
    </w:p>
    <w:p w14:paraId="27B677A8">
      <w:pPr>
        <w:ind w:firstLine="560"/>
        <w:rPr>
          <w:rFonts w:hint="eastAsia"/>
        </w:rPr>
      </w:pPr>
      <w:r>
        <w:rPr>
          <w:rFonts w:hint="eastAsia"/>
        </w:rPr>
        <w:t>固定资产投资：2024年完成固定资产投资（不含农村农户投资）375076万元，同比增长3.9%。其中第三产业投资居多，为351953万元。完成房地产开发投资48728万元，同比下降39.9%。</w:t>
      </w:r>
    </w:p>
    <w:p w14:paraId="485D1E81">
      <w:pPr>
        <w:ind w:firstLine="560"/>
        <w:rPr>
          <w:rFonts w:hint="eastAsia"/>
        </w:rPr>
      </w:pPr>
      <w:r>
        <w:rPr>
          <w:rFonts w:hint="eastAsia"/>
        </w:rPr>
        <w:t>贸易和服务业：2024年实现社会消费品零售总额211065万元，同比增长3.1%。规模以上服务业营业收入9307万元，同比下降9.9%，但其他营利性服务业营业收入增长30.1%。</w:t>
      </w:r>
    </w:p>
    <w:p w14:paraId="7FAF684C">
      <w:pPr>
        <w:ind w:firstLine="560"/>
        <w:rPr>
          <w:rFonts w:hint="eastAsia"/>
        </w:rPr>
      </w:pPr>
      <w:r>
        <w:rPr>
          <w:rFonts w:hint="eastAsia"/>
        </w:rPr>
        <w:t>社会事业：</w:t>
      </w:r>
    </w:p>
    <w:p w14:paraId="0BC52556">
      <w:pPr>
        <w:ind w:firstLine="560"/>
        <w:rPr>
          <w:rFonts w:hint="eastAsia"/>
        </w:rPr>
      </w:pPr>
      <w:r>
        <w:rPr>
          <w:rFonts w:hint="eastAsia"/>
        </w:rPr>
        <w:t>教育：2024年全市各类学校25所，其中小学8所，初中14所，高中2所。各类学校的专任教师1819人，全市各类专业技术人员5433人。</w:t>
      </w:r>
    </w:p>
    <w:p w14:paraId="2151FF06">
      <w:pPr>
        <w:ind w:firstLine="560"/>
        <w:rPr>
          <w:rFonts w:hint="eastAsia"/>
        </w:rPr>
      </w:pPr>
      <w:r>
        <w:rPr>
          <w:rFonts w:hint="eastAsia"/>
        </w:rPr>
        <w:t>文化旅游：2024年全年接待国内外游客362.5万人次，同比增长20.8%；旅游综合收入63.3亿元，同比增长24.1%。全市共有旅行社12家，星级以上宾馆2家，国家A级旅游景区16家。</w:t>
      </w:r>
    </w:p>
    <w:p w14:paraId="30757166">
      <w:pPr>
        <w:ind w:firstLine="560"/>
        <w:rPr>
          <w:rFonts w:hint="eastAsia"/>
        </w:rPr>
      </w:pPr>
      <w:r>
        <w:rPr>
          <w:rFonts w:hint="eastAsia"/>
        </w:rPr>
        <w:t>卫生：2024年全市共有卫生机构259个，拥有床位数960张，卫生技术人员1270人。市医院异地新建项目主体封顶，新中医医院等项目竣工并投入使用。</w:t>
      </w:r>
    </w:p>
    <w:p w14:paraId="09AA8368">
      <w:pPr>
        <w:ind w:firstLine="560"/>
        <w:rPr>
          <w:rFonts w:hint="eastAsia"/>
        </w:rPr>
      </w:pPr>
      <w:r>
        <w:rPr>
          <w:rFonts w:hint="eastAsia"/>
        </w:rPr>
        <w:t>交通邮电：2024年全市载客汽车884辆，公路全年完成客运量38万人，货运量135万吨。完成邮电业务收入12175万元，移动电话用户194708户，互联网宽带接入用户达69340户。</w:t>
      </w:r>
    </w:p>
    <w:p w14:paraId="0DD2C3C7">
      <w:pPr>
        <w:ind w:firstLine="560"/>
        <w:rPr>
          <w:rFonts w:hint="eastAsia"/>
        </w:rPr>
      </w:pPr>
      <w:r>
        <w:rPr>
          <w:rFonts w:hint="eastAsia"/>
        </w:rPr>
        <w:t>金融保险：2024年末金融机构各项存款余额2314394万元，同比增长3.1%；各项贷款余额1045643万元，下降3.9%。各类保险公司实现保费收入22478万元，同比下降1.5%。</w:t>
      </w:r>
    </w:p>
    <w:p w14:paraId="530EC306">
      <w:pPr>
        <w:ind w:firstLine="560"/>
        <w:rPr>
          <w:rFonts w:hint="eastAsia"/>
        </w:rPr>
      </w:pPr>
      <w:r>
        <w:rPr>
          <w:rFonts w:hint="eastAsia"/>
        </w:rPr>
        <w:t>人口情况：截至2024年末，集安市户籍总人口为200363人，比上年末减少2184人。其中男性人口101137人，占50.5%；女性人口99226人，占49.5%。人口出生率3.1%，死亡率10.2%，自然增长率为-7.1%。</w:t>
      </w:r>
    </w:p>
    <w:p w14:paraId="17A81573">
      <w:pPr>
        <w:ind w:firstLine="560"/>
        <w:rPr>
          <w:rFonts w:hint="eastAsia"/>
        </w:rPr>
      </w:pPr>
      <w:r>
        <w:rPr>
          <w:rFonts w:hint="eastAsia"/>
        </w:rPr>
        <w:t>城乡建设：2024年农村生活垃圾产生转运并焚烧共16639.86万吨，改造农村危房43户。城市新建改建供热管网10.8公里，新建燃气中压管网1公里等，市区并网供热面积达444万平方米，自来水普及率达97.88%。</w:t>
      </w:r>
    </w:p>
    <w:p w14:paraId="647343AB">
      <w:pPr>
        <w:ind w:firstLine="560"/>
        <w:rPr>
          <w:rFonts w:hint="eastAsia"/>
        </w:rPr>
      </w:pPr>
      <w:r>
        <w:rPr>
          <w:rFonts w:hint="eastAsia"/>
        </w:rPr>
        <w:t>生态环境：2024年植树造林面积373.64公顷，森林覆盖率较高，生态环境日益优化。</w:t>
      </w:r>
    </w:p>
    <w:p w14:paraId="246C6E8C">
      <w:pPr>
        <w:ind w:firstLine="560"/>
      </w:pPr>
      <w:r>
        <w:t>矿山目前生产所需基本材料均可在</w:t>
      </w:r>
      <w:r>
        <w:rPr>
          <w:rFonts w:hint="eastAsia"/>
          <w:lang w:eastAsia="zh-CN"/>
        </w:rPr>
        <w:t>通化市</w:t>
      </w:r>
      <w:r>
        <w:t>购买，矿山外部开发条件较好。（资料来源：</w:t>
      </w:r>
      <w:r>
        <w:rPr>
          <w:rFonts w:hint="eastAsia"/>
          <w:lang w:eastAsia="zh-CN"/>
        </w:rPr>
        <w:t>通化市集安市</w:t>
      </w:r>
      <w:r>
        <w:t>国民经济和社会发展统计公报</w:t>
      </w:r>
      <w:r>
        <w:rPr>
          <w:rFonts w:hint="eastAsia"/>
        </w:rPr>
        <w:t>以及政府工作报告</w:t>
      </w:r>
      <w:r>
        <w:t>）</w:t>
      </w:r>
    </w:p>
    <w:p w14:paraId="6ED9BF62">
      <w:pPr>
        <w:pStyle w:val="4"/>
        <w:ind w:firstLine="602"/>
        <w:rPr>
          <w:rFonts w:ascii="Times New Roman" w:hAnsi="Times New Roman"/>
        </w:rPr>
      </w:pPr>
      <w:bookmarkStart w:id="63" w:name="_Toc219050277"/>
      <w:bookmarkStart w:id="64" w:name="_Toc211790741"/>
      <w:bookmarkStart w:id="65" w:name="_Toc215692438"/>
      <w:r>
        <w:rPr>
          <w:rFonts w:ascii="Times New Roman" w:hAnsi="Times New Roman"/>
        </w:rPr>
        <w:t>三、矿区地质环境背景</w:t>
      </w:r>
      <w:bookmarkEnd w:id="63"/>
      <w:bookmarkEnd w:id="64"/>
      <w:bookmarkEnd w:id="65"/>
    </w:p>
    <w:p w14:paraId="328FFA3B">
      <w:pPr>
        <w:pStyle w:val="5"/>
        <w:ind w:firstLine="562"/>
      </w:pPr>
      <w:bookmarkStart w:id="66" w:name="_Toc211790742"/>
      <w:r>
        <w:t>（一）地层岩性</w:t>
      </w:r>
      <w:bookmarkEnd w:id="66"/>
    </w:p>
    <w:p w14:paraId="4216D757">
      <w:pPr>
        <w:ind w:firstLine="560"/>
        <w:rPr>
          <w:rFonts w:hint="eastAsia" w:ascii="宋体" w:hAnsi="宋体"/>
          <w:szCs w:val="28"/>
        </w:rPr>
      </w:pPr>
      <w:r>
        <w:rPr>
          <w:rFonts w:ascii="Times New Roman" w:hAnsi="Times New Roman" w:cs="Times New Roman"/>
        </w:rPr>
        <w:t>区内出露地层主要为</w:t>
      </w:r>
      <w:r>
        <w:rPr>
          <w:rFonts w:hint="eastAsia" w:ascii="Times New Roman" w:hAnsi="Times New Roman" w:cs="Times New Roman"/>
        </w:rPr>
        <w:t>下元古界集安群蚂蚁河组</w:t>
      </w:r>
      <w:r>
        <w:rPr>
          <w:rFonts w:ascii="Times New Roman" w:hAnsi="Times New Roman" w:cs="Times New Roman"/>
        </w:rPr>
        <w:t>（</w:t>
      </w:r>
      <w:r>
        <w:rPr>
          <w:rFonts w:hint="eastAsia" w:ascii="Times New Roman" w:hAnsi="Times New Roman" w:cs="Times New Roman"/>
        </w:rPr>
        <w:t>Pt</w:t>
      </w:r>
      <w:r>
        <w:rPr>
          <w:rFonts w:hint="eastAsia" w:ascii="Times New Roman" w:hAnsi="Times New Roman" w:cs="Times New Roman"/>
          <w:vertAlign w:val="subscript"/>
        </w:rPr>
        <w:t>1</w:t>
      </w:r>
      <w:r>
        <w:rPr>
          <w:rFonts w:hint="eastAsia" w:ascii="Times New Roman" w:hAnsi="Times New Roman" w:cs="Times New Roman"/>
        </w:rPr>
        <w:t>m</w:t>
      </w:r>
      <w:r>
        <w:rPr>
          <w:rFonts w:ascii="Times New Roman" w:hAnsi="Times New Roman" w:cs="Times New Roman"/>
        </w:rPr>
        <w:t>）、</w:t>
      </w:r>
      <w:r>
        <w:rPr>
          <w:rFonts w:hint="eastAsia" w:ascii="Times New Roman" w:hAnsi="Times New Roman" w:cs="Times New Roman"/>
        </w:rPr>
        <w:t>下元古界集安群荒岔沟组</w:t>
      </w:r>
      <w:r>
        <w:rPr>
          <w:rFonts w:ascii="Times New Roman" w:hAnsi="Times New Roman" w:cs="Times New Roman"/>
        </w:rPr>
        <w:t>(</w:t>
      </w:r>
      <w:r>
        <w:rPr>
          <w:rFonts w:hint="eastAsia" w:ascii="Times New Roman" w:hAnsi="Times New Roman" w:cs="Times New Roman"/>
        </w:rPr>
        <w:t>Pt</w:t>
      </w:r>
      <w:r>
        <w:rPr>
          <w:rFonts w:hint="eastAsia" w:ascii="Times New Roman" w:hAnsi="Times New Roman" w:cs="Times New Roman"/>
          <w:vertAlign w:val="subscript"/>
        </w:rPr>
        <w:t>1</w:t>
      </w:r>
      <w:r>
        <w:rPr>
          <w:rFonts w:hint="eastAsia" w:ascii="Times New Roman" w:hAnsi="Times New Roman" w:cs="Times New Roman"/>
        </w:rPr>
        <w:t>h</w:t>
      </w:r>
      <w:r>
        <w:rPr>
          <w:rFonts w:hint="eastAsia" w:ascii="Times New Roman" w:hAnsi="Times New Roman" w:cs="Times New Roman"/>
          <w:vertAlign w:val="superscript"/>
        </w:rPr>
        <w:t>3</w:t>
      </w:r>
      <w:r>
        <w:rPr>
          <w:rFonts w:ascii="Times New Roman" w:hAnsi="Times New Roman" w:cs="Times New Roman"/>
        </w:rPr>
        <w:t>)</w:t>
      </w:r>
      <w:r>
        <w:rPr>
          <w:rFonts w:hint="eastAsia" w:ascii="Times New Roman" w:hAnsi="Times New Roman" w:cs="Times New Roman"/>
        </w:rPr>
        <w:t>、</w:t>
      </w:r>
      <w:r>
        <w:rPr>
          <w:spacing w:val="-1"/>
        </w:rPr>
        <w:t>侏罗系上统果松组地层（</w:t>
      </w:r>
      <w:r>
        <w:rPr>
          <w:rFonts w:ascii="Times New Roman" w:hAnsi="Times New Roman" w:eastAsia="Times New Roman" w:cs="Times New Roman"/>
          <w:spacing w:val="-1"/>
        </w:rPr>
        <w:t>J</w:t>
      </w:r>
      <w:r>
        <w:rPr>
          <w:rFonts w:ascii="Times New Roman" w:hAnsi="Times New Roman" w:eastAsia="Times New Roman" w:cs="Times New Roman"/>
          <w:spacing w:val="-1"/>
          <w:position w:val="-3"/>
          <w:sz w:val="16"/>
          <w:szCs w:val="16"/>
        </w:rPr>
        <w:t>3</w:t>
      </w:r>
      <w:r>
        <w:rPr>
          <w:rFonts w:ascii="Times New Roman" w:hAnsi="Times New Roman" w:eastAsia="Times New Roman" w:cs="Times New Roman"/>
          <w:spacing w:val="-1"/>
        </w:rPr>
        <w:t>g</w:t>
      </w:r>
      <w:r>
        <w:rPr>
          <w:rFonts w:ascii="Times New Roman" w:hAnsi="Times New Roman" w:eastAsia="Times New Roman" w:cs="Times New Roman"/>
          <w:spacing w:val="-1"/>
          <w:position w:val="10"/>
          <w:sz w:val="16"/>
          <w:szCs w:val="16"/>
        </w:rPr>
        <w:t>2</w:t>
      </w:r>
      <w:r>
        <w:rPr>
          <w:spacing w:val="-2"/>
        </w:rPr>
        <w:t>）</w:t>
      </w:r>
      <w:r>
        <w:rPr>
          <w:rFonts w:hint="eastAsia" w:ascii="宋体" w:hAnsi="宋体"/>
          <w:szCs w:val="28"/>
        </w:rPr>
        <w:t>和</w:t>
      </w:r>
      <w:r>
        <w:rPr>
          <w:rFonts w:hint="default" w:ascii="Times New Roman" w:hAnsi="Times New Roman" w:cs="Times New Roman"/>
          <w:szCs w:val="28"/>
        </w:rPr>
        <w:t>新生界第四系(Q)</w:t>
      </w:r>
      <w:r>
        <w:rPr>
          <w:rFonts w:hint="eastAsia" w:ascii="宋体" w:hAnsi="宋体"/>
          <w:szCs w:val="28"/>
        </w:rPr>
        <w:t>。</w:t>
      </w:r>
    </w:p>
    <w:p w14:paraId="0150081D">
      <w:pPr>
        <w:ind w:firstLine="560"/>
        <w:rPr>
          <w:rFonts w:hint="eastAsia" w:ascii="宋体" w:hAnsi="宋体"/>
          <w:szCs w:val="28"/>
        </w:rPr>
      </w:pPr>
      <w:r>
        <w:rPr>
          <w:rFonts w:hint="eastAsia" w:ascii="宋体" w:hAnsi="宋体"/>
          <w:szCs w:val="28"/>
        </w:rPr>
        <w:t>各岩系组合特征分述如下：</w:t>
      </w:r>
    </w:p>
    <w:p w14:paraId="7653FC66">
      <w:pPr>
        <w:ind w:firstLine="560"/>
        <w:rPr>
          <w:rFonts w:hint="eastAsia" w:ascii="宋体" w:hAnsi="宋体"/>
          <w:szCs w:val="28"/>
        </w:rPr>
      </w:pPr>
      <w:r>
        <w:rPr>
          <w:rFonts w:hint="eastAsia" w:ascii="宋体" w:hAnsi="宋体"/>
          <w:szCs w:val="28"/>
        </w:rPr>
        <w:t>1.</w:t>
      </w:r>
      <w:r>
        <w:rPr>
          <w:rFonts w:hint="eastAsia" w:ascii="Times New Roman" w:hAnsi="Times New Roman" w:cs="Times New Roman"/>
        </w:rPr>
        <w:t>下元古界集安群蚂蚁河组</w:t>
      </w:r>
      <w:r>
        <w:rPr>
          <w:rFonts w:ascii="Times New Roman" w:hAnsi="Times New Roman" w:cs="Times New Roman"/>
        </w:rPr>
        <w:t>（</w:t>
      </w:r>
      <w:r>
        <w:rPr>
          <w:rFonts w:hint="eastAsia" w:ascii="Times New Roman" w:hAnsi="Times New Roman" w:cs="Times New Roman"/>
        </w:rPr>
        <w:t>Pt</w:t>
      </w:r>
      <w:r>
        <w:rPr>
          <w:rFonts w:hint="eastAsia" w:ascii="Times New Roman" w:hAnsi="Times New Roman" w:cs="Times New Roman"/>
          <w:vertAlign w:val="subscript"/>
        </w:rPr>
        <w:t>1</w:t>
      </w:r>
      <w:r>
        <w:rPr>
          <w:rFonts w:hint="eastAsia" w:ascii="Times New Roman" w:hAnsi="Times New Roman" w:cs="Times New Roman"/>
        </w:rPr>
        <w:t>m</w:t>
      </w:r>
      <w:r>
        <w:rPr>
          <w:rFonts w:ascii="Times New Roman" w:hAnsi="Times New Roman" w:cs="Times New Roman"/>
        </w:rPr>
        <w:t>）</w:t>
      </w:r>
    </w:p>
    <w:p w14:paraId="1CFA5DA2">
      <w:pPr>
        <w:spacing w:before="5" w:line="362" w:lineRule="auto"/>
        <w:ind w:left="1" w:right="21" w:firstLine="700"/>
        <w:rPr>
          <w:rFonts w:ascii="宋体" w:hAnsi="宋体" w:eastAsia="宋体" w:cs="宋体"/>
          <w:sz w:val="28"/>
          <w:szCs w:val="28"/>
        </w:rPr>
      </w:pPr>
      <w:r>
        <w:rPr>
          <w:rFonts w:hint="default" w:ascii="Times New Roman" w:hAnsi="Times New Roman" w:eastAsia="宋体" w:cs="Times New Roman"/>
          <w:spacing w:val="-9"/>
          <w:sz w:val="28"/>
          <w:szCs w:val="28"/>
        </w:rPr>
        <w:t>出露</w:t>
      </w:r>
      <w:r>
        <w:rPr>
          <w:rFonts w:hint="default" w:ascii="Times New Roman" w:hAnsi="Times New Roman" w:eastAsia="宋体" w:cs="Times New Roman"/>
          <w:spacing w:val="-10"/>
          <w:sz w:val="28"/>
          <w:szCs w:val="28"/>
        </w:rPr>
        <w:t>长度约280m，宽约260m，</w:t>
      </w:r>
      <w:r>
        <w:rPr>
          <w:rFonts w:hint="default" w:ascii="Times New Roman" w:hAnsi="Times New Roman" w:eastAsia="宋体" w:cs="Times New Roman"/>
          <w:spacing w:val="1"/>
          <w:sz w:val="28"/>
          <w:szCs w:val="28"/>
        </w:rPr>
        <w:t>面积0.061</w:t>
      </w:r>
      <w:r>
        <w:rPr>
          <w:rFonts w:hint="default" w:ascii="Times New Roman" w:hAnsi="Times New Roman" w:eastAsia="宋体" w:cs="Times New Roman"/>
          <w:sz w:val="28"/>
          <w:szCs w:val="28"/>
        </w:rPr>
        <w:t>km</w:t>
      </w:r>
      <w:r>
        <w:rPr>
          <w:rFonts w:hint="default" w:ascii="Times New Roman" w:hAnsi="Times New Roman" w:eastAsia="宋体" w:cs="Times New Roman"/>
          <w:spacing w:val="1"/>
          <w:position w:val="14"/>
          <w:sz w:val="13"/>
          <w:szCs w:val="13"/>
        </w:rPr>
        <w:t>2</w:t>
      </w:r>
      <w:r>
        <w:rPr>
          <w:rFonts w:hint="default" w:ascii="Times New Roman" w:hAnsi="Times New Roman" w:eastAsia="宋体" w:cs="Times New Roman"/>
          <w:spacing w:val="1"/>
          <w:sz w:val="28"/>
          <w:szCs w:val="28"/>
        </w:rPr>
        <w:t>，位于</w:t>
      </w:r>
      <w:r>
        <w:rPr>
          <w:rFonts w:ascii="宋体" w:hAnsi="宋体" w:eastAsia="宋体" w:cs="宋体"/>
          <w:spacing w:val="1"/>
          <w:sz w:val="28"/>
          <w:szCs w:val="28"/>
        </w:rPr>
        <w:t>蚂蚁河岩组底部，与荒岔沟岩组断层</w:t>
      </w:r>
      <w:r>
        <w:rPr>
          <w:rFonts w:ascii="宋体" w:hAnsi="宋体" w:eastAsia="宋体" w:cs="宋体"/>
          <w:sz w:val="28"/>
          <w:szCs w:val="28"/>
        </w:rPr>
        <w:t>接触。</w:t>
      </w:r>
    </w:p>
    <w:p w14:paraId="4A77C2D2">
      <w:pPr>
        <w:spacing w:line="217" w:lineRule="auto"/>
        <w:rPr>
          <w:rFonts w:ascii="宋体" w:hAnsi="宋体" w:eastAsia="宋体" w:cs="宋体"/>
          <w:sz w:val="28"/>
          <w:szCs w:val="28"/>
        </w:rPr>
      </w:pPr>
      <w:r>
        <w:rPr>
          <w:rFonts w:ascii="宋体" w:hAnsi="宋体" w:eastAsia="宋体" w:cs="宋体"/>
          <w:spacing w:val="-2"/>
          <w:sz w:val="28"/>
          <w:szCs w:val="28"/>
        </w:rPr>
        <w:t>该层自下而上分为3个岩性层,各层特征如下。</w:t>
      </w:r>
    </w:p>
    <w:p w14:paraId="443DBDED">
      <w:pPr>
        <w:spacing w:before="63" w:line="239" w:lineRule="auto"/>
        <w:rPr>
          <w:rFonts w:hint="default" w:ascii="Times New Roman" w:hAnsi="Times New Roman" w:eastAsia="宋体" w:cs="Times New Roman"/>
          <w:sz w:val="28"/>
          <w:szCs w:val="28"/>
        </w:rPr>
      </w:pPr>
      <w:bookmarkStart w:id="67" w:name="bookmark67"/>
      <w:bookmarkEnd w:id="67"/>
      <w:r>
        <w:rPr>
          <w:rFonts w:hint="default" w:ascii="Times New Roman" w:hAnsi="Times New Roman" w:eastAsia="宋体" w:cs="Times New Roman"/>
          <w:spacing w:val="-3"/>
          <w:sz w:val="28"/>
          <w:szCs w:val="28"/>
        </w:rPr>
        <w:t>第1层为滑石、浅粒岩、白云质大理岩、黑云变粒岩层(Pt</w:t>
      </w:r>
      <w:r>
        <w:rPr>
          <w:rFonts w:hint="default" w:ascii="Times New Roman" w:hAnsi="Times New Roman" w:eastAsia="宋体" w:cs="Times New Roman"/>
          <w:spacing w:val="-3"/>
          <w:position w:val="-3"/>
          <w:sz w:val="13"/>
          <w:szCs w:val="13"/>
        </w:rPr>
        <w:t>1</w:t>
      </w:r>
      <w:r>
        <w:rPr>
          <w:rFonts w:hint="default" w:ascii="Times New Roman" w:hAnsi="Times New Roman" w:eastAsia="宋体" w:cs="Times New Roman"/>
          <w:i/>
          <w:iCs/>
          <w:spacing w:val="-3"/>
          <w:sz w:val="29"/>
          <w:szCs w:val="29"/>
        </w:rPr>
        <w:t>m</w:t>
      </w:r>
      <w:r>
        <w:rPr>
          <w:rFonts w:hint="default" w:ascii="Times New Roman" w:hAnsi="Times New Roman" w:eastAsia="宋体" w:cs="Times New Roman"/>
          <w:i/>
          <w:iCs/>
          <w:spacing w:val="-3"/>
          <w:position w:val="14"/>
          <w:sz w:val="14"/>
          <w:szCs w:val="14"/>
        </w:rPr>
        <w:t>1</w:t>
      </w:r>
      <w:r>
        <w:rPr>
          <w:rFonts w:hint="default" w:ascii="Times New Roman" w:hAnsi="Times New Roman" w:eastAsia="宋体" w:cs="Times New Roman"/>
          <w:i/>
          <w:iCs/>
          <w:spacing w:val="-3"/>
          <w:sz w:val="29"/>
          <w:szCs w:val="29"/>
        </w:rPr>
        <w:t>.</w:t>
      </w:r>
      <w:r>
        <w:rPr>
          <w:rFonts w:hint="default" w:ascii="Times New Roman" w:hAnsi="Times New Roman" w:eastAsia="宋体" w:cs="Times New Roman"/>
          <w:spacing w:val="-3"/>
          <w:sz w:val="28"/>
          <w:szCs w:val="28"/>
        </w:rPr>
        <w:t>)</w:t>
      </w:r>
    </w:p>
    <w:p w14:paraId="7B6DB129">
      <w:pPr>
        <w:spacing w:before="190" w:line="359" w:lineRule="auto"/>
        <w:ind w:right="76" w:firstLine="567"/>
        <w:rPr>
          <w:rFonts w:hint="default" w:ascii="Times New Roman" w:hAnsi="Times New Roman" w:eastAsia="宋体" w:cs="Times New Roman"/>
          <w:sz w:val="28"/>
          <w:szCs w:val="28"/>
        </w:rPr>
      </w:pPr>
      <w:r>
        <w:rPr>
          <w:rFonts w:hint="default" w:ascii="Times New Roman" w:hAnsi="Times New Roman" w:eastAsia="宋体" w:cs="Times New Roman"/>
          <w:spacing w:val="-2"/>
          <w:sz w:val="28"/>
          <w:szCs w:val="28"/>
        </w:rPr>
        <w:t>该层主要由白色滑石组成，局部夹少量浅粒岩、白云质大理岩，底部为黑云变粒岩，分布于核实区北东部5～0勘查线之间,呈长条状，控制长度146m,厚度</w:t>
      </w:r>
      <w:r>
        <w:rPr>
          <w:rFonts w:hint="default" w:ascii="Times New Roman" w:hAnsi="Times New Roman" w:eastAsia="宋体" w:cs="Times New Roman"/>
          <w:spacing w:val="-3"/>
          <w:sz w:val="28"/>
          <w:szCs w:val="28"/>
        </w:rPr>
        <w:t>4.56m～44.58m；总体走向60°,倾向南东，倾角5°~50°；该层为第1含矿</w:t>
      </w:r>
      <w:r>
        <w:rPr>
          <w:rFonts w:hint="default" w:ascii="Times New Roman" w:hAnsi="Times New Roman" w:eastAsia="宋体" w:cs="Times New Roman"/>
          <w:sz w:val="28"/>
          <w:szCs w:val="28"/>
        </w:rPr>
        <w:t>层，①、②号、③号矿体赋存其中。该层与</w:t>
      </w:r>
      <w:r>
        <w:rPr>
          <w:rFonts w:hint="default" w:ascii="Times New Roman" w:hAnsi="Times New Roman" w:eastAsia="宋体" w:cs="Times New Roman"/>
          <w:spacing w:val="-1"/>
          <w:sz w:val="28"/>
          <w:szCs w:val="28"/>
        </w:rPr>
        <w:t>荒岔沟岩组断层接触。</w:t>
      </w:r>
    </w:p>
    <w:p w14:paraId="0F80E7C5">
      <w:pPr>
        <w:spacing w:line="352" w:lineRule="auto"/>
        <w:ind w:left="41" w:right="69" w:firstLine="520"/>
        <w:rPr>
          <w:rFonts w:hint="default" w:ascii="Times New Roman" w:hAnsi="Times New Roman" w:eastAsia="宋体" w:cs="Times New Roman"/>
          <w:sz w:val="28"/>
          <w:szCs w:val="28"/>
        </w:rPr>
      </w:pPr>
      <w:r>
        <w:rPr>
          <w:rFonts w:hint="default" w:ascii="Times New Roman" w:hAnsi="Times New Roman" w:eastAsia="宋体" w:cs="Times New Roman"/>
          <w:spacing w:val="-2"/>
          <w:sz w:val="28"/>
          <w:szCs w:val="28"/>
        </w:rPr>
        <w:t>第2层为蛇纹岩、浅粒岩、变粒岩、黑云变粒岩、蛇</w:t>
      </w:r>
      <w:r>
        <w:rPr>
          <w:rFonts w:hint="default" w:ascii="Times New Roman" w:hAnsi="Times New Roman" w:eastAsia="宋体" w:cs="Times New Roman"/>
          <w:spacing w:val="-3"/>
          <w:sz w:val="28"/>
          <w:szCs w:val="28"/>
        </w:rPr>
        <w:t>纹石化大理岩夹滑石、</w:t>
      </w:r>
      <w:r>
        <w:rPr>
          <w:rFonts w:hint="default" w:ascii="Times New Roman" w:hAnsi="Times New Roman" w:eastAsia="宋体" w:cs="Times New Roman"/>
          <w:spacing w:val="-5"/>
          <w:sz w:val="28"/>
          <w:szCs w:val="28"/>
        </w:rPr>
        <w:t>白云质大理岩层(Pt</w:t>
      </w:r>
      <w:r>
        <w:rPr>
          <w:rFonts w:hint="default" w:ascii="Times New Roman" w:hAnsi="Times New Roman" w:eastAsia="宋体" w:cs="Times New Roman"/>
          <w:spacing w:val="-5"/>
          <w:position w:val="-4"/>
          <w:sz w:val="13"/>
          <w:szCs w:val="13"/>
        </w:rPr>
        <w:t>1</w:t>
      </w:r>
      <w:r>
        <w:rPr>
          <w:rFonts w:hint="default" w:ascii="Times New Roman" w:hAnsi="Times New Roman" w:eastAsia="宋体" w:cs="Times New Roman"/>
          <w:i/>
          <w:iCs/>
          <w:spacing w:val="-5"/>
          <w:sz w:val="29"/>
          <w:szCs w:val="29"/>
        </w:rPr>
        <w:t>m</w:t>
      </w:r>
      <w:r>
        <w:rPr>
          <w:rFonts w:hint="default" w:ascii="Times New Roman" w:hAnsi="Times New Roman" w:eastAsia="宋体" w:cs="Times New Roman"/>
          <w:i/>
          <w:iCs/>
          <w:spacing w:val="-5"/>
          <w:position w:val="14"/>
          <w:sz w:val="14"/>
          <w:szCs w:val="14"/>
        </w:rPr>
        <w:t>2</w:t>
      </w:r>
      <w:r>
        <w:rPr>
          <w:rFonts w:hint="default" w:ascii="Times New Roman" w:hAnsi="Times New Roman" w:eastAsia="宋体" w:cs="Times New Roman"/>
          <w:spacing w:val="-5"/>
          <w:sz w:val="28"/>
          <w:szCs w:val="28"/>
        </w:rPr>
        <w:t>)</w:t>
      </w:r>
    </w:p>
    <w:p w14:paraId="7551A0EF">
      <w:pPr>
        <w:keepNext w:val="0"/>
        <w:keepLines w:val="0"/>
        <w:pageBreakBefore w:val="0"/>
        <w:widowControl w:val="0"/>
        <w:kinsoku/>
        <w:wordWrap/>
        <w:overflowPunct/>
        <w:topLinePunct w:val="0"/>
        <w:autoSpaceDE/>
        <w:autoSpaceDN/>
        <w:bidi w:val="0"/>
        <w:adjustRightInd w:val="0"/>
        <w:snapToGrid w:val="0"/>
        <w:spacing w:before="5" w:line="360" w:lineRule="auto"/>
        <w:ind w:left="1" w:right="76" w:firstLine="566"/>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spacing w:val="-2"/>
          <w:sz w:val="28"/>
          <w:szCs w:val="28"/>
        </w:rPr>
        <w:t>该层主要由蛇纹岩、浅粒岩、变粒岩、蛇纹石化大理岩夹滑石、白云质大理</w:t>
      </w:r>
      <w:r>
        <w:rPr>
          <w:rFonts w:hint="default" w:ascii="Times New Roman" w:hAnsi="Times New Roman" w:eastAsia="宋体" w:cs="Times New Roman"/>
          <w:spacing w:val="-5"/>
          <w:sz w:val="28"/>
          <w:szCs w:val="28"/>
        </w:rPr>
        <w:t>岩组成，分布于核实区北东部5～0勘查线之间，呈长条状，控制长度146m,厚度</w:t>
      </w:r>
      <w:r>
        <w:rPr>
          <w:rFonts w:hint="default" w:ascii="Times New Roman" w:hAnsi="Times New Roman" w:eastAsia="宋体" w:cs="Times New Roman"/>
          <w:spacing w:val="-2"/>
          <w:sz w:val="28"/>
          <w:szCs w:val="28"/>
        </w:rPr>
        <w:t>39.79m～126.87m。总体产状：走向60°,倾向南东，倾角5°~39°。该层为本区第2含矿层，④号、⑤号、⑥号矿体赋存其中。</w:t>
      </w:r>
    </w:p>
    <w:p w14:paraId="6186BD6B">
      <w:pPr>
        <w:keepNext w:val="0"/>
        <w:keepLines w:val="0"/>
        <w:pageBreakBefore w:val="0"/>
        <w:widowControl w:val="0"/>
        <w:kinsoku/>
        <w:wordWrap/>
        <w:overflowPunct/>
        <w:topLinePunct w:val="0"/>
        <w:autoSpaceDE/>
        <w:autoSpaceDN/>
        <w:bidi w:val="0"/>
        <w:adjustRightInd w:val="0"/>
        <w:snapToGrid w:val="0"/>
        <w:spacing w:before="1"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pacing w:val="-7"/>
          <w:sz w:val="28"/>
          <w:szCs w:val="28"/>
        </w:rPr>
        <w:t>第3层白云母大理岩、黑云变粒岩、浅粒岩、变粒岩、斜长角闪岩层(Pt</w:t>
      </w:r>
      <w:r>
        <w:rPr>
          <w:rFonts w:hint="default" w:ascii="Times New Roman" w:hAnsi="Times New Roman" w:eastAsia="宋体" w:cs="Times New Roman"/>
          <w:spacing w:val="-7"/>
          <w:position w:val="-3"/>
          <w:sz w:val="13"/>
          <w:szCs w:val="13"/>
        </w:rPr>
        <w:t>1</w:t>
      </w:r>
      <w:r>
        <w:rPr>
          <w:rFonts w:hint="default" w:ascii="Times New Roman" w:hAnsi="Times New Roman" w:eastAsia="宋体" w:cs="Times New Roman"/>
          <w:i/>
          <w:iCs/>
          <w:spacing w:val="-7"/>
          <w:sz w:val="29"/>
          <w:szCs w:val="29"/>
        </w:rPr>
        <w:t>m</w:t>
      </w:r>
      <w:r>
        <w:rPr>
          <w:rFonts w:hint="default" w:ascii="Times New Roman" w:hAnsi="Times New Roman" w:eastAsia="宋体" w:cs="Times New Roman"/>
          <w:i/>
          <w:iCs/>
          <w:spacing w:val="-7"/>
          <w:position w:val="14"/>
          <w:sz w:val="14"/>
          <w:szCs w:val="14"/>
        </w:rPr>
        <w:t>1</w:t>
      </w:r>
      <w:r>
        <w:rPr>
          <w:rFonts w:hint="default" w:ascii="Times New Roman" w:hAnsi="Times New Roman" w:eastAsia="宋体" w:cs="Times New Roman"/>
          <w:i/>
          <w:iCs/>
          <w:spacing w:val="-7"/>
          <w:sz w:val="29"/>
          <w:szCs w:val="29"/>
        </w:rPr>
        <w:t>.</w:t>
      </w:r>
      <w:r>
        <w:rPr>
          <w:rFonts w:hint="default" w:ascii="Times New Roman" w:hAnsi="Times New Roman" w:eastAsia="宋体" w:cs="Times New Roman"/>
          <w:spacing w:val="-7"/>
          <w:sz w:val="28"/>
          <w:szCs w:val="28"/>
        </w:rPr>
        <w:t>)</w:t>
      </w:r>
    </w:p>
    <w:p w14:paraId="5148E0B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szCs w:val="28"/>
        </w:rPr>
      </w:pPr>
      <w:r>
        <w:rPr>
          <w:rFonts w:hint="default" w:ascii="Times New Roman" w:hAnsi="Times New Roman" w:cs="Times New Roman"/>
          <w:szCs w:val="28"/>
          <w:lang w:val="en-US" w:eastAsia="zh-CN"/>
        </w:rPr>
        <w:t>2</w:t>
      </w:r>
      <w:r>
        <w:rPr>
          <w:rFonts w:hint="default" w:ascii="Times New Roman" w:hAnsi="Times New Roman" w:cs="Times New Roman"/>
          <w:szCs w:val="28"/>
        </w:rPr>
        <w:t>.</w:t>
      </w:r>
      <w:r>
        <w:rPr>
          <w:rFonts w:hint="default" w:ascii="Times New Roman" w:hAnsi="Times New Roman" w:eastAsia="宋体" w:cs="Times New Roman"/>
          <w:spacing w:val="-2"/>
          <w:sz w:val="28"/>
          <w:szCs w:val="28"/>
        </w:rPr>
        <w:t>古元古界集安群荒岔沟岩组(Pt</w:t>
      </w:r>
      <w:r>
        <w:rPr>
          <w:rFonts w:hint="default" w:ascii="Times New Roman" w:hAnsi="Times New Roman" w:eastAsia="宋体" w:cs="Times New Roman"/>
          <w:spacing w:val="-2"/>
          <w:position w:val="-3"/>
          <w:sz w:val="13"/>
          <w:szCs w:val="13"/>
        </w:rPr>
        <w:t>1</w:t>
      </w:r>
      <w:r>
        <w:rPr>
          <w:rFonts w:hint="default" w:ascii="Times New Roman" w:hAnsi="Times New Roman" w:eastAsia="宋体" w:cs="Times New Roman"/>
          <w:i/>
          <w:iCs/>
          <w:spacing w:val="-2"/>
          <w:sz w:val="29"/>
          <w:szCs w:val="29"/>
        </w:rPr>
        <w:t>h</w:t>
      </w:r>
      <w:r>
        <w:rPr>
          <w:rFonts w:hint="default" w:ascii="Times New Roman" w:hAnsi="Times New Roman" w:eastAsia="宋体" w:cs="Times New Roman"/>
          <w:i/>
          <w:iCs/>
          <w:spacing w:val="-3"/>
          <w:sz w:val="29"/>
          <w:szCs w:val="29"/>
        </w:rPr>
        <w:t>.</w:t>
      </w:r>
      <w:r>
        <w:rPr>
          <w:rFonts w:hint="default" w:ascii="Times New Roman" w:hAnsi="Times New Roman" w:eastAsia="宋体" w:cs="Times New Roman"/>
          <w:spacing w:val="-3"/>
          <w:sz w:val="28"/>
          <w:szCs w:val="28"/>
        </w:rPr>
        <w:t>)</w:t>
      </w:r>
    </w:p>
    <w:p w14:paraId="0FBAD4A8">
      <w:pPr>
        <w:ind w:firstLine="560"/>
        <w:rPr>
          <w:rFonts w:hint="default" w:ascii="Times New Roman" w:hAnsi="Times New Roman" w:eastAsia="宋体" w:cs="Times New Roman"/>
          <w:spacing w:val="-1"/>
          <w:sz w:val="28"/>
          <w:szCs w:val="28"/>
        </w:rPr>
      </w:pPr>
      <w:r>
        <w:rPr>
          <w:rFonts w:hint="default" w:ascii="Times New Roman" w:hAnsi="Times New Roman" w:eastAsia="宋体" w:cs="Times New Roman"/>
          <w:spacing w:val="-1"/>
          <w:sz w:val="28"/>
          <w:szCs w:val="28"/>
        </w:rPr>
        <w:t>出露于矿区北西部，出露长度约360m，宽约326m，面积0.098km</w:t>
      </w:r>
      <w:r>
        <w:rPr>
          <w:rFonts w:hint="default" w:ascii="Times New Roman" w:hAnsi="Times New Roman" w:eastAsia="宋体" w:cs="Times New Roman"/>
          <w:spacing w:val="-1"/>
          <w:position w:val="14"/>
          <w:sz w:val="13"/>
          <w:szCs w:val="13"/>
        </w:rPr>
        <w:t>2</w:t>
      </w:r>
      <w:r>
        <w:rPr>
          <w:rFonts w:hint="default" w:ascii="Times New Roman" w:hAnsi="Times New Roman" w:eastAsia="宋体" w:cs="Times New Roman"/>
          <w:spacing w:val="-1"/>
          <w:sz w:val="28"/>
          <w:szCs w:val="28"/>
        </w:rPr>
        <w:t>，岩性主</w:t>
      </w:r>
      <w:r>
        <w:rPr>
          <w:rFonts w:hint="default" w:ascii="Times New Roman" w:hAnsi="Times New Roman" w:eastAsia="宋体" w:cs="Times New Roman"/>
          <w:sz w:val="28"/>
          <w:szCs w:val="28"/>
        </w:rPr>
        <w:t>要为透辉变粒岩、浅粒岩、黑云变粒岩、斜长角闪岩</w:t>
      </w:r>
      <w:r>
        <w:rPr>
          <w:rFonts w:hint="default" w:ascii="Times New Roman" w:hAnsi="Times New Roman" w:eastAsia="宋体" w:cs="Times New Roman"/>
          <w:spacing w:val="-1"/>
          <w:sz w:val="28"/>
          <w:szCs w:val="28"/>
        </w:rPr>
        <w:t>、含石墨透辉变粒岩等。</w:t>
      </w:r>
    </w:p>
    <w:p w14:paraId="173133BC">
      <w:pPr>
        <w:ind w:firstLine="560"/>
        <w:rPr>
          <w:rFonts w:hint="default" w:ascii="Times New Roman" w:hAnsi="Times New Roman" w:cs="Times New Roman"/>
          <w:szCs w:val="28"/>
        </w:rPr>
      </w:pPr>
      <w:r>
        <w:rPr>
          <w:rFonts w:hint="default" w:ascii="Times New Roman" w:hAnsi="Times New Roman" w:cs="Times New Roman"/>
          <w:szCs w:val="28"/>
        </w:rPr>
        <w:t>3.</w:t>
      </w:r>
      <w:r>
        <w:rPr>
          <w:rFonts w:hint="default" w:ascii="Times New Roman" w:hAnsi="Times New Roman" w:cs="Times New Roman"/>
          <w:spacing w:val="-1"/>
        </w:rPr>
        <w:t>侏罗系上统果松组地层</w:t>
      </w:r>
      <w:r>
        <w:rPr>
          <w:rFonts w:hint="default" w:ascii="Times New Roman" w:hAnsi="Times New Roman" w:cs="Times New Roman"/>
        </w:rPr>
        <w:t>(</w:t>
      </w:r>
      <w:r>
        <w:rPr>
          <w:rFonts w:hint="default" w:ascii="Times New Roman" w:hAnsi="Times New Roman" w:eastAsia="Times New Roman" w:cs="Times New Roman"/>
          <w:spacing w:val="-1"/>
        </w:rPr>
        <w:t>J</w:t>
      </w:r>
      <w:r>
        <w:rPr>
          <w:rFonts w:hint="default" w:ascii="Times New Roman" w:hAnsi="Times New Roman" w:eastAsia="Times New Roman" w:cs="Times New Roman"/>
          <w:spacing w:val="-1"/>
          <w:position w:val="-3"/>
          <w:sz w:val="16"/>
          <w:szCs w:val="16"/>
        </w:rPr>
        <w:t>3</w:t>
      </w:r>
      <w:r>
        <w:rPr>
          <w:rFonts w:hint="default" w:ascii="Times New Roman" w:hAnsi="Times New Roman" w:eastAsia="Times New Roman" w:cs="Times New Roman"/>
          <w:spacing w:val="-1"/>
        </w:rPr>
        <w:t>g</w:t>
      </w:r>
      <w:r>
        <w:rPr>
          <w:rFonts w:hint="default" w:ascii="Times New Roman" w:hAnsi="Times New Roman" w:eastAsia="Times New Roman" w:cs="Times New Roman"/>
          <w:spacing w:val="-1"/>
          <w:position w:val="10"/>
          <w:sz w:val="16"/>
          <w:szCs w:val="16"/>
        </w:rPr>
        <w:t>2</w:t>
      </w:r>
      <w:r>
        <w:rPr>
          <w:rFonts w:hint="default" w:ascii="Times New Roman" w:hAnsi="Times New Roman" w:cs="Times New Roman"/>
        </w:rPr>
        <w:t>)</w:t>
      </w:r>
    </w:p>
    <w:p w14:paraId="12CE99CB">
      <w:pPr>
        <w:spacing w:before="281" w:line="408" w:lineRule="auto"/>
        <w:ind w:left="1" w:right="21"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在核实区的南侧大面积分布，不整合在集安群地层之上。出露长度约</w:t>
      </w:r>
      <w:r>
        <w:rPr>
          <w:rFonts w:hint="default" w:ascii="Times New Roman" w:hAnsi="Times New Roman" w:eastAsia="宋体" w:cs="Times New Roman"/>
          <w:spacing w:val="-1"/>
          <w:sz w:val="28"/>
          <w:szCs w:val="28"/>
        </w:rPr>
        <w:t>452m，</w:t>
      </w:r>
      <w:r>
        <w:rPr>
          <w:rFonts w:hint="default" w:ascii="Times New Roman" w:hAnsi="Times New Roman" w:eastAsia="宋体" w:cs="Times New Roman"/>
          <w:spacing w:val="-2"/>
          <w:sz w:val="28"/>
          <w:szCs w:val="28"/>
        </w:rPr>
        <w:t>宽约220m，面积0.098km</w:t>
      </w:r>
      <w:r>
        <w:rPr>
          <w:rFonts w:hint="default" w:ascii="Times New Roman" w:hAnsi="Times New Roman" w:eastAsia="宋体" w:cs="Times New Roman"/>
          <w:spacing w:val="-2"/>
          <w:position w:val="14"/>
          <w:sz w:val="13"/>
          <w:szCs w:val="13"/>
        </w:rPr>
        <w:t>2</w:t>
      </w:r>
      <w:r>
        <w:rPr>
          <w:rFonts w:hint="default" w:ascii="Times New Roman" w:hAnsi="Times New Roman" w:eastAsia="宋体" w:cs="Times New Roman"/>
          <w:spacing w:val="-2"/>
          <w:sz w:val="28"/>
          <w:szCs w:val="28"/>
        </w:rPr>
        <w:t>，岩性主要为火山碎屑岩，主要岩性为安山质晶屑凝灰岩、安山岩。</w:t>
      </w:r>
    </w:p>
    <w:p w14:paraId="5EB96D51">
      <w:pPr>
        <w:ind w:firstLine="560"/>
        <w:rPr>
          <w:rFonts w:hint="eastAsia" w:ascii="宋体" w:hAnsi="宋体"/>
          <w:szCs w:val="28"/>
        </w:rPr>
      </w:pPr>
      <w:r>
        <w:rPr>
          <w:rFonts w:hint="eastAsia" w:ascii="宋体" w:hAnsi="宋体"/>
          <w:szCs w:val="28"/>
        </w:rPr>
        <w:t>4.第四系（Q</w:t>
      </w:r>
      <w:r>
        <w:rPr>
          <w:rFonts w:hint="eastAsia" w:ascii="宋体" w:hAnsi="宋体"/>
          <w:szCs w:val="28"/>
          <w:vertAlign w:val="subscript"/>
          <w:lang w:val="en-US" w:eastAsia="zh-CN"/>
        </w:rPr>
        <w:t>4</w:t>
      </w:r>
      <w:r>
        <w:rPr>
          <w:rFonts w:hint="eastAsia" w:ascii="宋体" w:hAnsi="宋体"/>
          <w:szCs w:val="28"/>
        </w:rPr>
        <w:t>）</w:t>
      </w:r>
    </w:p>
    <w:p w14:paraId="4113A9D2">
      <w:pPr>
        <w:rPr>
          <w:rFonts w:hint="eastAsia"/>
        </w:rPr>
      </w:pPr>
      <w:r>
        <w:rPr>
          <w:rFonts w:ascii="宋体" w:hAnsi="宋体" w:eastAsia="宋体" w:cs="宋体"/>
          <w:spacing w:val="-2"/>
          <w:sz w:val="28"/>
          <w:szCs w:val="28"/>
        </w:rPr>
        <w:t>零星分布于核实区北西部，由残坡积、冲洪积物砾石、砂、粘土和腐殖土组</w:t>
      </w:r>
      <w:r>
        <w:rPr>
          <w:rFonts w:ascii="宋体" w:hAnsi="宋体" w:eastAsia="宋体" w:cs="宋体"/>
          <w:spacing w:val="-7"/>
          <w:sz w:val="28"/>
          <w:szCs w:val="28"/>
        </w:rPr>
        <w:t>成。</w:t>
      </w:r>
    </w:p>
    <w:p w14:paraId="2E024EAF">
      <w:pPr>
        <w:pStyle w:val="5"/>
        <w:ind w:firstLine="562"/>
      </w:pPr>
      <w:bookmarkStart w:id="68" w:name="_Toc211790743"/>
      <w:r>
        <w:t>（二）地质构造</w:t>
      </w:r>
      <w:bookmarkEnd w:id="68"/>
      <w:r>
        <w:rPr>
          <w:rFonts w:hint="eastAsia"/>
        </w:rPr>
        <w:t>与区域地壳稳定性</w:t>
      </w:r>
    </w:p>
    <w:p w14:paraId="52C4FB3A">
      <w:pPr>
        <w:spacing w:before="289" w:line="220" w:lineRule="auto"/>
        <w:ind w:left="583"/>
        <w:rPr>
          <w:rFonts w:ascii="宋体" w:hAnsi="宋体" w:eastAsia="宋体" w:cs="宋体"/>
          <w:sz w:val="28"/>
          <w:szCs w:val="28"/>
        </w:rPr>
      </w:pPr>
      <w:r>
        <w:rPr>
          <w:rFonts w:ascii="宋体" w:hAnsi="宋体" w:eastAsia="宋体" w:cs="宋体"/>
          <w:spacing w:val="-3"/>
          <w:sz w:val="28"/>
          <w:szCs w:val="28"/>
        </w:rPr>
        <w:t>区内构造主要为褶皱、断裂。</w:t>
      </w:r>
    </w:p>
    <w:p w14:paraId="5AB2C67C">
      <w:pPr>
        <w:spacing w:before="290" w:line="220" w:lineRule="auto"/>
        <w:ind w:left="563"/>
        <w:rPr>
          <w:rFonts w:hint="default" w:ascii="Times New Roman" w:hAnsi="Times New Roman" w:eastAsia="宋体" w:cs="Times New Roman"/>
          <w:sz w:val="28"/>
          <w:szCs w:val="28"/>
        </w:rPr>
      </w:pPr>
      <w:r>
        <w:rPr>
          <w:rFonts w:hint="default" w:ascii="Times New Roman" w:hAnsi="Times New Roman" w:eastAsia="宋体" w:cs="Times New Roman"/>
          <w:spacing w:val="-5"/>
          <w:sz w:val="28"/>
          <w:szCs w:val="28"/>
        </w:rPr>
        <w:t>a褶皱构造</w:t>
      </w:r>
    </w:p>
    <w:p w14:paraId="07415A7B">
      <w:pPr>
        <w:spacing w:before="291" w:line="411" w:lineRule="auto"/>
        <w:ind w:left="24" w:right="98" w:firstLine="537"/>
        <w:rPr>
          <w:rFonts w:hint="default" w:ascii="Times New Roman" w:hAnsi="Times New Roman" w:eastAsia="宋体" w:cs="Times New Roman"/>
          <w:sz w:val="28"/>
          <w:szCs w:val="28"/>
        </w:rPr>
      </w:pPr>
      <w:r>
        <w:rPr>
          <w:rFonts w:hint="default" w:ascii="Times New Roman" w:hAnsi="Times New Roman" w:eastAsia="宋体" w:cs="Times New Roman"/>
          <w:spacing w:val="-2"/>
          <w:sz w:val="28"/>
          <w:szCs w:val="28"/>
        </w:rPr>
        <w:t>矿床位于腰营子～大荒沟复式褶皱构造以东、横路西岔～四道阳岔背斜以北</w:t>
      </w:r>
      <w:r>
        <w:rPr>
          <w:rFonts w:hint="default" w:ascii="Times New Roman" w:hAnsi="Times New Roman" w:eastAsia="宋体" w:cs="Times New Roman"/>
          <w:spacing w:val="-1"/>
          <w:sz w:val="28"/>
          <w:szCs w:val="28"/>
        </w:rPr>
        <w:t>的均匀区。区内蚂蚁河组总体表现为轴向近南北</w:t>
      </w:r>
      <w:r>
        <w:rPr>
          <w:rFonts w:hint="default" w:ascii="Times New Roman" w:hAnsi="Times New Roman" w:eastAsia="宋体" w:cs="Times New Roman"/>
          <w:spacing w:val="-2"/>
          <w:sz w:val="28"/>
          <w:szCs w:val="28"/>
        </w:rPr>
        <w:t>的不对称褶皱。</w:t>
      </w:r>
    </w:p>
    <w:p w14:paraId="413A02C7">
      <w:pPr>
        <w:spacing w:before="1" w:line="219" w:lineRule="auto"/>
        <w:ind w:left="558"/>
        <w:rPr>
          <w:rFonts w:hint="default" w:ascii="Times New Roman" w:hAnsi="Times New Roman" w:eastAsia="宋体" w:cs="Times New Roman"/>
          <w:sz w:val="28"/>
          <w:szCs w:val="28"/>
        </w:rPr>
      </w:pPr>
      <w:r>
        <w:rPr>
          <w:rFonts w:hint="default" w:ascii="Times New Roman" w:hAnsi="Times New Roman" w:eastAsia="宋体" w:cs="Times New Roman"/>
          <w:spacing w:val="-6"/>
          <w:sz w:val="28"/>
          <w:szCs w:val="28"/>
        </w:rPr>
        <w:t>b断裂构造</w:t>
      </w:r>
    </w:p>
    <w:p w14:paraId="667AF34F">
      <w:pPr>
        <w:spacing w:before="290" w:line="220" w:lineRule="auto"/>
        <w:ind w:left="573"/>
        <w:rPr>
          <w:rFonts w:hint="default" w:ascii="Times New Roman" w:hAnsi="Times New Roman" w:eastAsia="宋体" w:cs="Times New Roman"/>
          <w:sz w:val="28"/>
          <w:szCs w:val="28"/>
        </w:rPr>
      </w:pPr>
      <w:r>
        <w:rPr>
          <w:rFonts w:hint="default" w:ascii="Times New Roman" w:hAnsi="Times New Roman" w:eastAsia="宋体" w:cs="Times New Roman"/>
          <w:spacing w:val="1"/>
          <w:sz w:val="28"/>
          <w:szCs w:val="28"/>
        </w:rPr>
        <w:t>断裂构造主要有2条，分别为F1、F2。</w:t>
      </w:r>
    </w:p>
    <w:p w14:paraId="0AB56256">
      <w:pPr>
        <w:spacing w:before="294" w:line="411" w:lineRule="auto"/>
        <w:ind w:left="1" w:right="91" w:firstLine="557"/>
        <w:rPr>
          <w:rFonts w:hint="default" w:ascii="Times New Roman" w:hAnsi="Times New Roman" w:eastAsia="宋体" w:cs="Times New Roman"/>
          <w:sz w:val="28"/>
          <w:szCs w:val="28"/>
        </w:rPr>
      </w:pPr>
      <w:r>
        <w:rPr>
          <w:rFonts w:hint="default" w:ascii="Times New Roman" w:hAnsi="Times New Roman" w:eastAsia="宋体" w:cs="Times New Roman"/>
          <w:spacing w:val="-4"/>
          <w:sz w:val="28"/>
          <w:szCs w:val="28"/>
        </w:rPr>
        <w:t>F1构造位于矿区中部，走向55°,倾向北西，</w:t>
      </w:r>
      <w:r>
        <w:rPr>
          <w:rFonts w:hint="default" w:ascii="Times New Roman" w:hAnsi="Times New Roman" w:eastAsia="宋体" w:cs="Times New Roman"/>
          <w:spacing w:val="-5"/>
          <w:sz w:val="28"/>
          <w:szCs w:val="28"/>
        </w:rPr>
        <w:t>倾角75°,发育在蚂蚁河岩</w:t>
      </w:r>
      <w:r>
        <w:rPr>
          <w:rFonts w:hint="default" w:ascii="Times New Roman" w:hAnsi="Times New Roman" w:eastAsia="宋体" w:cs="Times New Roman"/>
          <w:spacing w:val="2"/>
          <w:sz w:val="28"/>
          <w:szCs w:val="28"/>
        </w:rPr>
        <w:t>组和荒岔沟岩组之间，地表出露长度约0.4</w:t>
      </w:r>
      <w:r>
        <w:rPr>
          <w:rFonts w:hint="default" w:ascii="Times New Roman" w:hAnsi="Times New Roman" w:eastAsia="宋体" w:cs="Times New Roman"/>
          <w:sz w:val="28"/>
          <w:szCs w:val="28"/>
        </w:rPr>
        <w:t>km</w:t>
      </w:r>
      <w:r>
        <w:rPr>
          <w:rFonts w:hint="default" w:ascii="Times New Roman" w:hAnsi="Times New Roman" w:eastAsia="宋体" w:cs="Times New Roman"/>
          <w:spacing w:val="2"/>
          <w:sz w:val="28"/>
          <w:szCs w:val="28"/>
        </w:rPr>
        <w:t>，宽度约8m，该断层为平移断层。</w:t>
      </w:r>
      <w:r>
        <w:rPr>
          <w:rFonts w:hint="default" w:ascii="Times New Roman" w:hAnsi="Times New Roman" w:eastAsia="宋体" w:cs="Times New Roman"/>
          <w:spacing w:val="-2"/>
          <w:sz w:val="28"/>
          <w:szCs w:val="28"/>
        </w:rPr>
        <w:t>蚂蚁河岩组位于断层南东侧，以变粒岩、浅粒岩为主要岩性组成的地层；荒岔沟岩组位于断层北西侧，以含墨变粒岩、含墨大理岩、黑云变粒岩为主要岩性组成</w:t>
      </w:r>
      <w:r>
        <w:rPr>
          <w:rFonts w:hint="default" w:ascii="Times New Roman" w:hAnsi="Times New Roman" w:eastAsia="宋体" w:cs="Times New Roman"/>
          <w:spacing w:val="-3"/>
          <w:sz w:val="28"/>
          <w:szCs w:val="28"/>
        </w:rPr>
        <w:t>的地层。</w:t>
      </w:r>
    </w:p>
    <w:p w14:paraId="690B9E03">
      <w:pPr>
        <w:spacing w:before="1" w:line="411" w:lineRule="auto"/>
        <w:ind w:left="1" w:right="97" w:firstLine="557"/>
        <w:rPr>
          <w:rFonts w:hint="default" w:ascii="Times New Roman" w:hAnsi="Times New Roman" w:eastAsia="宋体" w:cs="Times New Roman"/>
          <w:sz w:val="28"/>
          <w:szCs w:val="28"/>
        </w:rPr>
      </w:pPr>
      <w:r>
        <w:rPr>
          <w:rFonts w:hint="default" w:ascii="Times New Roman" w:hAnsi="Times New Roman" w:eastAsia="宋体" w:cs="Times New Roman"/>
          <w:spacing w:val="-7"/>
          <w:sz w:val="28"/>
          <w:szCs w:val="28"/>
        </w:rPr>
        <w:t>F2构造位于矿区北东侧，走向52°,倾向南东，倾角83°,发育在蚂蚁河</w:t>
      </w:r>
      <w:r>
        <w:rPr>
          <w:rFonts w:hint="default" w:ascii="Times New Roman" w:hAnsi="Times New Roman" w:eastAsia="宋体" w:cs="Times New Roman"/>
          <w:spacing w:val="-1"/>
          <w:sz w:val="28"/>
          <w:szCs w:val="28"/>
        </w:rPr>
        <w:t>地层中，地表出露长度约0.18km，宽度约5m，该</w:t>
      </w:r>
      <w:r>
        <w:rPr>
          <w:rFonts w:hint="default" w:ascii="Times New Roman" w:hAnsi="Times New Roman" w:eastAsia="宋体" w:cs="Times New Roman"/>
          <w:spacing w:val="-2"/>
          <w:sz w:val="28"/>
          <w:szCs w:val="28"/>
        </w:rPr>
        <w:t>断层为平移断层。</w:t>
      </w:r>
    </w:p>
    <w:p w14:paraId="130AC252">
      <w:pPr>
        <w:spacing w:before="2" w:line="219" w:lineRule="auto"/>
        <w:ind w:left="573"/>
        <w:rPr>
          <w:rFonts w:hint="default" w:ascii="Times New Roman" w:hAnsi="Times New Roman" w:eastAsia="宋体" w:cs="Times New Roman"/>
          <w:sz w:val="28"/>
          <w:szCs w:val="28"/>
        </w:rPr>
      </w:pPr>
      <w:r>
        <w:rPr>
          <w:rFonts w:hint="default" w:ascii="Times New Roman" w:hAnsi="Times New Roman" w:eastAsia="宋体" w:cs="Times New Roman"/>
          <w:spacing w:val="-2"/>
          <w:sz w:val="28"/>
          <w:szCs w:val="28"/>
        </w:rPr>
        <w:t>断裂构造未切割矿体，对矿体无影响。</w:t>
      </w:r>
    </w:p>
    <w:p w14:paraId="20D6E66E">
      <w:pPr>
        <w:spacing w:before="290" w:line="220" w:lineRule="auto"/>
        <w:ind w:left="560"/>
        <w:rPr>
          <w:rFonts w:hint="default" w:ascii="Times New Roman" w:hAnsi="Times New Roman" w:eastAsia="宋体" w:cs="Times New Roman"/>
          <w:sz w:val="28"/>
          <w:szCs w:val="28"/>
        </w:rPr>
      </w:pPr>
      <w:r>
        <w:rPr>
          <w:rFonts w:hint="default" w:ascii="Times New Roman" w:hAnsi="Times New Roman" w:eastAsia="宋体" w:cs="Times New Roman"/>
          <w:spacing w:val="-2"/>
          <w:sz w:val="28"/>
          <w:szCs w:val="28"/>
        </w:rPr>
        <w:t>C、岩浆岩</w:t>
      </w:r>
    </w:p>
    <w:p w14:paraId="37D30660">
      <w:pPr>
        <w:spacing w:before="292" w:line="411" w:lineRule="auto"/>
        <w:ind w:right="97" w:firstLine="583"/>
        <w:rPr>
          <w:rFonts w:hint="default" w:ascii="Times New Roman" w:hAnsi="Times New Roman" w:eastAsia="宋体" w:cs="Times New Roman"/>
          <w:sz w:val="28"/>
          <w:szCs w:val="28"/>
        </w:rPr>
      </w:pPr>
      <w:r>
        <w:rPr>
          <w:rFonts w:hint="default" w:ascii="Times New Roman" w:hAnsi="Times New Roman" w:eastAsia="宋体" w:cs="Times New Roman"/>
          <w:spacing w:val="-3"/>
          <w:sz w:val="28"/>
          <w:szCs w:val="28"/>
        </w:rPr>
        <w:t>区内无大的岩体出露，仅有少量中细粒二长花岗岩、花岗闪长岩呈岩株状侵</w:t>
      </w:r>
      <w:r>
        <w:rPr>
          <w:rFonts w:hint="default" w:ascii="Times New Roman" w:hAnsi="Times New Roman" w:eastAsia="宋体" w:cs="Times New Roman"/>
          <w:spacing w:val="-1"/>
          <w:sz w:val="28"/>
          <w:szCs w:val="28"/>
        </w:rPr>
        <w:t>入集安岩群中，对矿体无影响。</w:t>
      </w:r>
    </w:p>
    <w:p w14:paraId="48DF1B9C">
      <w:pPr>
        <w:spacing w:before="1" w:line="220" w:lineRule="auto"/>
        <w:ind w:left="557"/>
        <w:rPr>
          <w:rFonts w:hint="default" w:ascii="Times New Roman" w:hAnsi="Times New Roman" w:eastAsia="宋体" w:cs="Times New Roman"/>
          <w:sz w:val="28"/>
          <w:szCs w:val="28"/>
        </w:rPr>
      </w:pPr>
      <w:r>
        <w:rPr>
          <w:rFonts w:hint="default" w:ascii="Times New Roman" w:hAnsi="Times New Roman" w:eastAsia="宋体" w:cs="Times New Roman"/>
          <w:spacing w:val="-1"/>
          <w:sz w:val="28"/>
          <w:szCs w:val="28"/>
        </w:rPr>
        <w:t>D、变质作用及围岩蚀变</w:t>
      </w:r>
    </w:p>
    <w:p w14:paraId="47A602EF">
      <w:pPr>
        <w:spacing w:before="56" w:line="359" w:lineRule="auto"/>
        <w:rPr>
          <w:rFonts w:ascii="宋体" w:hAnsi="宋体" w:eastAsia="宋体" w:cs="宋体"/>
          <w:sz w:val="28"/>
          <w:szCs w:val="28"/>
        </w:rPr>
      </w:pPr>
      <w:r>
        <w:rPr>
          <w:rFonts w:ascii="宋体" w:hAnsi="宋体" w:eastAsia="宋体" w:cs="宋体"/>
          <w:spacing w:val="-2"/>
          <w:sz w:val="28"/>
          <w:szCs w:val="28"/>
        </w:rPr>
        <w:t>集安群历经多期变质作用，变质作用以区域变质作用为主，变质程度主要为</w:t>
      </w:r>
      <w:r>
        <w:rPr>
          <w:rFonts w:ascii="宋体" w:hAnsi="宋体" w:eastAsia="宋体" w:cs="宋体"/>
          <w:spacing w:val="-7"/>
          <w:sz w:val="28"/>
          <w:szCs w:val="28"/>
        </w:rPr>
        <w:t>高角闪岩相。在区域变质过程中及变质期后，普遍发生不同程度的混合岩化作用。</w:t>
      </w:r>
      <w:r>
        <w:rPr>
          <w:rFonts w:ascii="宋体" w:hAnsi="宋体" w:eastAsia="宋体" w:cs="宋体"/>
          <w:spacing w:val="-2"/>
          <w:sz w:val="28"/>
          <w:szCs w:val="28"/>
        </w:rPr>
        <w:t>岩石主要表现原来的中基性火山岩变质而成斜长角闪岩类岩石；中酸性火山岩中变质而成各种片麻岩、变粒岩和各种浅粒岩类，以及由火山碎屑岩变质而成的变粒岩、片麻岩和粘土质砂质沉积变质的各种石英岩、片岩类、片麻岩等岩石，及</w:t>
      </w:r>
      <w:r>
        <w:rPr>
          <w:rFonts w:ascii="宋体" w:hAnsi="宋体" w:eastAsia="宋体" w:cs="宋体"/>
          <w:spacing w:val="-1"/>
          <w:sz w:val="28"/>
          <w:szCs w:val="28"/>
        </w:rPr>
        <w:t>碳酸盐类变质而成的大理岩类。</w:t>
      </w:r>
    </w:p>
    <w:p w14:paraId="238E8531">
      <w:pPr>
        <w:spacing w:before="1" w:line="358" w:lineRule="auto"/>
        <w:ind w:left="5" w:firstLine="554"/>
        <w:rPr>
          <w:rFonts w:ascii="宋体" w:hAnsi="宋体" w:eastAsia="宋体" w:cs="宋体"/>
          <w:sz w:val="28"/>
          <w:szCs w:val="28"/>
        </w:rPr>
      </w:pPr>
      <w:r>
        <w:rPr>
          <w:rFonts w:ascii="宋体" w:hAnsi="宋体" w:eastAsia="宋体" w:cs="宋体"/>
          <w:spacing w:val="-2"/>
          <w:sz w:val="28"/>
          <w:szCs w:val="28"/>
        </w:rPr>
        <w:t>矿体围岩主要为蛇纹石化大理岩、白云大理岩、变粒岩、浅粒岩，围岩产状</w:t>
      </w:r>
      <w:r>
        <w:rPr>
          <w:rFonts w:ascii="宋体" w:hAnsi="宋体" w:eastAsia="宋体" w:cs="宋体"/>
          <w:spacing w:val="-1"/>
          <w:sz w:val="28"/>
          <w:szCs w:val="28"/>
        </w:rPr>
        <w:t>与矿体一致，界线易辨认，对矿石质量无大影响。</w:t>
      </w:r>
    </w:p>
    <w:p w14:paraId="0EF75271">
      <w:pPr>
        <w:spacing w:before="3" w:line="359" w:lineRule="auto"/>
        <w:ind w:firstLine="561"/>
        <w:rPr>
          <w:rFonts w:ascii="宋体" w:hAnsi="宋体" w:eastAsia="宋体" w:cs="宋体"/>
          <w:sz w:val="28"/>
          <w:szCs w:val="28"/>
        </w:rPr>
      </w:pPr>
      <w:r>
        <w:rPr>
          <w:rFonts w:ascii="宋体" w:hAnsi="宋体" w:eastAsia="宋体" w:cs="宋体"/>
          <w:spacing w:val="-2"/>
          <w:sz w:val="28"/>
          <w:szCs w:val="28"/>
        </w:rPr>
        <w:t>蛇纹岩为原沉积的镁质碳酸盐岩受混合岩作用的同期热液交代的产物，蛇纹</w:t>
      </w:r>
      <w:r>
        <w:rPr>
          <w:rFonts w:ascii="宋体" w:hAnsi="宋体" w:eastAsia="宋体" w:cs="宋体"/>
          <w:spacing w:val="-1"/>
          <w:sz w:val="28"/>
          <w:szCs w:val="28"/>
        </w:rPr>
        <w:t>岩再受热液交代作用则形成滑石。</w:t>
      </w:r>
    </w:p>
    <w:p w14:paraId="74697283">
      <w:pPr>
        <w:pStyle w:val="5"/>
        <w:ind w:firstLine="562"/>
        <w:rPr>
          <w:b w:val="0"/>
          <w:bCs/>
        </w:rPr>
      </w:pPr>
      <w:r>
        <w:rPr>
          <w:rFonts w:hint="eastAsia"/>
          <w:b w:val="0"/>
          <w:bCs/>
        </w:rPr>
        <w:t>根据《中国地震动参数区划图》（GB18306-2015），本区地震动峰值加速度为0.05g，相应地震基本烈度为VI度，地震反应谱特征周期为0.</w:t>
      </w:r>
      <w:r>
        <w:rPr>
          <w:rFonts w:hint="eastAsia"/>
          <w:b w:val="0"/>
          <w:bCs/>
          <w:lang w:val="en-US" w:eastAsia="zh-CN"/>
        </w:rPr>
        <w:t>3</w:t>
      </w:r>
      <w:r>
        <w:rPr>
          <w:rFonts w:hint="eastAsia"/>
          <w:b w:val="0"/>
          <w:bCs/>
        </w:rPr>
        <w:t>5s。该区历史上无破坏性地震记载，无新构造活动迹象，属地震稳定地区</w:t>
      </w:r>
      <w:r>
        <w:rPr>
          <w:b w:val="0"/>
          <w:bCs/>
        </w:rPr>
        <w:t>。</w:t>
      </w:r>
    </w:p>
    <w:p w14:paraId="46E25E07">
      <w:pPr>
        <w:pStyle w:val="5"/>
        <w:ind w:firstLine="562"/>
      </w:pPr>
      <w:r>
        <w:rPr>
          <w:rFonts w:hint="eastAsia"/>
        </w:rPr>
        <w:t>（三）岩浆岩</w:t>
      </w:r>
    </w:p>
    <w:p w14:paraId="417C9BD8">
      <w:pPr>
        <w:pStyle w:val="5"/>
        <w:ind w:firstLine="562"/>
        <w:rPr>
          <w:rFonts w:hint="eastAsia"/>
          <w:b w:val="0"/>
          <w:bCs/>
        </w:rPr>
      </w:pPr>
      <w:bookmarkStart w:id="69" w:name="_Toc211790744"/>
      <w:r>
        <w:rPr>
          <w:rFonts w:hint="eastAsia"/>
          <w:b w:val="0"/>
          <w:bCs/>
        </w:rPr>
        <w:t>岩浆岩在矿区内没有出露。</w:t>
      </w:r>
    </w:p>
    <w:p w14:paraId="608A0A72">
      <w:pPr>
        <w:pStyle w:val="5"/>
        <w:ind w:firstLine="562"/>
      </w:pPr>
      <w:r>
        <w:t>（四）水文地质条件</w:t>
      </w:r>
      <w:bookmarkEnd w:id="69"/>
    </w:p>
    <w:p w14:paraId="2ABF9706">
      <w:pPr>
        <w:ind w:firstLine="560"/>
        <w:rPr>
          <w:szCs w:val="28"/>
        </w:rPr>
      </w:pPr>
      <w:r>
        <w:rPr>
          <w:szCs w:val="28"/>
        </w:rPr>
        <w:t>1.地下水类型</w:t>
      </w:r>
    </w:p>
    <w:p w14:paraId="4D71ADFD">
      <w:pPr>
        <w:ind w:firstLine="560"/>
        <w:rPr>
          <w:rFonts w:hint="eastAsia"/>
        </w:rPr>
      </w:pPr>
      <w:r>
        <w:rPr>
          <w:rFonts w:hint="eastAsia"/>
        </w:rPr>
        <w:t>该矿区地下水类型主要有</w:t>
      </w:r>
      <w:r>
        <w:rPr>
          <w:rFonts w:hint="eastAsia"/>
          <w:lang w:eastAsia="zh-CN"/>
        </w:rPr>
        <w:t>第四系松散岩类孔隙水含水层</w:t>
      </w:r>
      <w:r>
        <w:rPr>
          <w:rFonts w:hint="eastAsia"/>
        </w:rPr>
        <w:t>、</w:t>
      </w:r>
      <w:r>
        <w:rPr>
          <w:rFonts w:hint="eastAsia"/>
          <w:lang w:eastAsia="zh-CN"/>
        </w:rPr>
        <w:t>基岩裂隙水含水层</w:t>
      </w:r>
      <w:r>
        <w:rPr>
          <w:rFonts w:hint="eastAsia"/>
        </w:rPr>
        <w:t>：</w:t>
      </w:r>
    </w:p>
    <w:p w14:paraId="1D2C9615">
      <w:pPr>
        <w:ind w:firstLine="560"/>
      </w:pPr>
      <w:r>
        <w:rPr>
          <w:rFonts w:hint="eastAsia"/>
        </w:rPr>
        <w:t>（1）</w:t>
      </w:r>
      <w:r>
        <w:rPr>
          <w:rFonts w:hint="eastAsia"/>
          <w:lang w:eastAsia="zh-CN"/>
        </w:rPr>
        <w:t>第四系松散岩类孔隙水含水层</w:t>
      </w:r>
      <w:r>
        <w:rPr>
          <w:rFonts w:hint="eastAsia"/>
        </w:rPr>
        <w:t>（Q）</w:t>
      </w:r>
    </w:p>
    <w:p w14:paraId="36AA67AD">
      <w:pPr>
        <w:ind w:firstLine="560"/>
        <w:rPr>
          <w:rFonts w:hint="eastAsia"/>
        </w:rPr>
      </w:pPr>
      <w:r>
        <w:rPr>
          <w:rFonts w:hint="eastAsia"/>
        </w:rPr>
        <w:t>分布于南北两侧的河谷中，地下水赋存于第四系冲洪积砂砾石中，含水层厚度1m～15m，属季节性赋水，以大气降水补给为主，侧向径流为辅，排泄于河流中。该含水层分布面积较小，距离矿区较远，对开采无影响。</w:t>
      </w:r>
    </w:p>
    <w:p w14:paraId="0A5A8F5C">
      <w:pPr>
        <w:ind w:firstLine="560"/>
      </w:pPr>
      <w:r>
        <w:rPr>
          <w:rFonts w:hint="eastAsia"/>
        </w:rPr>
        <w:t>（2）基岩裂隙水含水层</w:t>
      </w:r>
    </w:p>
    <w:p w14:paraId="28047D6B">
      <w:pPr>
        <w:ind w:firstLine="560"/>
        <w:rPr>
          <w:rFonts w:hint="default" w:ascii="Times New Roman" w:hAnsi="Times New Roman" w:cs="Times New Roman"/>
        </w:rPr>
      </w:pPr>
      <w:r>
        <w:rPr>
          <w:rFonts w:hint="default" w:ascii="Times New Roman" w:hAnsi="Times New Roman" w:eastAsia="宋体" w:cs="Times New Roman"/>
          <w:spacing w:val="-3"/>
          <w:sz w:val="28"/>
          <w:szCs w:val="28"/>
        </w:rPr>
        <w:t>分布于全区，地下水赋存于古元古界集安群荒岔沟岩组三段(pt</w:t>
      </w:r>
      <w:r>
        <w:rPr>
          <w:rFonts w:hint="default" w:ascii="Times New Roman" w:hAnsi="Times New Roman" w:eastAsia="宋体" w:cs="Times New Roman"/>
          <w:spacing w:val="-3"/>
          <w:position w:val="-3"/>
          <w:sz w:val="13"/>
          <w:szCs w:val="13"/>
        </w:rPr>
        <w:t>1</w:t>
      </w:r>
      <w:r>
        <w:rPr>
          <w:rFonts w:hint="default" w:ascii="Times New Roman" w:hAnsi="Times New Roman" w:eastAsia="宋体" w:cs="Times New Roman"/>
          <w:i/>
          <w:iCs/>
          <w:spacing w:val="-3"/>
          <w:sz w:val="29"/>
          <w:szCs w:val="29"/>
        </w:rPr>
        <w:t>h</w:t>
      </w:r>
      <w:r>
        <w:rPr>
          <w:rFonts w:hint="default" w:ascii="Times New Roman" w:hAnsi="Times New Roman" w:eastAsia="宋体" w:cs="Times New Roman"/>
          <w:spacing w:val="-3"/>
          <w:position w:val="14"/>
          <w:sz w:val="13"/>
          <w:szCs w:val="13"/>
        </w:rPr>
        <w:t>3</w:t>
      </w:r>
      <w:r>
        <w:rPr>
          <w:rFonts w:hint="default" w:ascii="Times New Roman" w:hAnsi="Times New Roman" w:eastAsia="宋体" w:cs="Times New Roman"/>
          <w:spacing w:val="-3"/>
          <w:sz w:val="28"/>
          <w:szCs w:val="28"/>
        </w:rPr>
        <w:t>)透辉变粒</w:t>
      </w:r>
      <w:r>
        <w:rPr>
          <w:rFonts w:hint="default" w:ascii="Times New Roman" w:hAnsi="Times New Roman" w:eastAsia="宋体" w:cs="Times New Roman"/>
          <w:spacing w:val="-2"/>
          <w:sz w:val="28"/>
          <w:szCs w:val="28"/>
        </w:rPr>
        <w:t>岩、黑云变粒岩、斜长角闪岩、含石墨透辉变粒岩、透辉变粒岩、浅粒岩，以及</w:t>
      </w:r>
      <w:r>
        <w:rPr>
          <w:rFonts w:hint="default" w:ascii="Times New Roman" w:hAnsi="Times New Roman" w:eastAsia="宋体" w:cs="Times New Roman"/>
          <w:spacing w:val="-4"/>
          <w:sz w:val="28"/>
          <w:szCs w:val="28"/>
        </w:rPr>
        <w:t>蚂蚁河岩组(Pt</w:t>
      </w:r>
      <w:r>
        <w:rPr>
          <w:rFonts w:hint="default" w:ascii="Times New Roman" w:hAnsi="Times New Roman" w:eastAsia="宋体" w:cs="Times New Roman"/>
          <w:spacing w:val="-4"/>
          <w:position w:val="-4"/>
          <w:sz w:val="13"/>
          <w:szCs w:val="13"/>
        </w:rPr>
        <w:t>1</w:t>
      </w:r>
      <w:r>
        <w:rPr>
          <w:rFonts w:hint="default" w:ascii="Times New Roman" w:hAnsi="Times New Roman" w:eastAsia="宋体" w:cs="Times New Roman"/>
          <w:i/>
          <w:iCs/>
          <w:spacing w:val="-4"/>
          <w:sz w:val="29"/>
          <w:szCs w:val="29"/>
        </w:rPr>
        <w:t>m.</w:t>
      </w:r>
      <w:r>
        <w:rPr>
          <w:rFonts w:hint="default" w:ascii="Times New Roman" w:hAnsi="Times New Roman" w:eastAsia="宋体" w:cs="Times New Roman"/>
          <w:spacing w:val="-4"/>
          <w:sz w:val="28"/>
          <w:szCs w:val="28"/>
        </w:rPr>
        <w:t>)蛇纹石化大理岩、黑云变粒岩的风化裂隙中</w:t>
      </w:r>
      <w:r>
        <w:rPr>
          <w:rFonts w:hint="default" w:ascii="Times New Roman" w:hAnsi="Times New Roman" w:eastAsia="宋体" w:cs="Times New Roman"/>
          <w:spacing w:val="-5"/>
          <w:sz w:val="28"/>
          <w:szCs w:val="28"/>
        </w:rPr>
        <w:t>，风化带裂隙发育</w:t>
      </w:r>
      <w:r>
        <w:rPr>
          <w:rFonts w:hint="default" w:ascii="Times New Roman" w:hAnsi="Times New Roman" w:eastAsia="宋体" w:cs="Times New Roman"/>
          <w:spacing w:val="6"/>
          <w:sz w:val="28"/>
          <w:szCs w:val="28"/>
        </w:rPr>
        <w:t>程度受地形、岩性构造控制。依据钻孔水文工程地质编录统计，矿体赋存标高</w:t>
      </w:r>
      <w:r>
        <w:rPr>
          <w:rFonts w:hint="default" w:ascii="Times New Roman" w:hAnsi="Times New Roman" w:eastAsia="宋体" w:cs="Times New Roman"/>
          <w:spacing w:val="-1"/>
          <w:sz w:val="28"/>
          <w:szCs w:val="28"/>
        </w:rPr>
        <w:t>352.98m～502.25m，风化带厚度9</w:t>
      </w:r>
      <w:r>
        <w:rPr>
          <w:rFonts w:hint="default" w:ascii="Times New Roman" w:hAnsi="Times New Roman" w:eastAsia="宋体" w:cs="Times New Roman"/>
          <w:spacing w:val="-2"/>
          <w:sz w:val="28"/>
          <w:szCs w:val="28"/>
        </w:rPr>
        <w:t>.11m～58.20m，平均厚度29.07m，平均裂隙率0.06，裂隙较发育，裂隙内充填粘土和碎屑物，透水性差，含水微弱。根据钻孔</w:t>
      </w:r>
      <w:r>
        <w:rPr>
          <w:rFonts w:hint="default" w:ascii="Times New Roman" w:hAnsi="Times New Roman" w:eastAsia="宋体" w:cs="Times New Roman"/>
          <w:spacing w:val="-3"/>
          <w:sz w:val="28"/>
          <w:szCs w:val="28"/>
        </w:rPr>
        <w:t>静止水位统计，地下水位埋深0.5m～6.1m，水位标高+548.41m～+595.74m，</w:t>
      </w:r>
      <w:r>
        <w:rPr>
          <w:rFonts w:hint="default" w:ascii="Times New Roman" w:hAnsi="Times New Roman" w:eastAsia="宋体" w:cs="Times New Roman"/>
          <w:spacing w:val="-4"/>
          <w:sz w:val="28"/>
          <w:szCs w:val="28"/>
        </w:rPr>
        <w:t>平均</w:t>
      </w:r>
      <w:r>
        <w:rPr>
          <w:rFonts w:hint="default" w:ascii="Times New Roman" w:hAnsi="Times New Roman" w:eastAsia="宋体" w:cs="Times New Roman"/>
          <w:sz w:val="28"/>
          <w:szCs w:val="28"/>
        </w:rPr>
        <w:t>水位标高572.92m。单位涌水量0.09L/s·m，渗透系数0.044m/d。上世纪60</w:t>
      </w:r>
      <w:r>
        <w:rPr>
          <w:rFonts w:hint="default" w:ascii="Times New Roman" w:hAnsi="Times New Roman" w:eastAsia="宋体" w:cs="Times New Roman"/>
          <w:spacing w:val="1"/>
          <w:sz w:val="28"/>
          <w:szCs w:val="28"/>
        </w:rPr>
        <w:t>年代初曾对老窿盲井(标高520m)作抽水试验，最大涌水量0.245L/s，渗透系数</w:t>
      </w:r>
      <w:r>
        <w:rPr>
          <w:rFonts w:hint="default" w:ascii="Times New Roman" w:hAnsi="Times New Roman" w:eastAsia="宋体" w:cs="Times New Roman"/>
          <w:spacing w:val="-8"/>
          <w:sz w:val="28"/>
          <w:szCs w:val="28"/>
        </w:rPr>
        <w:t>0.003m/d，总体评价该含水层富水性弱。水化学类型为HCO</w:t>
      </w:r>
      <w:r>
        <w:rPr>
          <w:rFonts w:hint="default" w:ascii="Times New Roman" w:hAnsi="Times New Roman" w:eastAsia="宋体" w:cs="Times New Roman"/>
          <w:spacing w:val="-8"/>
          <w:position w:val="-3"/>
          <w:sz w:val="13"/>
          <w:szCs w:val="13"/>
        </w:rPr>
        <w:t>3</w:t>
      </w:r>
      <w:r>
        <w:rPr>
          <w:rFonts w:hint="default" w:ascii="Times New Roman" w:hAnsi="Times New Roman" w:eastAsia="宋体" w:cs="Times New Roman"/>
          <w:spacing w:val="-8"/>
          <w:sz w:val="28"/>
          <w:szCs w:val="28"/>
        </w:rPr>
        <w:t>-Ca</w:t>
      </w:r>
      <w:r>
        <w:rPr>
          <w:rFonts w:hint="default" w:ascii="Times New Roman" w:hAnsi="Times New Roman" w:eastAsia="宋体" w:cs="Times New Roman"/>
          <w:spacing w:val="-37"/>
          <w:sz w:val="28"/>
          <w:szCs w:val="28"/>
        </w:rPr>
        <w:t>·Mg型，pH值8.01，</w:t>
      </w:r>
      <w:r>
        <w:rPr>
          <w:rFonts w:hint="default" w:ascii="Times New Roman" w:hAnsi="Times New Roman" w:eastAsia="宋体" w:cs="Times New Roman"/>
          <w:spacing w:val="2"/>
          <w:sz w:val="28"/>
          <w:szCs w:val="28"/>
        </w:rPr>
        <w:t>矿化度47.51</w:t>
      </w:r>
      <w:r>
        <w:rPr>
          <w:rFonts w:hint="default" w:ascii="Times New Roman" w:hAnsi="Times New Roman" w:eastAsia="宋体" w:cs="Times New Roman"/>
          <w:sz w:val="28"/>
          <w:szCs w:val="28"/>
        </w:rPr>
        <w:t>mg</w:t>
      </w:r>
      <w:r>
        <w:rPr>
          <w:rFonts w:hint="default" w:ascii="Times New Roman" w:hAnsi="Times New Roman" w:eastAsia="宋体" w:cs="Times New Roman"/>
          <w:spacing w:val="2"/>
          <w:sz w:val="28"/>
          <w:szCs w:val="28"/>
        </w:rPr>
        <w:t>/L，水质较好。该含水层以大气降水补给为主，以泉的形式或地</w:t>
      </w:r>
      <w:r>
        <w:rPr>
          <w:rFonts w:hint="default" w:ascii="Times New Roman" w:hAnsi="Times New Roman" w:eastAsia="宋体" w:cs="Times New Roman"/>
          <w:spacing w:val="-1"/>
          <w:sz w:val="28"/>
          <w:szCs w:val="28"/>
        </w:rPr>
        <w:t>下径流方式排泄于地势低洼处。</w:t>
      </w:r>
    </w:p>
    <w:p w14:paraId="4F4C2A97">
      <w:pPr>
        <w:ind w:firstLine="560"/>
        <w:rPr>
          <w:rFonts w:hint="default" w:ascii="Times New Roman" w:hAnsi="Times New Roman" w:cs="Times New Roman"/>
        </w:rPr>
      </w:pPr>
      <w:r>
        <w:rPr>
          <w:rFonts w:hint="default" w:ascii="Times New Roman" w:hAnsi="Times New Roman" w:cs="Times New Roman"/>
        </w:rPr>
        <w:t>2.隔水层</w:t>
      </w:r>
    </w:p>
    <w:p w14:paraId="03DFA7AF">
      <w:pPr>
        <w:spacing w:before="208" w:line="360" w:lineRule="auto"/>
        <w:ind w:left="5" w:right="15" w:firstLine="557"/>
        <w:rPr>
          <w:rFonts w:hint="default" w:ascii="Times New Roman" w:hAnsi="Times New Roman" w:eastAsia="宋体" w:cs="Times New Roman"/>
          <w:sz w:val="28"/>
          <w:szCs w:val="28"/>
        </w:rPr>
      </w:pPr>
      <w:bookmarkStart w:id="70" w:name="_Toc27112"/>
      <w:r>
        <w:rPr>
          <w:rFonts w:hint="default" w:ascii="Times New Roman" w:hAnsi="Times New Roman" w:eastAsia="宋体" w:cs="Times New Roman"/>
          <w:spacing w:val="-2"/>
          <w:sz w:val="28"/>
          <w:szCs w:val="28"/>
        </w:rPr>
        <w:t>矿区内风化带下部为微风化—未风化基岩，新鲜完整，构</w:t>
      </w:r>
      <w:r>
        <w:rPr>
          <w:rFonts w:hint="default" w:ascii="Times New Roman" w:hAnsi="Times New Roman" w:eastAsia="宋体" w:cs="Times New Roman"/>
          <w:spacing w:val="-3"/>
          <w:sz w:val="28"/>
          <w:szCs w:val="28"/>
        </w:rPr>
        <w:t>造裂隙均不发育，</w:t>
      </w:r>
      <w:r>
        <w:rPr>
          <w:rFonts w:hint="default" w:ascii="Times New Roman" w:hAnsi="Times New Roman" w:eastAsia="宋体" w:cs="Times New Roman"/>
          <w:spacing w:val="-1"/>
          <w:sz w:val="28"/>
          <w:szCs w:val="28"/>
        </w:rPr>
        <w:t>为隔水岩体，定为相对隔水层。</w:t>
      </w:r>
    </w:p>
    <w:p w14:paraId="16D2CC53">
      <w:pPr>
        <w:ind w:firstLine="560"/>
        <w:rPr>
          <w:rFonts w:hint="default" w:ascii="Times New Roman" w:hAnsi="Times New Roman" w:cs="Times New Roman"/>
        </w:rPr>
      </w:pPr>
      <w:r>
        <w:rPr>
          <w:rFonts w:hint="default" w:ascii="Times New Roman" w:hAnsi="Times New Roman" w:cs="Times New Roman"/>
        </w:rPr>
        <w:t>3.地下水的补给，迳流和排泄条件</w:t>
      </w:r>
      <w:bookmarkEnd w:id="70"/>
    </w:p>
    <w:p w14:paraId="25F4751B">
      <w:pPr>
        <w:spacing w:before="212" w:line="359" w:lineRule="auto"/>
        <w:ind w:left="2" w:firstLine="561"/>
        <w:rPr>
          <w:rFonts w:hint="default" w:ascii="Times New Roman" w:hAnsi="Times New Roman" w:eastAsia="宋体" w:cs="Times New Roman"/>
          <w:sz w:val="28"/>
          <w:szCs w:val="28"/>
        </w:rPr>
      </w:pPr>
      <w:r>
        <w:rPr>
          <w:rFonts w:hint="default" w:ascii="Times New Roman" w:hAnsi="Times New Roman" w:eastAsia="宋体" w:cs="Times New Roman"/>
          <w:spacing w:val="-2"/>
          <w:sz w:val="28"/>
          <w:szCs w:val="28"/>
        </w:rPr>
        <w:t>地下水位基本受地形和风化带控制，总体趋势南高北低，地下水流向由南流向北。区内地下水主要接受大气降水补给，侧向径流排泄。第四系松散岩类孔隙水补给区与径流区基本一致，受降雨补给后。一部分以地表径流方式向河流、溪</w:t>
      </w:r>
      <w:r>
        <w:rPr>
          <w:rFonts w:hint="default" w:ascii="Times New Roman" w:hAnsi="Times New Roman" w:eastAsia="宋体" w:cs="Times New Roman"/>
          <w:spacing w:val="-1"/>
          <w:sz w:val="28"/>
          <w:szCs w:val="28"/>
        </w:rPr>
        <w:t>沟排泄；另一部分沿孔隙、裂隙下渗补给浅部风化裂隙含水层。</w:t>
      </w:r>
    </w:p>
    <w:p w14:paraId="68EAE145">
      <w:pPr>
        <w:ind w:firstLine="560"/>
        <w:rPr>
          <w:rFonts w:hint="default" w:ascii="Times New Roman" w:hAnsi="Times New Roman" w:cs="Times New Roman"/>
          <w:szCs w:val="28"/>
        </w:rPr>
      </w:pPr>
      <w:r>
        <w:rPr>
          <w:rFonts w:hint="default" w:ascii="Times New Roman" w:hAnsi="Times New Roman" w:cs="Times New Roman"/>
          <w:szCs w:val="28"/>
        </w:rPr>
        <w:t>由于第四系含水层，基岩风化裂隙含水层和奥陶系灰岩岩溶含水层与含</w:t>
      </w:r>
      <w:r>
        <w:rPr>
          <w:rFonts w:hint="default" w:ascii="Times New Roman" w:hAnsi="Times New Roman" w:cs="Times New Roman"/>
          <w:szCs w:val="28"/>
          <w:lang w:eastAsia="zh-CN"/>
        </w:rPr>
        <w:t>滑石</w:t>
      </w:r>
      <w:r>
        <w:rPr>
          <w:rFonts w:hint="default" w:ascii="Times New Roman" w:hAnsi="Times New Roman" w:cs="Times New Roman"/>
          <w:szCs w:val="28"/>
        </w:rPr>
        <w:t>地层间均有隔水层分布，在开采初期，正常开采条件下上述三个含水层不能直接向</w:t>
      </w:r>
      <w:r>
        <w:rPr>
          <w:rFonts w:hint="default" w:ascii="Times New Roman" w:hAnsi="Times New Roman" w:cs="Times New Roman"/>
          <w:szCs w:val="28"/>
          <w:lang w:eastAsia="zh-CN"/>
        </w:rPr>
        <w:t>矿山</w:t>
      </w:r>
      <w:r>
        <w:rPr>
          <w:rFonts w:hint="default" w:ascii="Times New Roman" w:hAnsi="Times New Roman" w:cs="Times New Roman"/>
          <w:szCs w:val="28"/>
        </w:rPr>
        <w:t>充水，地下水的补给，迳流和排泄条件不会发生改变。</w:t>
      </w:r>
      <w:bookmarkStart w:id="71" w:name="_Toc29278"/>
    </w:p>
    <w:p w14:paraId="0A2E5159">
      <w:pPr>
        <w:ind w:firstLine="560"/>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lang w:eastAsia="zh-CN"/>
        </w:rPr>
        <w:t>矿山</w:t>
      </w:r>
      <w:r>
        <w:rPr>
          <w:rFonts w:hint="default" w:ascii="Times New Roman" w:hAnsi="Times New Roman" w:cs="Times New Roman"/>
        </w:rPr>
        <w:t>充水因素分析</w:t>
      </w:r>
      <w:bookmarkEnd w:id="71"/>
    </w:p>
    <w:p w14:paraId="39EDBD6B">
      <w:pPr>
        <w:spacing w:before="210" w:line="359" w:lineRule="auto"/>
        <w:ind w:firstLine="568"/>
        <w:rPr>
          <w:rFonts w:hint="default" w:ascii="Times New Roman" w:hAnsi="Times New Roman" w:eastAsia="宋体" w:cs="Times New Roman"/>
          <w:sz w:val="28"/>
          <w:szCs w:val="28"/>
        </w:rPr>
      </w:pPr>
      <w:bookmarkStart w:id="72" w:name="_Toc26638"/>
      <w:r>
        <w:rPr>
          <w:rFonts w:hint="default" w:ascii="Times New Roman" w:hAnsi="Times New Roman" w:eastAsia="宋体" w:cs="Times New Roman"/>
          <w:spacing w:val="-2"/>
          <w:sz w:val="28"/>
          <w:szCs w:val="28"/>
        </w:rPr>
        <w:t>浅部风化裂隙含水层富水性弱，风化裂隙较发育，具有一定的储水性和导水性。大气降水为矿区地下水的主要补给来源，通过对浅部风化裂隙带补给而对矿床进行充水，故为矿床的主要充水水源，水量大小随季节性变化明显，丰水期水量大，枯水期水量小。区内并无大型河流，未来矿山开采过程中地表水不会对采矿产生影响。</w:t>
      </w:r>
    </w:p>
    <w:p w14:paraId="1E32A6EE">
      <w:pPr>
        <w:ind w:firstLine="560"/>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cs="Times New Roman"/>
          <w:lang w:eastAsia="zh-CN"/>
        </w:rPr>
        <w:t>矿山</w:t>
      </w:r>
      <w:r>
        <w:rPr>
          <w:rFonts w:hint="default" w:ascii="Times New Roman" w:hAnsi="Times New Roman" w:cs="Times New Roman"/>
        </w:rPr>
        <w:t>涌水量</w:t>
      </w:r>
      <w:bookmarkEnd w:id="72"/>
    </w:p>
    <w:p w14:paraId="718DA26C">
      <w:pPr>
        <w:spacing w:before="213" w:line="219" w:lineRule="auto"/>
        <w:jc w:val="right"/>
        <w:rPr>
          <w:rFonts w:hint="default" w:ascii="Times New Roman" w:hAnsi="Times New Roman" w:eastAsia="宋体" w:cs="Times New Roman"/>
          <w:sz w:val="28"/>
          <w:szCs w:val="28"/>
        </w:rPr>
      </w:pPr>
      <w:bookmarkStart w:id="73" w:name="_Toc629"/>
      <w:r>
        <w:rPr>
          <w:rFonts w:hint="default" w:ascii="Times New Roman" w:hAnsi="Times New Roman" w:eastAsia="宋体" w:cs="Times New Roman"/>
          <w:spacing w:val="-9"/>
          <w:sz w:val="28"/>
          <w:szCs w:val="28"/>
        </w:rPr>
        <w:t>本次矿区涌水量预测采用“大井法”，依据抽水试验及相关数据，公式如下：</w:t>
      </w:r>
    </w:p>
    <w:p w14:paraId="3A41A984">
      <w:pPr>
        <w:spacing w:before="210" w:line="226" w:lineRule="auto"/>
        <w:ind w:left="2775"/>
        <w:rPr>
          <w:rFonts w:hint="default" w:ascii="Times New Roman" w:hAnsi="Times New Roman" w:eastAsia="宋体" w:cs="Times New Roman"/>
          <w:sz w:val="28"/>
          <w:szCs w:val="28"/>
        </w:rPr>
      </w:pPr>
      <w:r>
        <w:rPr>
          <w:rFonts w:hint="default" w:ascii="Times New Roman" w:hAnsi="Times New Roman" w:eastAsia="宋体" w:cs="Times New Roman"/>
          <w:spacing w:val="-1"/>
          <w:sz w:val="28"/>
          <w:szCs w:val="28"/>
        </w:rPr>
        <w:t>Q=﹝1.366K(2H-S)S﹞/(lgR</w:t>
      </w:r>
      <w:r>
        <w:rPr>
          <w:rFonts w:hint="default" w:ascii="Times New Roman" w:hAnsi="Times New Roman" w:eastAsia="宋体" w:cs="Times New Roman"/>
          <w:spacing w:val="-1"/>
          <w:position w:val="-3"/>
          <w:sz w:val="13"/>
          <w:szCs w:val="13"/>
        </w:rPr>
        <w:t>0</w:t>
      </w:r>
      <w:r>
        <w:rPr>
          <w:rFonts w:hint="default" w:ascii="Times New Roman" w:hAnsi="Times New Roman" w:eastAsia="宋体" w:cs="Times New Roman"/>
          <w:spacing w:val="-1"/>
          <w:sz w:val="28"/>
          <w:szCs w:val="28"/>
        </w:rPr>
        <w:t>-lgr</w:t>
      </w:r>
      <w:r>
        <w:rPr>
          <w:rFonts w:hint="default" w:ascii="Times New Roman" w:hAnsi="Times New Roman" w:eastAsia="宋体" w:cs="Times New Roman"/>
          <w:spacing w:val="-1"/>
          <w:position w:val="-3"/>
          <w:sz w:val="13"/>
          <w:szCs w:val="13"/>
        </w:rPr>
        <w:t>0</w:t>
      </w:r>
      <w:r>
        <w:rPr>
          <w:rFonts w:hint="default" w:ascii="Times New Roman" w:hAnsi="Times New Roman" w:eastAsia="宋体" w:cs="Times New Roman"/>
          <w:spacing w:val="-1"/>
          <w:sz w:val="28"/>
          <w:szCs w:val="28"/>
        </w:rPr>
        <w:t>)</w:t>
      </w:r>
    </w:p>
    <w:p w14:paraId="3898B7B0">
      <w:pPr>
        <w:spacing w:before="201" w:line="221" w:lineRule="auto"/>
        <w:ind w:left="568"/>
        <w:rPr>
          <w:rFonts w:hint="default" w:ascii="Times New Roman" w:hAnsi="Times New Roman" w:eastAsia="宋体" w:cs="Times New Roman"/>
          <w:sz w:val="28"/>
          <w:szCs w:val="28"/>
        </w:rPr>
      </w:pPr>
      <w:r>
        <w:rPr>
          <w:rFonts w:hint="default" w:ascii="Times New Roman" w:hAnsi="Times New Roman" w:eastAsia="宋体" w:cs="Times New Roman"/>
          <w:spacing w:val="-5"/>
          <w:sz w:val="28"/>
          <w:szCs w:val="28"/>
        </w:rPr>
        <w:t>式中：</w:t>
      </w:r>
    </w:p>
    <w:p w14:paraId="3C25AEA2">
      <w:pPr>
        <w:spacing w:before="210" w:line="220" w:lineRule="auto"/>
        <w:ind w:left="558"/>
        <w:rPr>
          <w:rFonts w:hint="default" w:ascii="Times New Roman" w:hAnsi="Times New Roman" w:eastAsia="宋体" w:cs="Times New Roman"/>
          <w:sz w:val="28"/>
          <w:szCs w:val="28"/>
        </w:rPr>
      </w:pPr>
      <w:r>
        <w:rPr>
          <w:rFonts w:hint="default" w:ascii="Times New Roman" w:hAnsi="Times New Roman" w:eastAsia="宋体" w:cs="Times New Roman"/>
          <w:spacing w:val="-1"/>
          <w:sz w:val="28"/>
          <w:szCs w:val="28"/>
        </w:rPr>
        <w:t>K—根据抽水试验成果，取0.04356m/d；</w:t>
      </w:r>
    </w:p>
    <w:p w14:paraId="2C520E14">
      <w:pPr>
        <w:spacing w:before="211" w:line="220" w:lineRule="auto"/>
        <w:ind w:left="556"/>
        <w:rPr>
          <w:rFonts w:hint="default" w:ascii="Times New Roman" w:hAnsi="Times New Roman" w:eastAsia="宋体" w:cs="Times New Roman"/>
          <w:sz w:val="28"/>
          <w:szCs w:val="28"/>
        </w:rPr>
      </w:pPr>
      <w:r>
        <w:rPr>
          <w:rFonts w:hint="default" w:ascii="Times New Roman" w:hAnsi="Times New Roman" w:eastAsia="宋体" w:cs="Times New Roman"/>
          <w:spacing w:val="-2"/>
          <w:sz w:val="28"/>
          <w:szCs w:val="28"/>
        </w:rPr>
        <w:t>H—潜水水层高度（m</w:t>
      </w:r>
      <w:r>
        <w:rPr>
          <w:rFonts w:hint="default" w:ascii="Times New Roman" w:hAnsi="Times New Roman" w:eastAsia="宋体" w:cs="Times New Roman"/>
          <w:spacing w:val="7"/>
          <w:sz w:val="28"/>
          <w:szCs w:val="28"/>
        </w:rPr>
        <w:t>），</w:t>
      </w:r>
      <w:r>
        <w:rPr>
          <w:rFonts w:hint="default" w:ascii="Times New Roman" w:hAnsi="Times New Roman" w:eastAsia="宋体" w:cs="Times New Roman"/>
          <w:spacing w:val="-2"/>
          <w:sz w:val="28"/>
          <w:szCs w:val="28"/>
        </w:rPr>
        <w:t>取值38.50m；</w:t>
      </w:r>
    </w:p>
    <w:p w14:paraId="23817AA0">
      <w:pPr>
        <w:spacing w:before="211" w:line="220" w:lineRule="auto"/>
        <w:ind w:left="563"/>
        <w:rPr>
          <w:rFonts w:hint="default" w:ascii="Times New Roman" w:hAnsi="Times New Roman" w:eastAsia="宋体" w:cs="Times New Roman"/>
          <w:sz w:val="28"/>
          <w:szCs w:val="28"/>
        </w:rPr>
      </w:pPr>
      <w:r>
        <w:rPr>
          <w:rFonts w:hint="default" w:ascii="Times New Roman" w:hAnsi="Times New Roman" w:eastAsia="宋体" w:cs="Times New Roman"/>
          <w:spacing w:val="-2"/>
          <w:sz w:val="28"/>
          <w:szCs w:val="28"/>
        </w:rPr>
        <w:t>S—水位降深值（m</w:t>
      </w:r>
      <w:r>
        <w:rPr>
          <w:rFonts w:hint="default" w:ascii="Times New Roman" w:hAnsi="Times New Roman" w:eastAsia="宋体" w:cs="Times New Roman"/>
          <w:spacing w:val="7"/>
          <w:sz w:val="28"/>
          <w:szCs w:val="28"/>
        </w:rPr>
        <w:t>），</w:t>
      </w:r>
      <w:r>
        <w:rPr>
          <w:rFonts w:hint="default" w:ascii="Times New Roman" w:hAnsi="Times New Roman" w:eastAsia="宋体" w:cs="Times New Roman"/>
          <w:spacing w:val="-2"/>
          <w:sz w:val="28"/>
          <w:szCs w:val="28"/>
        </w:rPr>
        <w:t>取值46.57m；</w:t>
      </w:r>
    </w:p>
    <w:p w14:paraId="01429243">
      <w:pPr>
        <w:spacing w:before="211" w:line="232" w:lineRule="auto"/>
        <w:ind w:left="560"/>
        <w:rPr>
          <w:rFonts w:hint="default" w:ascii="Times New Roman" w:hAnsi="Times New Roman" w:eastAsia="宋体" w:cs="Times New Roman"/>
          <w:sz w:val="28"/>
          <w:szCs w:val="28"/>
        </w:rPr>
      </w:pPr>
      <w:r>
        <w:rPr>
          <w:rFonts w:hint="default" w:ascii="Times New Roman" w:hAnsi="Times New Roman" w:eastAsia="宋体" w:cs="Times New Roman"/>
          <w:spacing w:val="-1"/>
          <w:sz w:val="28"/>
          <w:szCs w:val="28"/>
        </w:rPr>
        <w:t>R</w:t>
      </w:r>
      <w:r>
        <w:rPr>
          <w:rFonts w:hint="default" w:ascii="Times New Roman" w:hAnsi="Times New Roman" w:eastAsia="宋体" w:cs="Times New Roman"/>
          <w:spacing w:val="-1"/>
          <w:position w:val="-3"/>
          <w:sz w:val="13"/>
          <w:szCs w:val="13"/>
        </w:rPr>
        <w:t>0</w:t>
      </w:r>
      <w:r>
        <w:rPr>
          <w:rFonts w:hint="default" w:ascii="Times New Roman" w:hAnsi="Times New Roman" w:eastAsia="宋体" w:cs="Times New Roman"/>
          <w:spacing w:val="-1"/>
          <w:sz w:val="28"/>
          <w:szCs w:val="28"/>
        </w:rPr>
        <w:t>—引用影响半径（m</w:t>
      </w:r>
      <w:r>
        <w:rPr>
          <w:rFonts w:hint="default" w:ascii="Times New Roman" w:hAnsi="Times New Roman" w:eastAsia="宋体" w:cs="Times New Roman"/>
          <w:spacing w:val="11"/>
          <w:sz w:val="28"/>
          <w:szCs w:val="28"/>
        </w:rPr>
        <w:t>），</w:t>
      </w:r>
      <w:r>
        <w:rPr>
          <w:rFonts w:hint="default" w:ascii="Times New Roman" w:hAnsi="Times New Roman" w:eastAsia="宋体" w:cs="Times New Roman"/>
          <w:spacing w:val="-1"/>
          <w:sz w:val="28"/>
          <w:szCs w:val="28"/>
        </w:rPr>
        <w:t>R</w:t>
      </w:r>
      <w:r>
        <w:rPr>
          <w:rFonts w:hint="default" w:ascii="Times New Roman" w:hAnsi="Times New Roman" w:eastAsia="宋体" w:cs="Times New Roman"/>
          <w:spacing w:val="-1"/>
          <w:position w:val="-3"/>
          <w:sz w:val="13"/>
          <w:szCs w:val="13"/>
        </w:rPr>
        <w:t>0</w:t>
      </w:r>
      <w:r>
        <w:rPr>
          <w:rFonts w:hint="default" w:ascii="Times New Roman" w:hAnsi="Times New Roman" w:eastAsia="宋体" w:cs="Times New Roman"/>
          <w:spacing w:val="-1"/>
          <w:sz w:val="28"/>
          <w:szCs w:val="28"/>
        </w:rPr>
        <w:t>=R+r</w:t>
      </w:r>
      <w:r>
        <w:rPr>
          <w:rFonts w:hint="default" w:ascii="Times New Roman" w:hAnsi="Times New Roman" w:eastAsia="宋体" w:cs="Times New Roman"/>
          <w:spacing w:val="-1"/>
          <w:position w:val="-3"/>
          <w:sz w:val="13"/>
          <w:szCs w:val="13"/>
        </w:rPr>
        <w:t>0</w:t>
      </w:r>
      <w:r>
        <w:rPr>
          <w:rFonts w:hint="default" w:ascii="Times New Roman" w:hAnsi="Times New Roman" w:eastAsia="宋体" w:cs="Times New Roman"/>
          <w:spacing w:val="-1"/>
          <w:sz w:val="28"/>
          <w:szCs w:val="28"/>
        </w:rPr>
        <w:t>；</w:t>
      </w:r>
    </w:p>
    <w:p w14:paraId="7530B26A">
      <w:pPr>
        <w:pStyle w:val="18"/>
        <w:spacing w:before="193" w:line="195" w:lineRule="auto"/>
        <w:ind w:left="560"/>
        <w:rPr>
          <w:rFonts w:hint="default" w:ascii="Times New Roman" w:hAnsi="Times New Roman" w:cs="Times New Roman"/>
          <w:sz w:val="23"/>
          <w:szCs w:val="23"/>
        </w:rPr>
      </w:pPr>
      <w:r>
        <w:rPr>
          <w:rFonts w:hint="default" w:ascii="Times New Roman" w:hAnsi="Times New Roman" w:eastAsia="宋体" w:cs="Times New Roman"/>
          <w:position w:val="2"/>
          <w:sz w:val="28"/>
          <w:szCs w:val="28"/>
        </w:rPr>
        <w:t>R—影响半径（m</w:t>
      </w:r>
      <w:r>
        <w:rPr>
          <w:rFonts w:hint="default" w:ascii="Times New Roman" w:hAnsi="Times New Roman" w:eastAsia="宋体" w:cs="Times New Roman"/>
          <w:spacing w:val="23"/>
          <w:position w:val="2"/>
          <w:sz w:val="28"/>
          <w:szCs w:val="28"/>
        </w:rPr>
        <w:t>）</w:t>
      </w:r>
      <w:r>
        <w:rPr>
          <w:rFonts w:hint="default" w:ascii="Times New Roman" w:hAnsi="Times New Roman" w:eastAsia="宋体" w:cs="Times New Roman"/>
          <w:spacing w:val="23"/>
          <w:position w:val="-5"/>
          <w:sz w:val="28"/>
          <w:szCs w:val="28"/>
        </w:rPr>
        <w:t>，</w:t>
      </w:r>
      <w:r>
        <w:rPr>
          <w:rFonts w:hint="default" w:ascii="Times New Roman" w:hAnsi="Times New Roman" w:eastAsia="Times New Roman" w:cs="Times New Roman"/>
          <w:i/>
          <w:iCs/>
          <w:sz w:val="23"/>
          <w:szCs w:val="23"/>
        </w:rPr>
        <w:t>R</w:t>
      </w:r>
      <w:r>
        <w:rPr>
          <w:rFonts w:hint="default" w:ascii="Times New Roman" w:hAnsi="Times New Roman" w:cs="Times New Roman"/>
          <w:position w:val="-1"/>
          <w:sz w:val="23"/>
          <w:szCs w:val="23"/>
        </w:rPr>
        <w:t>=</w:t>
      </w:r>
      <w:r>
        <w:rPr>
          <w:rFonts w:hint="default" w:ascii="Times New Roman" w:hAnsi="Times New Roman" w:eastAsia="Times New Roman" w:cs="Times New Roman"/>
          <w:sz w:val="23"/>
          <w:szCs w:val="23"/>
        </w:rPr>
        <w:t>2</w:t>
      </w:r>
      <w:r>
        <w:rPr>
          <w:rFonts w:hint="default" w:ascii="Times New Roman" w:hAnsi="Times New Roman" w:eastAsia="Times New Roman" w:cs="Times New Roman"/>
          <w:i/>
          <w:iCs/>
          <w:sz w:val="23"/>
          <w:szCs w:val="23"/>
        </w:rPr>
        <w:t>S</w:t>
      </w:r>
      <w:r>
        <w:rPr>
          <w:rFonts w:hint="default" w:ascii="Times New Roman" w:hAnsi="Times New Roman" w:cs="Times New Roman"/>
          <w:position w:val="-9"/>
          <w:sz w:val="23"/>
          <w:szCs w:val="23"/>
        </w:rPr>
        <w:drawing>
          <wp:inline distT="0" distB="0" distL="0" distR="0">
            <wp:extent cx="485140" cy="205105"/>
            <wp:effectExtent l="0" t="0" r="10160" b="444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9"/>
                    <a:stretch>
                      <a:fillRect/>
                    </a:stretch>
                  </pic:blipFill>
                  <pic:spPr>
                    <a:xfrm>
                      <a:off x="0" y="0"/>
                      <a:ext cx="485639" cy="205726"/>
                    </a:xfrm>
                    <a:prstGeom prst="rect">
                      <a:avLst/>
                    </a:prstGeom>
                  </pic:spPr>
                </pic:pic>
              </a:graphicData>
            </a:graphic>
          </wp:inline>
        </w:drawing>
      </w:r>
    </w:p>
    <w:p w14:paraId="313505C2">
      <w:pPr>
        <w:spacing w:before="239" w:line="232" w:lineRule="auto"/>
        <w:ind w:left="556"/>
        <w:rPr>
          <w:rFonts w:hint="default" w:ascii="Times New Roman" w:hAnsi="Times New Roman" w:eastAsia="宋体" w:cs="Times New Roman"/>
          <w:sz w:val="28"/>
          <w:szCs w:val="28"/>
        </w:rPr>
      </w:pPr>
      <w:r>
        <w:rPr>
          <w:rFonts w:hint="default" w:ascii="Times New Roman" w:hAnsi="Times New Roman" w:eastAsia="宋体" w:cs="Times New Roman"/>
          <w:sz w:val="28"/>
          <w:szCs w:val="28"/>
        </w:rPr>
        <w:t>H</w:t>
      </w:r>
      <w:r>
        <w:rPr>
          <w:rFonts w:hint="default" w:ascii="Times New Roman" w:hAnsi="Times New Roman" w:eastAsia="宋体" w:cs="Times New Roman"/>
          <w:position w:val="-3"/>
          <w:sz w:val="13"/>
          <w:szCs w:val="13"/>
        </w:rPr>
        <w:t>0</w:t>
      </w:r>
      <w:r>
        <w:rPr>
          <w:rFonts w:hint="default" w:ascii="Times New Roman" w:hAnsi="Times New Roman" w:eastAsia="宋体" w:cs="Times New Roman"/>
          <w:sz w:val="28"/>
          <w:szCs w:val="28"/>
        </w:rPr>
        <w:t>—含水层的初始水头高度，38.50m；</w:t>
      </w:r>
    </w:p>
    <w:p w14:paraId="7CA9B7BB">
      <w:pPr>
        <w:spacing w:before="199" w:line="213" w:lineRule="auto"/>
        <w:ind w:left="560"/>
        <w:rPr>
          <w:rFonts w:hint="default" w:ascii="Times New Roman" w:hAnsi="Times New Roman" w:eastAsia="宋体" w:cs="Times New Roman"/>
          <w:sz w:val="28"/>
          <w:szCs w:val="28"/>
        </w:rPr>
      </w:pPr>
      <w:r>
        <w:rPr>
          <w:rFonts w:hint="default" w:ascii="Times New Roman" w:hAnsi="Times New Roman" w:eastAsia="宋体" w:cs="Times New Roman"/>
          <w:spacing w:val="-5"/>
          <w:position w:val="-1"/>
          <w:sz w:val="28"/>
          <w:szCs w:val="28"/>
        </w:rPr>
        <w:t>r</w:t>
      </w:r>
      <w:r>
        <w:rPr>
          <w:rFonts w:hint="default" w:ascii="Times New Roman" w:hAnsi="Times New Roman" w:eastAsia="宋体" w:cs="Times New Roman"/>
          <w:spacing w:val="-5"/>
          <w:position w:val="-5"/>
          <w:sz w:val="13"/>
          <w:szCs w:val="13"/>
        </w:rPr>
        <w:t>0</w:t>
      </w:r>
      <w:r>
        <w:rPr>
          <w:rFonts w:hint="default" w:ascii="Times New Roman" w:hAnsi="Times New Roman" w:eastAsia="宋体" w:cs="Times New Roman"/>
          <w:spacing w:val="-5"/>
          <w:position w:val="-1"/>
          <w:sz w:val="28"/>
          <w:szCs w:val="28"/>
        </w:rPr>
        <w:t>—“大井”半径，</w:t>
      </w:r>
      <w:r>
        <w:rPr>
          <w:rFonts w:hint="default" w:ascii="Times New Roman" w:hAnsi="Times New Roman" w:eastAsia="Times New Roman" w:cs="Times New Roman"/>
          <w:i/>
          <w:iCs/>
          <w:spacing w:val="-5"/>
          <w:position w:val="15"/>
          <w:sz w:val="33"/>
          <w:szCs w:val="33"/>
        </w:rPr>
        <w:t>r</w:t>
      </w:r>
      <w:r>
        <w:rPr>
          <w:rFonts w:hint="default" w:ascii="Times New Roman" w:hAnsi="Times New Roman" w:cs="Times New Roman"/>
          <w:position w:val="10"/>
          <w:sz w:val="33"/>
          <w:szCs w:val="33"/>
        </w:rPr>
        <w:drawing>
          <wp:inline distT="0" distB="0" distL="0" distR="0">
            <wp:extent cx="656590" cy="353060"/>
            <wp:effectExtent l="0" t="0" r="10160" b="889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0"/>
                    <a:stretch>
                      <a:fillRect/>
                    </a:stretch>
                  </pic:blipFill>
                  <pic:spPr>
                    <a:xfrm>
                      <a:off x="0" y="0"/>
                      <a:ext cx="657113" cy="353390"/>
                    </a:xfrm>
                    <a:prstGeom prst="rect">
                      <a:avLst/>
                    </a:prstGeom>
                  </pic:spPr>
                </pic:pic>
              </a:graphicData>
            </a:graphic>
          </wp:inline>
        </w:drawing>
      </w:r>
      <w:r>
        <w:rPr>
          <w:rFonts w:hint="default" w:ascii="Times New Roman" w:hAnsi="Times New Roman" w:eastAsia="宋体" w:cs="Times New Roman"/>
          <w:spacing w:val="-5"/>
          <w:position w:val="-1"/>
          <w:sz w:val="28"/>
          <w:szCs w:val="28"/>
        </w:rPr>
        <w:t>，F面积为18800m</w:t>
      </w:r>
      <w:r>
        <w:rPr>
          <w:rFonts w:hint="default" w:ascii="Times New Roman" w:hAnsi="Times New Roman" w:eastAsia="宋体" w:cs="Times New Roman"/>
          <w:spacing w:val="-5"/>
          <w:position w:val="12"/>
          <w:sz w:val="13"/>
          <w:szCs w:val="13"/>
        </w:rPr>
        <w:t>2</w:t>
      </w:r>
      <w:r>
        <w:rPr>
          <w:rFonts w:hint="default" w:ascii="Times New Roman" w:hAnsi="Times New Roman" w:eastAsia="宋体" w:cs="Times New Roman"/>
          <w:spacing w:val="-5"/>
          <w:position w:val="-1"/>
          <w:sz w:val="28"/>
          <w:szCs w:val="28"/>
        </w:rPr>
        <w:t>；</w:t>
      </w:r>
    </w:p>
    <w:p w14:paraId="6ECF2C8E">
      <w:pPr>
        <w:spacing w:before="183" w:line="364" w:lineRule="auto"/>
        <w:ind w:left="1" w:right="76" w:firstLine="561"/>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根据计算结果，预测本矿区涌水量为206.81m</w:t>
      </w:r>
      <w:r>
        <w:rPr>
          <w:rFonts w:hint="default" w:ascii="Times New Roman" w:hAnsi="Times New Roman" w:eastAsia="宋体" w:cs="Times New Roman"/>
          <w:position w:val="14"/>
          <w:sz w:val="13"/>
          <w:szCs w:val="13"/>
        </w:rPr>
        <w:t>3</w:t>
      </w:r>
      <w:r>
        <w:rPr>
          <w:rFonts w:hint="default" w:ascii="Times New Roman" w:hAnsi="Times New Roman" w:eastAsia="宋体" w:cs="Times New Roman"/>
          <w:sz w:val="28"/>
          <w:szCs w:val="28"/>
        </w:rPr>
        <w:t>/d，在采矿过程中，矿坑涌水</w:t>
      </w:r>
      <w:r>
        <w:rPr>
          <w:rFonts w:hint="default" w:ascii="Times New Roman" w:hAnsi="Times New Roman" w:eastAsia="宋体" w:cs="Times New Roman"/>
          <w:spacing w:val="-1"/>
          <w:sz w:val="28"/>
          <w:szCs w:val="28"/>
        </w:rPr>
        <w:t>量随开采面积的扩大，逐步增加。</w:t>
      </w:r>
    </w:p>
    <w:p w14:paraId="3E8FB964">
      <w:pPr>
        <w:ind w:firstLine="560"/>
        <w:rPr>
          <w:rFonts w:hint="default" w:ascii="Times New Roman" w:hAnsi="Times New Roman" w:cs="Times New Roman"/>
        </w:rPr>
      </w:pPr>
      <w:r>
        <w:rPr>
          <w:rFonts w:hint="default" w:ascii="Times New Roman" w:hAnsi="Times New Roman" w:cs="Times New Roman"/>
        </w:rPr>
        <w:t>6.供水水源</w:t>
      </w:r>
      <w:bookmarkEnd w:id="73"/>
    </w:p>
    <w:p w14:paraId="09B837E1">
      <w:pPr>
        <w:ind w:firstLine="560"/>
        <w:rPr>
          <w:rFonts w:hint="default" w:ascii="Times New Roman" w:hAnsi="Times New Roman" w:cs="Times New Roman"/>
          <w:szCs w:val="28"/>
        </w:rPr>
      </w:pPr>
      <w:bookmarkStart w:id="74" w:name="_Toc1735"/>
      <w:r>
        <w:rPr>
          <w:rFonts w:hint="default" w:ascii="Times New Roman" w:hAnsi="Times New Roman" w:cs="Times New Roman"/>
          <w:szCs w:val="28"/>
        </w:rPr>
        <w:t>根据水质检测结果，矿区地下水水质符合生活饮用水质量标准，供水水源水质良好。</w:t>
      </w:r>
    </w:p>
    <w:p w14:paraId="3D3C0EFF">
      <w:pPr>
        <w:ind w:firstLine="560"/>
        <w:rPr>
          <w:rFonts w:hint="default" w:ascii="Times New Roman" w:hAnsi="Times New Roman" w:cs="Times New Roman"/>
          <w:szCs w:val="28"/>
        </w:rPr>
      </w:pPr>
      <w:r>
        <w:rPr>
          <w:rFonts w:hint="default" w:ascii="Times New Roman" w:hAnsi="Times New Roman" w:cs="Times New Roman"/>
          <w:szCs w:val="28"/>
        </w:rPr>
        <w:t>根据《吉林省集安市清河镇二道滑石矿预可行性研究报告》中数据，矿山生活及生产用水量为130m</w:t>
      </w:r>
      <w:r>
        <w:rPr>
          <w:rFonts w:hint="default" w:ascii="Times New Roman" w:hAnsi="Times New Roman" w:cs="Times New Roman"/>
          <w:szCs w:val="28"/>
          <w:vertAlign w:val="superscript"/>
        </w:rPr>
        <w:t>3</w:t>
      </w:r>
      <w:r>
        <w:rPr>
          <w:rFonts w:hint="default" w:ascii="Times New Roman" w:hAnsi="Times New Roman" w:cs="Times New Roman"/>
          <w:szCs w:val="28"/>
        </w:rPr>
        <w:t>/d。矿区预测涌水量小于需水量，因此必要时可利用矿区附近的地表水资源（头道岔河）。</w:t>
      </w:r>
    </w:p>
    <w:p w14:paraId="1F470753">
      <w:pPr>
        <w:ind w:firstLine="560"/>
        <w:rPr>
          <w:rFonts w:hint="default" w:ascii="Times New Roman" w:hAnsi="Times New Roman" w:cs="Times New Roman"/>
          <w:highlight w:val="none"/>
        </w:rPr>
      </w:pPr>
      <w:r>
        <w:rPr>
          <w:rFonts w:hint="default" w:ascii="Times New Roman" w:hAnsi="Times New Roman" w:cs="Times New Roman"/>
          <w:highlight w:val="none"/>
        </w:rPr>
        <w:t>7.矿床水文地质条件</w:t>
      </w:r>
      <w:bookmarkEnd w:id="74"/>
    </w:p>
    <w:p w14:paraId="081B8D16">
      <w:pPr>
        <w:ind w:firstLine="560"/>
        <w:rPr>
          <w:rFonts w:hint="default" w:ascii="Times New Roman" w:hAnsi="Times New Roman" w:cs="Times New Roman"/>
          <w:highlight w:val="none"/>
        </w:rPr>
      </w:pPr>
      <w:r>
        <w:rPr>
          <w:rFonts w:hint="default" w:ascii="Times New Roman" w:hAnsi="Times New Roman" w:cs="Times New Roman"/>
          <w:szCs w:val="28"/>
          <w:highlight w:val="none"/>
        </w:rPr>
        <w:t>矿区内矿体位于当地侵蚀基准面以下，目前</w:t>
      </w:r>
      <w:r>
        <w:rPr>
          <w:rFonts w:hint="default" w:ascii="Times New Roman" w:hAnsi="Times New Roman" w:cs="Times New Roman"/>
          <w:szCs w:val="28"/>
          <w:highlight w:val="none"/>
          <w:lang w:eastAsia="zh-CN"/>
        </w:rPr>
        <w:t>矿山</w:t>
      </w:r>
      <w:r>
        <w:rPr>
          <w:rFonts w:hint="default" w:ascii="Times New Roman" w:hAnsi="Times New Roman" w:cs="Times New Roman"/>
          <w:szCs w:val="28"/>
          <w:highlight w:val="none"/>
        </w:rPr>
        <w:t>最低排泄面标高</w:t>
      </w:r>
      <w:r>
        <w:rPr>
          <w:rFonts w:hint="default" w:ascii="Times New Roman" w:hAnsi="Times New Roman" w:cs="Times New Roman"/>
          <w:szCs w:val="28"/>
          <w:highlight w:val="none"/>
          <w:lang w:val="en-US" w:eastAsia="zh-CN"/>
        </w:rPr>
        <w:t>352</w:t>
      </w:r>
      <w:r>
        <w:rPr>
          <w:rFonts w:hint="default" w:ascii="Times New Roman" w:hAnsi="Times New Roman" w:cs="Times New Roman"/>
          <w:szCs w:val="28"/>
          <w:highlight w:val="none"/>
        </w:rPr>
        <w:t>m，已开采面积3.50km</w:t>
      </w:r>
      <w:r>
        <w:rPr>
          <w:rFonts w:hint="default" w:ascii="Times New Roman" w:hAnsi="Times New Roman" w:cs="Times New Roman"/>
          <w:szCs w:val="28"/>
          <w:highlight w:val="none"/>
          <w:vertAlign w:val="superscript"/>
        </w:rPr>
        <w:t>2</w:t>
      </w:r>
      <w:r>
        <w:rPr>
          <w:rFonts w:hint="default" w:ascii="Times New Roman" w:hAnsi="Times New Roman" w:cs="Times New Roman"/>
          <w:color w:val="000000"/>
          <w:szCs w:val="28"/>
          <w:highlight w:val="none"/>
        </w:rPr>
        <w:t>，</w:t>
      </w:r>
      <w:r>
        <w:rPr>
          <w:rFonts w:hint="default" w:ascii="Times New Roman" w:hAnsi="Times New Roman" w:cs="Times New Roman"/>
          <w:color w:val="000000"/>
          <w:szCs w:val="28"/>
          <w:highlight w:val="none"/>
          <w:lang w:eastAsia="zh-CN"/>
        </w:rPr>
        <w:t>矿山</w:t>
      </w:r>
      <w:r>
        <w:rPr>
          <w:rFonts w:hint="default" w:ascii="Times New Roman" w:hAnsi="Times New Roman" w:cs="Times New Roman"/>
          <w:color w:val="000000"/>
          <w:szCs w:val="28"/>
          <w:highlight w:val="none"/>
        </w:rPr>
        <w:t>正常涌水量为</w:t>
      </w:r>
      <w:r>
        <w:rPr>
          <w:rFonts w:hint="default" w:ascii="Times New Roman" w:hAnsi="Times New Roman" w:cs="Times New Roman"/>
          <w:color w:val="000000"/>
          <w:szCs w:val="28"/>
          <w:highlight w:val="none"/>
          <w:lang w:val="en-US" w:eastAsia="zh-CN"/>
        </w:rPr>
        <w:t>206.81</w:t>
      </w:r>
      <w:r>
        <w:rPr>
          <w:rFonts w:hint="default" w:ascii="Times New Roman" w:hAnsi="Times New Roman" w:cs="Times New Roman"/>
          <w:color w:val="000000"/>
          <w:szCs w:val="28"/>
          <w:highlight w:val="none"/>
        </w:rPr>
        <w:t>m</w:t>
      </w:r>
      <w:r>
        <w:rPr>
          <w:rFonts w:hint="default" w:ascii="Times New Roman" w:hAnsi="Times New Roman" w:cs="Times New Roman"/>
          <w:color w:val="000000"/>
          <w:szCs w:val="28"/>
          <w:highlight w:val="none"/>
          <w:vertAlign w:val="superscript"/>
        </w:rPr>
        <w:t>3</w:t>
      </w:r>
      <w:r>
        <w:rPr>
          <w:rFonts w:hint="default" w:ascii="Times New Roman" w:hAnsi="Times New Roman" w:cs="Times New Roman"/>
          <w:color w:val="000000"/>
          <w:szCs w:val="28"/>
          <w:highlight w:val="none"/>
        </w:rPr>
        <w:t>/d，由于本区构造</w:t>
      </w:r>
      <w:r>
        <w:rPr>
          <w:rFonts w:hint="default" w:ascii="Times New Roman" w:hAnsi="Times New Roman" w:cs="Times New Roman"/>
          <w:color w:val="000000"/>
          <w:szCs w:val="28"/>
          <w:highlight w:val="none"/>
          <w:lang w:val="en-US" w:eastAsia="zh-CN"/>
        </w:rPr>
        <w:t>简单</w:t>
      </w:r>
      <w:r>
        <w:rPr>
          <w:rFonts w:hint="default" w:ascii="Times New Roman" w:hAnsi="Times New Roman" w:cs="Times New Roman"/>
          <w:color w:val="000000"/>
          <w:szCs w:val="28"/>
          <w:highlight w:val="none"/>
        </w:rPr>
        <w:t>，</w:t>
      </w:r>
      <w:r>
        <w:rPr>
          <w:rFonts w:hint="default" w:ascii="Times New Roman" w:hAnsi="Times New Roman" w:cs="Times New Roman"/>
          <w:color w:val="000000"/>
          <w:szCs w:val="28"/>
          <w:highlight w:val="none"/>
          <w:lang w:val="en-US" w:eastAsia="zh-CN"/>
        </w:rPr>
        <w:t>富水性弱，</w:t>
      </w:r>
      <w:r>
        <w:rPr>
          <w:rFonts w:hint="default" w:ascii="Times New Roman" w:hAnsi="Times New Roman" w:cs="Times New Roman"/>
          <w:color w:val="000000"/>
          <w:szCs w:val="28"/>
          <w:highlight w:val="none"/>
        </w:rPr>
        <w:t>对未来矿山开采造成安全隐患</w:t>
      </w:r>
      <w:r>
        <w:rPr>
          <w:rFonts w:hint="default" w:ascii="Times New Roman" w:hAnsi="Times New Roman" w:cs="Times New Roman"/>
          <w:szCs w:val="28"/>
          <w:highlight w:val="none"/>
        </w:rPr>
        <w:t>。因此该矿区水文地质条件属</w:t>
      </w:r>
      <w:r>
        <w:rPr>
          <w:rFonts w:hint="default" w:ascii="Times New Roman" w:hAnsi="Times New Roman" w:cs="Times New Roman"/>
          <w:szCs w:val="28"/>
          <w:highlight w:val="none"/>
          <w:lang w:val="en-US" w:eastAsia="zh-CN"/>
        </w:rPr>
        <w:t>简单</w:t>
      </w:r>
      <w:r>
        <w:rPr>
          <w:rFonts w:hint="default" w:ascii="Times New Roman" w:hAnsi="Times New Roman" w:cs="Times New Roman"/>
          <w:szCs w:val="28"/>
          <w:highlight w:val="none"/>
        </w:rPr>
        <w:t>类型。</w:t>
      </w:r>
    </w:p>
    <w:p w14:paraId="2400316D">
      <w:pPr>
        <w:pStyle w:val="5"/>
        <w:ind w:firstLine="562"/>
      </w:pPr>
      <w:bookmarkStart w:id="75" w:name="_Toc211790745"/>
      <w:r>
        <w:t>（</w:t>
      </w:r>
      <w:r>
        <w:rPr>
          <w:rFonts w:hint="eastAsia"/>
        </w:rPr>
        <w:t>五</w:t>
      </w:r>
      <w:r>
        <w:t>）岩土工程性质</w:t>
      </w:r>
      <w:bookmarkEnd w:id="75"/>
    </w:p>
    <w:p w14:paraId="4303FC70">
      <w:pPr>
        <w:ind w:firstLine="560"/>
        <w:rPr>
          <w:rFonts w:ascii="宋体"/>
          <w:szCs w:val="28"/>
        </w:rPr>
      </w:pPr>
      <w:r>
        <w:rPr>
          <w:rFonts w:hint="eastAsia" w:ascii="宋体"/>
          <w:szCs w:val="28"/>
        </w:rPr>
        <w:t>1.松散岩组</w:t>
      </w:r>
    </w:p>
    <w:p w14:paraId="321E6E78">
      <w:pPr>
        <w:spacing w:before="212" w:line="359" w:lineRule="auto"/>
        <w:ind w:left="1" w:firstLine="562"/>
        <w:rPr>
          <w:rFonts w:hint="default" w:ascii="Times New Roman" w:hAnsi="Times New Roman" w:eastAsia="宋体" w:cs="Times New Roman"/>
          <w:sz w:val="28"/>
          <w:szCs w:val="28"/>
        </w:rPr>
      </w:pPr>
      <w:r>
        <w:rPr>
          <w:rFonts w:hint="default" w:ascii="Times New Roman" w:hAnsi="Times New Roman" w:eastAsia="宋体" w:cs="Times New Roman"/>
          <w:spacing w:val="-5"/>
          <w:sz w:val="28"/>
          <w:szCs w:val="28"/>
        </w:rPr>
        <w:t>松散软弱岩组主要为第四系残坡积物和基岩风化</w:t>
      </w:r>
      <w:r>
        <w:rPr>
          <w:rFonts w:hint="default" w:ascii="Times New Roman" w:hAnsi="Times New Roman" w:eastAsia="宋体" w:cs="Times New Roman"/>
          <w:spacing w:val="-6"/>
          <w:sz w:val="28"/>
          <w:szCs w:val="28"/>
        </w:rPr>
        <w:t>带，厚度2~5m。该层RQD=0，</w:t>
      </w:r>
      <w:r>
        <w:rPr>
          <w:rFonts w:hint="default" w:ascii="Times New Roman" w:hAnsi="Times New Roman" w:eastAsia="宋体" w:cs="Times New Roman"/>
          <w:spacing w:val="-4"/>
          <w:sz w:val="28"/>
          <w:szCs w:val="28"/>
        </w:rPr>
        <w:t>岩石质量极差，岩体破碎，其抗压强度小于5MPa，属松散软岩类，稳定性差。因</w:t>
      </w:r>
      <w:r>
        <w:rPr>
          <w:rFonts w:hint="default" w:ascii="Times New Roman" w:hAnsi="Times New Roman" w:eastAsia="宋体" w:cs="Times New Roman"/>
          <w:spacing w:val="-1"/>
          <w:sz w:val="28"/>
          <w:szCs w:val="28"/>
        </w:rPr>
        <w:t>属剥离层对矿床开采无影响。</w:t>
      </w:r>
    </w:p>
    <w:p w14:paraId="25D7CBB2">
      <w:pPr>
        <w:spacing w:before="1" w:line="220" w:lineRule="auto"/>
        <w:ind w:left="556"/>
        <w:rPr>
          <w:rFonts w:hint="default" w:ascii="Times New Roman" w:hAnsi="Times New Roman" w:cs="Times New Roman"/>
          <w:szCs w:val="28"/>
        </w:rPr>
      </w:pPr>
      <w:r>
        <w:rPr>
          <w:rFonts w:hint="default" w:ascii="Times New Roman" w:hAnsi="Times New Roman" w:cs="Times New Roman"/>
          <w:szCs w:val="28"/>
        </w:rPr>
        <w:t>2.</w:t>
      </w:r>
      <w:r>
        <w:rPr>
          <w:rFonts w:hint="default" w:ascii="Times New Roman" w:hAnsi="Times New Roman" w:eastAsia="宋体" w:cs="Times New Roman"/>
          <w:spacing w:val="-1"/>
          <w:sz w:val="28"/>
          <w:szCs w:val="28"/>
        </w:rPr>
        <w:t>软弱岩组</w:t>
      </w:r>
    </w:p>
    <w:p w14:paraId="0917180D">
      <w:pPr>
        <w:ind w:firstLine="560"/>
        <w:rPr>
          <w:rFonts w:hint="default" w:ascii="Times New Roman" w:hAnsi="Times New Roman" w:eastAsia="宋体" w:cs="Times New Roman"/>
          <w:spacing w:val="-2"/>
          <w:sz w:val="28"/>
          <w:szCs w:val="28"/>
        </w:rPr>
      </w:pPr>
      <w:r>
        <w:rPr>
          <w:rFonts w:hint="default" w:ascii="Times New Roman" w:hAnsi="Times New Roman" w:eastAsia="宋体" w:cs="Times New Roman"/>
          <w:spacing w:val="-2"/>
          <w:sz w:val="28"/>
          <w:szCs w:val="28"/>
        </w:rPr>
        <w:t>软弱岩组主要为潜部浅粒岩（矿体顶板</w:t>
      </w:r>
      <w:r>
        <w:rPr>
          <w:rFonts w:hint="default" w:ascii="Times New Roman" w:hAnsi="Times New Roman" w:eastAsia="宋体" w:cs="Times New Roman"/>
          <w:spacing w:val="-1"/>
          <w:sz w:val="28"/>
          <w:szCs w:val="28"/>
        </w:rPr>
        <w:t>），</w:t>
      </w:r>
      <w:r>
        <w:rPr>
          <w:rFonts w:hint="default" w:ascii="Times New Roman" w:hAnsi="Times New Roman" w:eastAsia="宋体" w:cs="Times New Roman"/>
          <w:spacing w:val="-2"/>
          <w:sz w:val="28"/>
          <w:szCs w:val="28"/>
        </w:rPr>
        <w:t>遍布于全矿区，该层受热液蚀变</w:t>
      </w:r>
      <w:r>
        <w:rPr>
          <w:rFonts w:hint="default" w:ascii="Times New Roman" w:hAnsi="Times New Roman" w:eastAsia="宋体" w:cs="Times New Roman"/>
          <w:spacing w:val="-1"/>
          <w:sz w:val="28"/>
          <w:szCs w:val="28"/>
        </w:rPr>
        <w:t>影响，岩石裂隙较发育，岩石硬度较差。该层RQD一般在30%~60%范围内，岩石质量较差，该层浅粒岩饱和抗压强度13.8</w:t>
      </w:r>
      <w:r>
        <w:rPr>
          <w:rFonts w:hint="default" w:ascii="Times New Roman" w:hAnsi="Times New Roman" w:eastAsia="宋体" w:cs="Times New Roman"/>
          <w:spacing w:val="-2"/>
          <w:sz w:val="28"/>
          <w:szCs w:val="28"/>
        </w:rPr>
        <w:t>8MPa，属软弱岩石。</w:t>
      </w:r>
    </w:p>
    <w:p w14:paraId="1DCF8760">
      <w:pPr>
        <w:ind w:firstLine="560"/>
        <w:rPr>
          <w:rFonts w:hint="default" w:ascii="Times New Roman" w:hAnsi="Times New Roman" w:eastAsia="宋体" w:cs="Times New Roman"/>
          <w:spacing w:val="-2"/>
          <w:sz w:val="28"/>
          <w:szCs w:val="28"/>
        </w:rPr>
      </w:pPr>
      <w:r>
        <w:rPr>
          <w:rFonts w:hint="default" w:ascii="Times New Roman" w:hAnsi="Times New Roman" w:cs="Times New Roman"/>
          <w:szCs w:val="28"/>
        </w:rPr>
        <w:t>3.</w:t>
      </w:r>
      <w:r>
        <w:rPr>
          <w:rFonts w:hint="default" w:ascii="Times New Roman" w:hAnsi="Times New Roman" w:eastAsia="宋体" w:cs="Times New Roman"/>
          <w:spacing w:val="-2"/>
          <w:sz w:val="28"/>
          <w:szCs w:val="28"/>
        </w:rPr>
        <w:t>较软岩组</w:t>
      </w:r>
    </w:p>
    <w:p w14:paraId="6DE14C0A">
      <w:pPr>
        <w:spacing w:before="211" w:line="359" w:lineRule="auto"/>
        <w:ind w:left="1" w:right="76" w:firstLine="561"/>
        <w:rPr>
          <w:rFonts w:hint="default" w:ascii="Times New Roman" w:hAnsi="Times New Roman" w:eastAsia="宋体" w:cs="Times New Roman"/>
          <w:sz w:val="28"/>
          <w:szCs w:val="28"/>
        </w:rPr>
      </w:pPr>
      <w:r>
        <w:rPr>
          <w:rFonts w:hint="default" w:ascii="Times New Roman" w:hAnsi="Times New Roman" w:eastAsia="宋体" w:cs="Times New Roman"/>
          <w:spacing w:val="-1"/>
          <w:sz w:val="28"/>
          <w:szCs w:val="28"/>
        </w:rPr>
        <w:t>较软岩组为滑石岩（矿体</w:t>
      </w:r>
      <w:r>
        <w:rPr>
          <w:rFonts w:hint="default" w:ascii="Times New Roman" w:hAnsi="Times New Roman" w:eastAsia="宋体" w:cs="Times New Roman"/>
          <w:spacing w:val="-24"/>
          <w:sz w:val="28"/>
          <w:szCs w:val="28"/>
        </w:rPr>
        <w:t>），</w:t>
      </w:r>
      <w:r>
        <w:rPr>
          <w:rFonts w:hint="default" w:ascii="Times New Roman" w:hAnsi="Times New Roman" w:eastAsia="宋体" w:cs="Times New Roman"/>
          <w:spacing w:val="-1"/>
          <w:sz w:val="28"/>
          <w:szCs w:val="28"/>
        </w:rPr>
        <w:t>分布于矿区北东侧，该层RQD一般在80%~100%</w:t>
      </w:r>
      <w:r>
        <w:rPr>
          <w:rFonts w:hint="default" w:ascii="Times New Roman" w:hAnsi="Times New Roman" w:eastAsia="宋体" w:cs="Times New Roman"/>
          <w:spacing w:val="-4"/>
          <w:sz w:val="28"/>
          <w:szCs w:val="28"/>
        </w:rPr>
        <w:t>范围内岩石质量较好，岩体完整。滑石岩饱和抗压强度18.76~21.59MPa，属较软岩组。</w:t>
      </w:r>
    </w:p>
    <w:p w14:paraId="175324B0">
      <w:pPr>
        <w:spacing w:before="1" w:line="220" w:lineRule="auto"/>
        <w:rPr>
          <w:rFonts w:hint="default" w:ascii="Times New Roman" w:hAnsi="Times New Roman" w:eastAsia="宋体" w:cs="Times New Roman"/>
          <w:sz w:val="28"/>
          <w:szCs w:val="28"/>
        </w:rPr>
      </w:pPr>
      <w:r>
        <w:rPr>
          <w:rFonts w:hint="default" w:ascii="Times New Roman" w:hAnsi="Times New Roman" w:cs="Times New Roman"/>
          <w:szCs w:val="28"/>
          <w:lang w:val="en-US" w:eastAsia="zh-CN"/>
        </w:rPr>
        <w:t>4</w:t>
      </w:r>
      <w:r>
        <w:rPr>
          <w:rFonts w:hint="default" w:ascii="Times New Roman" w:hAnsi="Times New Roman" w:cs="Times New Roman"/>
          <w:szCs w:val="28"/>
        </w:rPr>
        <w:t>.</w:t>
      </w:r>
      <w:r>
        <w:rPr>
          <w:rFonts w:hint="default" w:ascii="Times New Roman" w:hAnsi="Times New Roman" w:eastAsia="宋体" w:cs="Times New Roman"/>
          <w:spacing w:val="-1"/>
          <w:sz w:val="28"/>
          <w:szCs w:val="28"/>
        </w:rPr>
        <w:t>较硬岩-坚硬岩组</w:t>
      </w:r>
    </w:p>
    <w:p w14:paraId="6B2C4761">
      <w:pPr>
        <w:spacing w:before="206" w:line="362" w:lineRule="auto"/>
        <w:ind w:right="76" w:firstLine="562"/>
        <w:rPr>
          <w:rFonts w:hint="default" w:ascii="Times New Roman" w:hAnsi="Times New Roman" w:eastAsia="宋体" w:cs="Times New Roman"/>
          <w:sz w:val="28"/>
          <w:szCs w:val="28"/>
        </w:rPr>
      </w:pPr>
      <w:r>
        <w:rPr>
          <w:rFonts w:hint="default" w:ascii="Times New Roman" w:hAnsi="Times New Roman" w:eastAsia="宋体" w:cs="Times New Roman"/>
          <w:spacing w:val="10"/>
          <w:sz w:val="28"/>
          <w:szCs w:val="28"/>
        </w:rPr>
        <w:t>较硬岩-坚硬岩组主要为变粒岩、浅粒岩，遍布于全区，该层</w:t>
      </w:r>
      <w:r>
        <w:rPr>
          <w:rFonts w:hint="default" w:ascii="Times New Roman" w:hAnsi="Times New Roman" w:eastAsia="宋体" w:cs="Times New Roman"/>
          <w:sz w:val="28"/>
          <w:szCs w:val="28"/>
        </w:rPr>
        <w:t>RQD</w:t>
      </w:r>
      <w:r>
        <w:rPr>
          <w:rFonts w:hint="default" w:ascii="Times New Roman" w:hAnsi="Times New Roman" w:eastAsia="宋体" w:cs="Times New Roman"/>
          <w:spacing w:val="10"/>
          <w:sz w:val="28"/>
          <w:szCs w:val="28"/>
        </w:rPr>
        <w:t>一般在</w:t>
      </w:r>
      <w:r>
        <w:rPr>
          <w:rFonts w:hint="default" w:ascii="Times New Roman" w:hAnsi="Times New Roman" w:eastAsia="宋体" w:cs="Times New Roman"/>
          <w:spacing w:val="13"/>
          <w:sz w:val="28"/>
          <w:szCs w:val="28"/>
        </w:rPr>
        <w:t>90%~100%范围内，岩石质量好，岩体完整，变粒岩、浅粒岩饱和抗压强度</w:t>
      </w:r>
      <w:r>
        <w:rPr>
          <w:rFonts w:hint="default" w:ascii="Times New Roman" w:hAnsi="Times New Roman" w:eastAsia="宋体" w:cs="Times New Roman"/>
          <w:spacing w:val="-1"/>
          <w:sz w:val="28"/>
          <w:szCs w:val="28"/>
        </w:rPr>
        <w:t>47.04~82.24MPa，属较硬岩-坚硬岩组。</w:t>
      </w:r>
    </w:p>
    <w:p w14:paraId="1F0BCAE5">
      <w:pPr>
        <w:ind w:firstLine="560"/>
        <w:rPr>
          <w:rFonts w:hint="default" w:ascii="Times New Roman" w:hAnsi="Times New Roman" w:cs="Times New Roman"/>
        </w:rPr>
      </w:pPr>
      <w:r>
        <w:rPr>
          <w:rFonts w:hint="default" w:ascii="Times New Roman" w:hAnsi="Times New Roman" w:cs="Times New Roman"/>
        </w:rPr>
        <w:t>矿床工程地质条件属</w:t>
      </w:r>
      <w:r>
        <w:rPr>
          <w:rFonts w:hint="default" w:ascii="Times New Roman" w:hAnsi="Times New Roman" w:cs="Times New Roman"/>
          <w:szCs w:val="28"/>
          <w:lang w:val="en-US" w:eastAsia="zh-CN"/>
        </w:rPr>
        <w:t>简单</w:t>
      </w:r>
      <w:r>
        <w:rPr>
          <w:rFonts w:hint="default" w:ascii="Times New Roman" w:hAnsi="Times New Roman" w:cs="Times New Roman"/>
          <w:szCs w:val="28"/>
        </w:rPr>
        <w:t>类型</w:t>
      </w:r>
      <w:r>
        <w:rPr>
          <w:rFonts w:hint="default" w:ascii="Times New Roman" w:hAnsi="Times New Roman" w:cs="Times New Roman"/>
        </w:rPr>
        <w:t>。</w:t>
      </w:r>
    </w:p>
    <w:p w14:paraId="22737D73">
      <w:pPr>
        <w:pStyle w:val="5"/>
        <w:ind w:firstLine="562"/>
        <w:rPr>
          <w:rFonts w:hint="default" w:ascii="Times New Roman" w:hAnsi="Times New Roman" w:cs="Times New Roman"/>
        </w:rPr>
      </w:pPr>
      <w:bookmarkStart w:id="76" w:name="_Toc211790746"/>
      <w:r>
        <w:rPr>
          <w:rFonts w:hint="default" w:ascii="Times New Roman" w:hAnsi="Times New Roman" w:cs="Times New Roman"/>
        </w:rPr>
        <w:t>（六）矿区主采</w:t>
      </w:r>
      <w:r>
        <w:rPr>
          <w:rFonts w:hint="default" w:ascii="Times New Roman" w:hAnsi="Times New Roman" w:cs="Times New Roman"/>
          <w:lang w:eastAsia="zh-CN"/>
        </w:rPr>
        <w:t>滑石</w:t>
      </w:r>
      <w:r>
        <w:rPr>
          <w:rFonts w:hint="default" w:ascii="Times New Roman" w:hAnsi="Times New Roman" w:cs="Times New Roman"/>
        </w:rPr>
        <w:t>层矿体特征</w:t>
      </w:r>
      <w:bookmarkEnd w:id="76"/>
    </w:p>
    <w:p w14:paraId="114C6000">
      <w:pPr>
        <w:spacing w:line="560" w:lineRule="exact"/>
        <w:ind w:firstLine="560" w:firstLineChars="0"/>
        <w:rPr>
          <w:rFonts w:hint="default" w:ascii="Times New Roman" w:hAnsi="Times New Roman" w:cs="Times New Roman"/>
        </w:rPr>
      </w:pPr>
      <w:r>
        <w:rPr>
          <w:rFonts w:hint="default" w:ascii="Times New Roman" w:hAnsi="Times New Roman" w:cs="Times New Roman"/>
        </w:rPr>
        <w:t>①号矿体：该矿体位于蚂蚁河组下部(Pt</w:t>
      </w:r>
      <w:r>
        <w:rPr>
          <w:rFonts w:hint="default" w:ascii="Times New Roman" w:hAnsi="Times New Roman" w:cs="Times New Roman"/>
          <w:vertAlign w:val="subscript"/>
        </w:rPr>
        <w:t>1</w:t>
      </w:r>
      <w:r>
        <w:rPr>
          <w:rFonts w:hint="default" w:ascii="Times New Roman" w:hAnsi="Times New Roman" w:cs="Times New Roman"/>
          <w:i/>
          <w:iCs/>
        </w:rPr>
        <w:t>m</w:t>
      </w:r>
      <w:r>
        <w:rPr>
          <w:rFonts w:hint="default" w:ascii="Times New Roman" w:hAnsi="Times New Roman" w:cs="Times New Roman"/>
          <w:i/>
          <w:iCs/>
          <w:vertAlign w:val="superscript"/>
        </w:rPr>
        <w:t>3</w:t>
      </w:r>
      <w:r>
        <w:rPr>
          <w:rFonts w:hint="default" w:ascii="Times New Roman" w:hAnsi="Times New Roman" w:cs="Times New Roman"/>
          <w:i/>
          <w:iCs/>
        </w:rPr>
        <w:t>.</w:t>
      </w:r>
      <w:r>
        <w:rPr>
          <w:rFonts w:hint="default" w:ascii="Times New Roman" w:hAnsi="Times New Roman" w:cs="Times New Roman"/>
        </w:rPr>
        <w:t>)含矿岩层中，矿体东西向分布2号～3号勘查线间，由ZK001、ZK002、ZK201、ZK202、ZK203、ZK301、ZK302，7个钻孔控制，见矿钻孔5个，见矿率71%。矿体总体走向近东西，矿体呈条带状，矿体及顶底板倾角一般在25°～50°之间，控制该矿体长度97m</w:t>
      </w:r>
      <w:bookmarkStart w:id="77" w:name="OLE_LINK2"/>
      <w:r>
        <w:rPr>
          <w:rFonts w:hint="default" w:ascii="Times New Roman" w:hAnsi="Times New Roman" w:cs="Times New Roman"/>
        </w:rPr>
        <w:t>，矿体延伸154m～204m，厚度2.69m～11.66m，平均厚度7.93m，厚度变化系数41.34%，厚度较稳定。矿体埋深69.60m～226.80m，赋存标高502.25m～352.98m。滑石含量48.98%～90.34%，滑石平均含量81.04%，滑石品位变化系数12.34%，矿石质量稳定。受林地影响，矿体倾向未封闭、沿走向西侧未封闭。</w:t>
      </w:r>
    </w:p>
    <w:bookmarkEnd w:id="77"/>
    <w:p w14:paraId="3FD2E18E">
      <w:pPr>
        <w:spacing w:line="560" w:lineRule="exact"/>
        <w:ind w:firstLine="560" w:firstLineChars="0"/>
        <w:rPr>
          <w:rFonts w:hint="default" w:ascii="Times New Roman" w:hAnsi="Times New Roman" w:cs="Times New Roman"/>
        </w:rPr>
      </w:pPr>
      <w:r>
        <w:rPr>
          <w:rFonts w:hint="default" w:ascii="Times New Roman" w:hAnsi="Times New Roman" w:cs="Times New Roman"/>
        </w:rPr>
        <w:t>该矿体估算滑石资源量262kt。占矿床总资源量的57%。</w:t>
      </w:r>
    </w:p>
    <w:p w14:paraId="1FEF3DE3">
      <w:pPr>
        <w:spacing w:line="560" w:lineRule="exact"/>
        <w:ind w:firstLine="560" w:firstLineChars="0"/>
        <w:rPr>
          <w:rFonts w:hint="eastAsia"/>
        </w:rPr>
        <w:sectPr>
          <w:footerReference r:id="rId12" w:type="default"/>
          <w:pgSz w:w="12020" w:h="16670"/>
          <w:pgMar w:top="1503" w:right="806" w:bottom="1503" w:left="1134" w:header="851" w:footer="992" w:gutter="0"/>
          <w:pgNumType w:fmt="decimal"/>
          <w:cols w:space="425" w:num="1"/>
          <w:docGrid w:type="lines" w:linePitch="312" w:charSpace="0"/>
        </w:sectPr>
      </w:pPr>
      <w:r>
        <w:rPr>
          <w:rFonts w:hint="default" w:ascii="Times New Roman" w:hAnsi="Times New Roman" w:cs="Times New Roman"/>
        </w:rPr>
        <w:t>各矿体特征见表</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w:t>
      </w:r>
    </w:p>
    <w:p w14:paraId="33615B87">
      <w:pPr>
        <w:ind w:firstLine="480"/>
        <w:jc w:val="center"/>
        <w:rPr>
          <w:sz w:val="24"/>
          <w:szCs w:val="24"/>
        </w:rPr>
      </w:pPr>
      <w:r>
        <w:rPr>
          <w:rFonts w:hint="eastAsia"/>
          <w:sz w:val="24"/>
          <w:szCs w:val="24"/>
        </w:rPr>
        <w:t>表</w:t>
      </w:r>
      <w:r>
        <w:rPr>
          <w:rFonts w:hint="eastAsia"/>
          <w:sz w:val="24"/>
          <w:szCs w:val="24"/>
          <w:lang w:val="en-US" w:eastAsia="zh-CN"/>
        </w:rPr>
        <w:t>2</w:t>
      </w:r>
      <w:r>
        <w:rPr>
          <w:rFonts w:hint="eastAsia"/>
          <w:sz w:val="24"/>
          <w:szCs w:val="24"/>
        </w:rPr>
        <w:t>-</w:t>
      </w:r>
      <w:r>
        <w:rPr>
          <w:rFonts w:hint="eastAsia"/>
          <w:sz w:val="24"/>
          <w:szCs w:val="24"/>
          <w:lang w:val="en-US" w:eastAsia="zh-CN"/>
        </w:rPr>
        <w:t>2</w:t>
      </w:r>
      <w:r>
        <w:rPr>
          <w:rFonts w:hint="eastAsia"/>
          <w:sz w:val="24"/>
          <w:szCs w:val="24"/>
        </w:rPr>
        <w:t>矿体特征一览表</w:t>
      </w:r>
    </w:p>
    <w:tbl>
      <w:tblPr>
        <w:tblStyle w:val="42"/>
        <w:tblW w:w="5000" w:type="pct"/>
        <w:tblInd w:w="0" w:type="dxa"/>
        <w:tblLayout w:type="autofit"/>
        <w:tblCellMar>
          <w:top w:w="0" w:type="dxa"/>
          <w:left w:w="108" w:type="dxa"/>
          <w:bottom w:w="0" w:type="dxa"/>
          <w:right w:w="108" w:type="dxa"/>
        </w:tblCellMar>
      </w:tblPr>
      <w:tblGrid>
        <w:gridCol w:w="663"/>
        <w:gridCol w:w="696"/>
        <w:gridCol w:w="985"/>
        <w:gridCol w:w="1016"/>
        <w:gridCol w:w="1016"/>
        <w:gridCol w:w="816"/>
        <w:gridCol w:w="816"/>
        <w:gridCol w:w="747"/>
        <w:gridCol w:w="784"/>
        <w:gridCol w:w="784"/>
        <w:gridCol w:w="816"/>
        <w:gridCol w:w="767"/>
        <w:gridCol w:w="786"/>
        <w:gridCol w:w="786"/>
        <w:gridCol w:w="816"/>
        <w:gridCol w:w="770"/>
        <w:gridCol w:w="816"/>
      </w:tblGrid>
      <w:tr w14:paraId="4A0EE37F">
        <w:tblPrEx>
          <w:tblCellMar>
            <w:top w:w="0" w:type="dxa"/>
            <w:left w:w="108" w:type="dxa"/>
            <w:bottom w:w="0" w:type="dxa"/>
            <w:right w:w="108" w:type="dxa"/>
          </w:tblCellMar>
        </w:tblPrEx>
        <w:trPr>
          <w:trHeight w:val="270" w:hRule="atLeast"/>
        </w:trPr>
        <w:tc>
          <w:tcPr>
            <w:tcW w:w="241" w:type="pct"/>
            <w:vMerge w:val="restart"/>
            <w:tcBorders>
              <w:top w:val="single" w:color="auto" w:sz="4" w:space="0"/>
              <w:left w:val="single" w:color="auto" w:sz="4" w:space="0"/>
              <w:right w:val="single" w:color="auto" w:sz="4" w:space="0"/>
            </w:tcBorders>
            <w:shd w:val="clear" w:color="auto" w:fill="auto"/>
            <w:vAlign w:val="center"/>
          </w:tcPr>
          <w:p w14:paraId="612F167D">
            <w:pPr>
              <w:widowControl/>
              <w:spacing w:line="240" w:lineRule="auto"/>
              <w:ind w:firstLine="0" w:firstLineChars="0"/>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矿体编号</w:t>
            </w:r>
          </w:p>
        </w:tc>
        <w:tc>
          <w:tcPr>
            <w:tcW w:w="25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318779">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控制矿体长度(m)</w:t>
            </w:r>
          </w:p>
        </w:tc>
        <w:tc>
          <w:tcPr>
            <w:tcW w:w="35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7D46CA">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倾向延伸(m)</w:t>
            </w:r>
          </w:p>
        </w:tc>
        <w:tc>
          <w:tcPr>
            <w:tcW w:w="36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2667511">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赋存标高(m)</w:t>
            </w:r>
          </w:p>
        </w:tc>
        <w:tc>
          <w:tcPr>
            <w:tcW w:w="363" w:type="pct"/>
            <w:vMerge w:val="restart"/>
            <w:tcBorders>
              <w:top w:val="single" w:color="auto" w:sz="4" w:space="0"/>
              <w:left w:val="nil"/>
              <w:right w:val="single" w:color="auto" w:sz="4" w:space="0"/>
            </w:tcBorders>
            <w:shd w:val="clear" w:color="auto" w:fill="auto"/>
            <w:vAlign w:val="center"/>
          </w:tcPr>
          <w:p w14:paraId="386241B5">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埋深(m)</w:t>
            </w:r>
          </w:p>
        </w:tc>
        <w:tc>
          <w:tcPr>
            <w:tcW w:w="291" w:type="pct"/>
            <w:vMerge w:val="restart"/>
            <w:tcBorders>
              <w:top w:val="single" w:color="auto" w:sz="4" w:space="0"/>
              <w:left w:val="nil"/>
              <w:right w:val="single" w:color="auto" w:sz="4" w:space="0"/>
            </w:tcBorders>
            <w:shd w:val="clear" w:color="auto" w:fill="auto"/>
            <w:vAlign w:val="center"/>
          </w:tcPr>
          <w:p w14:paraId="7CBDF309">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倾向</w:t>
            </w:r>
          </w:p>
          <w:p w14:paraId="1F89E032">
            <w:pPr>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w:t>
            </w:r>
          </w:p>
        </w:tc>
        <w:tc>
          <w:tcPr>
            <w:tcW w:w="291" w:type="pct"/>
            <w:vMerge w:val="restart"/>
            <w:tcBorders>
              <w:top w:val="single" w:color="auto" w:sz="4" w:space="0"/>
              <w:left w:val="nil"/>
              <w:right w:val="single" w:color="auto" w:sz="4" w:space="0"/>
            </w:tcBorders>
            <w:shd w:val="clear" w:color="auto" w:fill="auto"/>
            <w:vAlign w:val="center"/>
          </w:tcPr>
          <w:p w14:paraId="158B6350">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倾角</w:t>
            </w:r>
          </w:p>
          <w:p w14:paraId="2BD8A506">
            <w:pPr>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w:t>
            </w:r>
          </w:p>
        </w:tc>
        <w:tc>
          <w:tcPr>
            <w:tcW w:w="1131" w:type="pct"/>
            <w:gridSpan w:val="4"/>
            <w:tcBorders>
              <w:top w:val="single" w:color="auto" w:sz="4" w:space="0"/>
              <w:left w:val="nil"/>
              <w:bottom w:val="single" w:color="auto" w:sz="4" w:space="0"/>
              <w:right w:val="single" w:color="auto" w:sz="4" w:space="0"/>
            </w:tcBorders>
            <w:shd w:val="clear" w:color="auto" w:fill="auto"/>
            <w:vAlign w:val="center"/>
          </w:tcPr>
          <w:p w14:paraId="7E2E8F6F">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矿体真厚度(m)</w:t>
            </w:r>
          </w:p>
        </w:tc>
        <w:tc>
          <w:tcPr>
            <w:tcW w:w="1139" w:type="pct"/>
            <w:gridSpan w:val="4"/>
            <w:tcBorders>
              <w:top w:val="single" w:color="auto" w:sz="4" w:space="0"/>
              <w:left w:val="nil"/>
              <w:bottom w:val="single" w:color="auto" w:sz="4" w:space="0"/>
              <w:right w:val="single" w:color="auto" w:sz="4" w:space="0"/>
            </w:tcBorders>
            <w:shd w:val="clear" w:color="auto" w:fill="auto"/>
            <w:vAlign w:val="center"/>
          </w:tcPr>
          <w:p w14:paraId="7DCD2095">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滑石含量%</w:t>
            </w:r>
          </w:p>
        </w:tc>
        <w:tc>
          <w:tcPr>
            <w:tcW w:w="27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B9F4CB">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资源储量(kt)</w:t>
            </w:r>
          </w:p>
        </w:tc>
        <w:tc>
          <w:tcPr>
            <w:tcW w:w="29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70E005">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占全区资源储量百分比</w:t>
            </w:r>
          </w:p>
        </w:tc>
      </w:tr>
      <w:tr w14:paraId="6FC2315A">
        <w:tblPrEx>
          <w:tblCellMar>
            <w:top w:w="0" w:type="dxa"/>
            <w:left w:w="108" w:type="dxa"/>
            <w:bottom w:w="0" w:type="dxa"/>
            <w:right w:w="108" w:type="dxa"/>
          </w:tblCellMar>
        </w:tblPrEx>
        <w:trPr>
          <w:trHeight w:val="270" w:hRule="atLeast"/>
        </w:trPr>
        <w:tc>
          <w:tcPr>
            <w:tcW w:w="241" w:type="pct"/>
            <w:vMerge w:val="continue"/>
            <w:tcBorders>
              <w:left w:val="single" w:color="auto" w:sz="4" w:space="0"/>
              <w:bottom w:val="single" w:color="auto" w:sz="4" w:space="0"/>
              <w:right w:val="single" w:color="auto" w:sz="4" w:space="0"/>
            </w:tcBorders>
            <w:shd w:val="clear" w:color="auto" w:fill="auto"/>
            <w:vAlign w:val="center"/>
          </w:tcPr>
          <w:p w14:paraId="43658651">
            <w:pPr>
              <w:widowControl/>
              <w:spacing w:line="240" w:lineRule="auto"/>
              <w:ind w:firstLine="0" w:firstLineChars="0"/>
              <w:jc w:val="center"/>
              <w:rPr>
                <w:rFonts w:cs="宋体" w:asciiTheme="minorEastAsia" w:hAnsiTheme="minorEastAsia" w:eastAsiaTheme="minorEastAsia"/>
                <w:color w:val="000000"/>
                <w:kern w:val="0"/>
                <w:sz w:val="20"/>
                <w:szCs w:val="20"/>
              </w:rPr>
            </w:pPr>
          </w:p>
        </w:tc>
        <w:tc>
          <w:tcPr>
            <w:tcW w:w="253" w:type="pct"/>
            <w:vMerge w:val="continue"/>
            <w:tcBorders>
              <w:top w:val="single" w:color="auto" w:sz="4" w:space="0"/>
              <w:left w:val="single" w:color="auto" w:sz="4" w:space="0"/>
              <w:bottom w:val="single" w:color="auto" w:sz="4" w:space="0"/>
              <w:right w:val="single" w:color="auto" w:sz="4" w:space="0"/>
            </w:tcBorders>
            <w:vAlign w:val="center"/>
          </w:tcPr>
          <w:p w14:paraId="6F802262">
            <w:pPr>
              <w:widowControl/>
              <w:spacing w:line="240" w:lineRule="auto"/>
              <w:ind w:firstLine="0" w:firstLineChars="0"/>
              <w:jc w:val="center"/>
              <w:rPr>
                <w:rFonts w:cs="宋体" w:asciiTheme="minorEastAsia" w:hAnsiTheme="minorEastAsia" w:eastAsiaTheme="minorEastAsia"/>
                <w:color w:val="000000"/>
                <w:kern w:val="0"/>
                <w:sz w:val="20"/>
                <w:szCs w:val="20"/>
              </w:rPr>
            </w:pPr>
          </w:p>
        </w:tc>
        <w:tc>
          <w:tcPr>
            <w:tcW w:w="357" w:type="pct"/>
            <w:vMerge w:val="continue"/>
            <w:tcBorders>
              <w:top w:val="single" w:color="auto" w:sz="4" w:space="0"/>
              <w:left w:val="single" w:color="auto" w:sz="4" w:space="0"/>
              <w:bottom w:val="single" w:color="auto" w:sz="4" w:space="0"/>
              <w:right w:val="single" w:color="auto" w:sz="4" w:space="0"/>
            </w:tcBorders>
            <w:vAlign w:val="center"/>
          </w:tcPr>
          <w:p w14:paraId="2625114D">
            <w:pPr>
              <w:widowControl/>
              <w:spacing w:line="240" w:lineRule="auto"/>
              <w:ind w:firstLine="0" w:firstLineChars="0"/>
              <w:jc w:val="center"/>
              <w:rPr>
                <w:rFonts w:cs="宋体" w:asciiTheme="minorEastAsia" w:hAnsiTheme="minorEastAsia" w:eastAsiaTheme="minorEastAsia"/>
                <w:color w:val="000000"/>
                <w:kern w:val="0"/>
                <w:sz w:val="20"/>
                <w:szCs w:val="20"/>
              </w:rPr>
            </w:pPr>
          </w:p>
        </w:tc>
        <w:tc>
          <w:tcPr>
            <w:tcW w:w="363" w:type="pct"/>
            <w:vMerge w:val="continue"/>
            <w:tcBorders>
              <w:top w:val="single" w:color="auto" w:sz="4" w:space="0"/>
              <w:left w:val="single" w:color="auto" w:sz="4" w:space="0"/>
              <w:bottom w:val="single" w:color="auto" w:sz="4" w:space="0"/>
              <w:right w:val="single" w:color="auto" w:sz="4" w:space="0"/>
            </w:tcBorders>
            <w:vAlign w:val="center"/>
          </w:tcPr>
          <w:p w14:paraId="34B3BFE3">
            <w:pPr>
              <w:widowControl/>
              <w:spacing w:line="240" w:lineRule="auto"/>
              <w:ind w:firstLine="0" w:firstLineChars="0"/>
              <w:jc w:val="center"/>
              <w:rPr>
                <w:rFonts w:cs="宋体" w:asciiTheme="minorEastAsia" w:hAnsiTheme="minorEastAsia" w:eastAsiaTheme="minorEastAsia"/>
                <w:color w:val="000000"/>
                <w:kern w:val="0"/>
                <w:sz w:val="20"/>
                <w:szCs w:val="20"/>
              </w:rPr>
            </w:pPr>
          </w:p>
        </w:tc>
        <w:tc>
          <w:tcPr>
            <w:tcW w:w="363" w:type="pct"/>
            <w:vMerge w:val="continue"/>
            <w:tcBorders>
              <w:left w:val="nil"/>
              <w:bottom w:val="single" w:color="auto" w:sz="4" w:space="0"/>
              <w:right w:val="single" w:color="auto" w:sz="4" w:space="0"/>
            </w:tcBorders>
            <w:shd w:val="clear" w:color="auto" w:fill="auto"/>
            <w:vAlign w:val="center"/>
          </w:tcPr>
          <w:p w14:paraId="035EB2BC">
            <w:pPr>
              <w:widowControl/>
              <w:spacing w:line="240" w:lineRule="auto"/>
              <w:ind w:firstLine="0" w:firstLineChars="0"/>
              <w:jc w:val="center"/>
              <w:rPr>
                <w:rFonts w:cs="宋体" w:asciiTheme="minorEastAsia" w:hAnsiTheme="minorEastAsia" w:eastAsiaTheme="minorEastAsia"/>
                <w:color w:val="000000"/>
                <w:kern w:val="0"/>
                <w:sz w:val="20"/>
                <w:szCs w:val="20"/>
              </w:rPr>
            </w:pPr>
          </w:p>
        </w:tc>
        <w:tc>
          <w:tcPr>
            <w:tcW w:w="291" w:type="pct"/>
            <w:vMerge w:val="continue"/>
            <w:tcBorders>
              <w:left w:val="nil"/>
              <w:bottom w:val="single" w:color="auto" w:sz="4" w:space="0"/>
              <w:right w:val="single" w:color="auto" w:sz="4" w:space="0"/>
            </w:tcBorders>
            <w:shd w:val="clear" w:color="auto" w:fill="auto"/>
            <w:vAlign w:val="center"/>
          </w:tcPr>
          <w:p w14:paraId="4D79D0D4">
            <w:pPr>
              <w:widowControl/>
              <w:spacing w:line="240" w:lineRule="auto"/>
              <w:ind w:firstLine="0" w:firstLineChars="0"/>
              <w:jc w:val="center"/>
              <w:rPr>
                <w:rFonts w:cs="宋体" w:asciiTheme="minorEastAsia" w:hAnsiTheme="minorEastAsia" w:eastAsiaTheme="minorEastAsia"/>
                <w:color w:val="000000"/>
                <w:kern w:val="0"/>
                <w:sz w:val="20"/>
                <w:szCs w:val="20"/>
              </w:rPr>
            </w:pPr>
          </w:p>
        </w:tc>
        <w:tc>
          <w:tcPr>
            <w:tcW w:w="291" w:type="pct"/>
            <w:vMerge w:val="continue"/>
            <w:tcBorders>
              <w:left w:val="nil"/>
              <w:bottom w:val="single" w:color="auto" w:sz="4" w:space="0"/>
              <w:right w:val="single" w:color="auto" w:sz="4" w:space="0"/>
            </w:tcBorders>
            <w:shd w:val="clear" w:color="auto" w:fill="auto"/>
            <w:vAlign w:val="center"/>
          </w:tcPr>
          <w:p w14:paraId="1B0C25E0">
            <w:pPr>
              <w:widowControl/>
              <w:spacing w:line="240" w:lineRule="auto"/>
              <w:ind w:firstLine="0" w:firstLineChars="0"/>
              <w:jc w:val="center"/>
              <w:rPr>
                <w:rFonts w:cs="宋体" w:asciiTheme="minorEastAsia" w:hAnsiTheme="minorEastAsia" w:eastAsiaTheme="minorEastAsia"/>
                <w:color w:val="000000"/>
                <w:kern w:val="0"/>
                <w:sz w:val="20"/>
                <w:szCs w:val="20"/>
              </w:rPr>
            </w:pPr>
          </w:p>
        </w:tc>
        <w:tc>
          <w:tcPr>
            <w:tcW w:w="271" w:type="pct"/>
            <w:tcBorders>
              <w:top w:val="nil"/>
              <w:left w:val="nil"/>
              <w:bottom w:val="single" w:color="auto" w:sz="4" w:space="0"/>
              <w:right w:val="single" w:color="auto" w:sz="4" w:space="0"/>
            </w:tcBorders>
            <w:shd w:val="clear" w:color="auto" w:fill="auto"/>
            <w:vAlign w:val="center"/>
          </w:tcPr>
          <w:p w14:paraId="2D1FC65F">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单工程最小</w:t>
            </w:r>
          </w:p>
        </w:tc>
        <w:tc>
          <w:tcPr>
            <w:tcW w:w="284" w:type="pct"/>
            <w:tcBorders>
              <w:top w:val="nil"/>
              <w:left w:val="nil"/>
              <w:bottom w:val="single" w:color="auto" w:sz="4" w:space="0"/>
              <w:right w:val="single" w:color="auto" w:sz="4" w:space="0"/>
            </w:tcBorders>
            <w:shd w:val="clear" w:color="auto" w:fill="auto"/>
            <w:vAlign w:val="center"/>
          </w:tcPr>
          <w:p w14:paraId="6456F240">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单工程最大</w:t>
            </w:r>
          </w:p>
        </w:tc>
        <w:tc>
          <w:tcPr>
            <w:tcW w:w="284" w:type="pct"/>
            <w:tcBorders>
              <w:top w:val="nil"/>
              <w:left w:val="nil"/>
              <w:bottom w:val="single" w:color="auto" w:sz="4" w:space="0"/>
              <w:right w:val="single" w:color="auto" w:sz="4" w:space="0"/>
            </w:tcBorders>
            <w:shd w:val="clear" w:color="auto" w:fill="auto"/>
            <w:vAlign w:val="center"/>
          </w:tcPr>
          <w:p w14:paraId="62E24A18">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平均厚度</w:t>
            </w:r>
          </w:p>
        </w:tc>
        <w:tc>
          <w:tcPr>
            <w:tcW w:w="292" w:type="pct"/>
            <w:tcBorders>
              <w:top w:val="nil"/>
              <w:left w:val="nil"/>
              <w:bottom w:val="single" w:color="auto" w:sz="4" w:space="0"/>
              <w:right w:val="single" w:color="auto" w:sz="4" w:space="0"/>
            </w:tcBorders>
            <w:shd w:val="clear" w:color="auto" w:fill="auto"/>
            <w:vAlign w:val="center"/>
          </w:tcPr>
          <w:p w14:paraId="740A1E7E">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变化</w:t>
            </w:r>
          </w:p>
          <w:p w14:paraId="7F12F8D5">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系数</w:t>
            </w:r>
          </w:p>
        </w:tc>
        <w:tc>
          <w:tcPr>
            <w:tcW w:w="278" w:type="pct"/>
            <w:tcBorders>
              <w:top w:val="nil"/>
              <w:left w:val="nil"/>
              <w:bottom w:val="single" w:color="auto" w:sz="4" w:space="0"/>
              <w:right w:val="single" w:color="auto" w:sz="4" w:space="0"/>
            </w:tcBorders>
            <w:shd w:val="clear" w:color="auto" w:fill="auto"/>
            <w:vAlign w:val="center"/>
          </w:tcPr>
          <w:p w14:paraId="07BB6608">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单工程最小</w:t>
            </w:r>
          </w:p>
        </w:tc>
        <w:tc>
          <w:tcPr>
            <w:tcW w:w="285" w:type="pct"/>
            <w:tcBorders>
              <w:top w:val="nil"/>
              <w:left w:val="nil"/>
              <w:bottom w:val="single" w:color="auto" w:sz="4" w:space="0"/>
              <w:right w:val="single" w:color="auto" w:sz="4" w:space="0"/>
            </w:tcBorders>
            <w:shd w:val="clear" w:color="auto" w:fill="auto"/>
            <w:vAlign w:val="center"/>
          </w:tcPr>
          <w:p w14:paraId="3DA54B99">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单工程最大</w:t>
            </w:r>
          </w:p>
        </w:tc>
        <w:tc>
          <w:tcPr>
            <w:tcW w:w="285" w:type="pct"/>
            <w:tcBorders>
              <w:top w:val="nil"/>
              <w:left w:val="nil"/>
              <w:bottom w:val="single" w:color="auto" w:sz="4" w:space="0"/>
              <w:right w:val="single" w:color="auto" w:sz="4" w:space="0"/>
            </w:tcBorders>
            <w:shd w:val="clear" w:color="auto" w:fill="auto"/>
            <w:vAlign w:val="center"/>
          </w:tcPr>
          <w:p w14:paraId="4AE8CEB2">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平均含量</w:t>
            </w:r>
          </w:p>
        </w:tc>
        <w:tc>
          <w:tcPr>
            <w:tcW w:w="291" w:type="pct"/>
            <w:tcBorders>
              <w:top w:val="nil"/>
              <w:left w:val="nil"/>
              <w:bottom w:val="single" w:color="auto" w:sz="4" w:space="0"/>
              <w:right w:val="single" w:color="auto" w:sz="4" w:space="0"/>
            </w:tcBorders>
            <w:shd w:val="clear" w:color="auto" w:fill="auto"/>
            <w:vAlign w:val="center"/>
          </w:tcPr>
          <w:p w14:paraId="610D5826">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变化</w:t>
            </w:r>
          </w:p>
          <w:p w14:paraId="4F1DFD9D">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系数</w:t>
            </w:r>
          </w:p>
        </w:tc>
        <w:tc>
          <w:tcPr>
            <w:tcW w:w="279" w:type="pct"/>
            <w:vMerge w:val="continue"/>
            <w:tcBorders>
              <w:top w:val="single" w:color="auto" w:sz="4" w:space="0"/>
              <w:left w:val="single" w:color="auto" w:sz="4" w:space="0"/>
              <w:bottom w:val="single" w:color="auto" w:sz="4" w:space="0"/>
              <w:right w:val="single" w:color="auto" w:sz="4" w:space="0"/>
            </w:tcBorders>
            <w:vAlign w:val="center"/>
          </w:tcPr>
          <w:p w14:paraId="666E6153">
            <w:pPr>
              <w:widowControl/>
              <w:spacing w:line="240" w:lineRule="auto"/>
              <w:ind w:firstLine="0" w:firstLineChars="0"/>
              <w:jc w:val="center"/>
              <w:rPr>
                <w:rFonts w:cs="宋体" w:asciiTheme="minorEastAsia" w:hAnsiTheme="minorEastAsia" w:eastAsiaTheme="minorEastAsia"/>
                <w:color w:val="000000"/>
                <w:kern w:val="0"/>
                <w:sz w:val="20"/>
                <w:szCs w:val="20"/>
              </w:rPr>
            </w:pPr>
          </w:p>
        </w:tc>
        <w:tc>
          <w:tcPr>
            <w:tcW w:w="291" w:type="pct"/>
            <w:vMerge w:val="continue"/>
            <w:tcBorders>
              <w:top w:val="single" w:color="auto" w:sz="4" w:space="0"/>
              <w:left w:val="single" w:color="auto" w:sz="4" w:space="0"/>
              <w:bottom w:val="single" w:color="auto" w:sz="4" w:space="0"/>
              <w:right w:val="single" w:color="auto" w:sz="4" w:space="0"/>
            </w:tcBorders>
            <w:vAlign w:val="center"/>
          </w:tcPr>
          <w:p w14:paraId="3C0C67DC">
            <w:pPr>
              <w:widowControl/>
              <w:spacing w:line="240" w:lineRule="auto"/>
              <w:ind w:firstLine="0" w:firstLineChars="0"/>
              <w:jc w:val="center"/>
              <w:rPr>
                <w:rFonts w:cs="宋体" w:asciiTheme="minorEastAsia" w:hAnsiTheme="minorEastAsia" w:eastAsiaTheme="minorEastAsia"/>
                <w:color w:val="000000"/>
                <w:kern w:val="0"/>
                <w:sz w:val="20"/>
                <w:szCs w:val="20"/>
              </w:rPr>
            </w:pPr>
          </w:p>
        </w:tc>
      </w:tr>
      <w:tr w14:paraId="7FA1831B">
        <w:tblPrEx>
          <w:tblCellMar>
            <w:top w:w="0" w:type="dxa"/>
            <w:left w:w="108" w:type="dxa"/>
            <w:bottom w:w="0" w:type="dxa"/>
            <w:right w:w="108" w:type="dxa"/>
          </w:tblCellMar>
        </w:tblPrEx>
        <w:trPr>
          <w:trHeight w:val="465" w:hRule="atLeast"/>
        </w:trPr>
        <w:tc>
          <w:tcPr>
            <w:tcW w:w="241" w:type="pct"/>
            <w:tcBorders>
              <w:top w:val="nil"/>
              <w:left w:val="single" w:color="auto" w:sz="4" w:space="0"/>
              <w:bottom w:val="single" w:color="auto" w:sz="4" w:space="0"/>
              <w:right w:val="single" w:color="auto" w:sz="4" w:space="0"/>
            </w:tcBorders>
            <w:shd w:val="clear" w:color="auto" w:fill="auto"/>
            <w:vAlign w:val="center"/>
          </w:tcPr>
          <w:p w14:paraId="448F7EF8">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①</w:t>
            </w:r>
          </w:p>
        </w:tc>
        <w:tc>
          <w:tcPr>
            <w:tcW w:w="253" w:type="pct"/>
            <w:tcBorders>
              <w:top w:val="nil"/>
              <w:left w:val="nil"/>
              <w:bottom w:val="single" w:color="auto" w:sz="4" w:space="0"/>
              <w:right w:val="single" w:color="auto" w:sz="4" w:space="0"/>
            </w:tcBorders>
            <w:shd w:val="clear" w:color="auto" w:fill="auto"/>
            <w:vAlign w:val="center"/>
          </w:tcPr>
          <w:p w14:paraId="1634508E">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97</w:t>
            </w:r>
          </w:p>
        </w:tc>
        <w:tc>
          <w:tcPr>
            <w:tcW w:w="357" w:type="pct"/>
            <w:tcBorders>
              <w:top w:val="nil"/>
              <w:left w:val="nil"/>
              <w:bottom w:val="single" w:color="auto" w:sz="4" w:space="0"/>
              <w:right w:val="single" w:color="auto" w:sz="4" w:space="0"/>
            </w:tcBorders>
            <w:shd w:val="clear" w:color="auto" w:fill="auto"/>
            <w:vAlign w:val="center"/>
          </w:tcPr>
          <w:p w14:paraId="53C4B8D1">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154～204</w:t>
            </w:r>
          </w:p>
        </w:tc>
        <w:tc>
          <w:tcPr>
            <w:tcW w:w="363" w:type="pct"/>
            <w:tcBorders>
              <w:top w:val="nil"/>
              <w:left w:val="nil"/>
              <w:bottom w:val="single" w:color="auto" w:sz="4" w:space="0"/>
              <w:right w:val="single" w:color="auto" w:sz="4" w:space="0"/>
            </w:tcBorders>
            <w:shd w:val="clear" w:color="auto" w:fill="auto"/>
            <w:vAlign w:val="center"/>
          </w:tcPr>
          <w:p w14:paraId="6348916B">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502.25～</w:t>
            </w:r>
            <w:r>
              <w:rPr>
                <w:rFonts w:asciiTheme="minorEastAsia" w:hAnsiTheme="minorEastAsia" w:eastAsiaTheme="minorEastAsia"/>
                <w:color w:val="000000"/>
                <w:kern w:val="0"/>
                <w:sz w:val="20"/>
                <w:szCs w:val="20"/>
              </w:rPr>
              <w:t>352.98</w:t>
            </w:r>
          </w:p>
        </w:tc>
        <w:tc>
          <w:tcPr>
            <w:tcW w:w="363" w:type="pct"/>
            <w:tcBorders>
              <w:top w:val="nil"/>
              <w:left w:val="nil"/>
              <w:bottom w:val="single" w:color="auto" w:sz="4" w:space="0"/>
              <w:right w:val="single" w:color="auto" w:sz="4" w:space="0"/>
            </w:tcBorders>
            <w:shd w:val="clear" w:color="auto" w:fill="auto"/>
            <w:vAlign w:val="center"/>
          </w:tcPr>
          <w:p w14:paraId="240EADEB">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69.60～</w:t>
            </w:r>
            <w:r>
              <w:rPr>
                <w:rFonts w:asciiTheme="minorEastAsia" w:hAnsiTheme="minorEastAsia" w:eastAsiaTheme="minorEastAsia"/>
                <w:color w:val="000000"/>
                <w:kern w:val="0"/>
                <w:sz w:val="20"/>
                <w:szCs w:val="20"/>
              </w:rPr>
              <w:t>226.80</w:t>
            </w:r>
          </w:p>
        </w:tc>
        <w:tc>
          <w:tcPr>
            <w:tcW w:w="291" w:type="pct"/>
            <w:tcBorders>
              <w:top w:val="nil"/>
              <w:left w:val="nil"/>
              <w:bottom w:val="single" w:color="auto" w:sz="4" w:space="0"/>
              <w:right w:val="single" w:color="auto" w:sz="4" w:space="0"/>
            </w:tcBorders>
            <w:shd w:val="clear" w:color="auto" w:fill="auto"/>
            <w:vAlign w:val="center"/>
          </w:tcPr>
          <w:p w14:paraId="63CBC21B">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180</w:t>
            </w:r>
          </w:p>
        </w:tc>
        <w:tc>
          <w:tcPr>
            <w:tcW w:w="291" w:type="pct"/>
            <w:tcBorders>
              <w:top w:val="nil"/>
              <w:left w:val="nil"/>
              <w:bottom w:val="single" w:color="auto" w:sz="4" w:space="0"/>
              <w:right w:val="single" w:color="auto" w:sz="4" w:space="0"/>
            </w:tcBorders>
            <w:shd w:val="clear" w:color="auto" w:fill="auto"/>
            <w:vAlign w:val="center"/>
          </w:tcPr>
          <w:p w14:paraId="64DB2131">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25～50</w:t>
            </w:r>
          </w:p>
        </w:tc>
        <w:tc>
          <w:tcPr>
            <w:tcW w:w="271" w:type="pct"/>
            <w:tcBorders>
              <w:top w:val="nil"/>
              <w:left w:val="nil"/>
              <w:bottom w:val="single" w:color="auto" w:sz="4" w:space="0"/>
              <w:right w:val="single" w:color="auto" w:sz="4" w:space="0"/>
            </w:tcBorders>
            <w:shd w:val="clear" w:color="auto" w:fill="auto"/>
            <w:vAlign w:val="center"/>
          </w:tcPr>
          <w:p w14:paraId="42EA79BA">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2.69</w:t>
            </w:r>
          </w:p>
        </w:tc>
        <w:tc>
          <w:tcPr>
            <w:tcW w:w="284" w:type="pct"/>
            <w:tcBorders>
              <w:top w:val="nil"/>
              <w:left w:val="nil"/>
              <w:bottom w:val="single" w:color="auto" w:sz="4" w:space="0"/>
              <w:right w:val="single" w:color="auto" w:sz="4" w:space="0"/>
            </w:tcBorders>
            <w:shd w:val="clear" w:color="auto" w:fill="auto"/>
            <w:vAlign w:val="center"/>
          </w:tcPr>
          <w:p w14:paraId="463B583E">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11.66</w:t>
            </w:r>
          </w:p>
        </w:tc>
        <w:tc>
          <w:tcPr>
            <w:tcW w:w="284" w:type="pct"/>
            <w:tcBorders>
              <w:top w:val="nil"/>
              <w:left w:val="nil"/>
              <w:bottom w:val="single" w:color="auto" w:sz="4" w:space="0"/>
              <w:right w:val="single" w:color="auto" w:sz="4" w:space="0"/>
            </w:tcBorders>
            <w:shd w:val="clear" w:color="auto" w:fill="auto"/>
            <w:vAlign w:val="center"/>
          </w:tcPr>
          <w:p w14:paraId="40C587FE">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7.93</w:t>
            </w:r>
          </w:p>
        </w:tc>
        <w:tc>
          <w:tcPr>
            <w:tcW w:w="292" w:type="pct"/>
            <w:tcBorders>
              <w:top w:val="nil"/>
              <w:left w:val="nil"/>
              <w:bottom w:val="single" w:color="auto" w:sz="4" w:space="0"/>
              <w:right w:val="single" w:color="auto" w:sz="4" w:space="0"/>
            </w:tcBorders>
            <w:shd w:val="clear" w:color="auto" w:fill="auto"/>
            <w:vAlign w:val="center"/>
          </w:tcPr>
          <w:p w14:paraId="529860D7">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41.34%</w:t>
            </w:r>
          </w:p>
        </w:tc>
        <w:tc>
          <w:tcPr>
            <w:tcW w:w="278" w:type="pct"/>
            <w:tcBorders>
              <w:top w:val="nil"/>
              <w:left w:val="nil"/>
              <w:bottom w:val="single" w:color="auto" w:sz="4" w:space="0"/>
              <w:right w:val="single" w:color="auto" w:sz="4" w:space="0"/>
            </w:tcBorders>
            <w:shd w:val="clear" w:color="auto" w:fill="auto"/>
            <w:vAlign w:val="center"/>
          </w:tcPr>
          <w:p w14:paraId="1E96483D">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48.98</w:t>
            </w:r>
          </w:p>
        </w:tc>
        <w:tc>
          <w:tcPr>
            <w:tcW w:w="285" w:type="pct"/>
            <w:tcBorders>
              <w:top w:val="nil"/>
              <w:left w:val="nil"/>
              <w:bottom w:val="single" w:color="auto" w:sz="4" w:space="0"/>
              <w:right w:val="single" w:color="auto" w:sz="4" w:space="0"/>
            </w:tcBorders>
            <w:shd w:val="clear" w:color="auto" w:fill="auto"/>
            <w:vAlign w:val="center"/>
          </w:tcPr>
          <w:p w14:paraId="163DC696">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90.34</w:t>
            </w:r>
          </w:p>
        </w:tc>
        <w:tc>
          <w:tcPr>
            <w:tcW w:w="285" w:type="pct"/>
            <w:tcBorders>
              <w:top w:val="nil"/>
              <w:left w:val="nil"/>
              <w:bottom w:val="single" w:color="auto" w:sz="4" w:space="0"/>
              <w:right w:val="single" w:color="auto" w:sz="4" w:space="0"/>
            </w:tcBorders>
            <w:shd w:val="clear" w:color="auto" w:fill="auto"/>
            <w:vAlign w:val="center"/>
          </w:tcPr>
          <w:p w14:paraId="2CB3886F">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81.04</w:t>
            </w:r>
          </w:p>
        </w:tc>
        <w:tc>
          <w:tcPr>
            <w:tcW w:w="291" w:type="pct"/>
            <w:tcBorders>
              <w:top w:val="nil"/>
              <w:left w:val="nil"/>
              <w:bottom w:val="single" w:color="auto" w:sz="4" w:space="0"/>
              <w:right w:val="single" w:color="auto" w:sz="4" w:space="0"/>
            </w:tcBorders>
            <w:shd w:val="clear" w:color="auto" w:fill="auto"/>
            <w:vAlign w:val="center"/>
          </w:tcPr>
          <w:p w14:paraId="3D497B36">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12.34%</w:t>
            </w:r>
          </w:p>
        </w:tc>
        <w:tc>
          <w:tcPr>
            <w:tcW w:w="279" w:type="pct"/>
            <w:tcBorders>
              <w:top w:val="nil"/>
              <w:left w:val="nil"/>
              <w:bottom w:val="single" w:color="auto" w:sz="4" w:space="0"/>
              <w:right w:val="single" w:color="auto" w:sz="4" w:space="0"/>
            </w:tcBorders>
            <w:shd w:val="clear" w:color="auto" w:fill="auto"/>
            <w:vAlign w:val="center"/>
          </w:tcPr>
          <w:p w14:paraId="1205BE82">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262</w:t>
            </w:r>
          </w:p>
        </w:tc>
        <w:tc>
          <w:tcPr>
            <w:tcW w:w="291" w:type="pct"/>
            <w:tcBorders>
              <w:top w:val="nil"/>
              <w:left w:val="nil"/>
              <w:bottom w:val="single" w:color="auto" w:sz="4" w:space="0"/>
              <w:right w:val="single" w:color="auto" w:sz="4" w:space="0"/>
            </w:tcBorders>
            <w:shd w:val="clear" w:color="auto" w:fill="auto"/>
            <w:vAlign w:val="center"/>
          </w:tcPr>
          <w:p w14:paraId="7E0EE85D">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57.00%</w:t>
            </w:r>
          </w:p>
        </w:tc>
      </w:tr>
      <w:tr w14:paraId="32D05FE8">
        <w:tblPrEx>
          <w:tblCellMar>
            <w:top w:w="0" w:type="dxa"/>
            <w:left w:w="108" w:type="dxa"/>
            <w:bottom w:w="0" w:type="dxa"/>
            <w:right w:w="108" w:type="dxa"/>
          </w:tblCellMar>
        </w:tblPrEx>
        <w:trPr>
          <w:trHeight w:val="465" w:hRule="atLeast"/>
        </w:trPr>
        <w:tc>
          <w:tcPr>
            <w:tcW w:w="241" w:type="pct"/>
            <w:tcBorders>
              <w:top w:val="nil"/>
              <w:left w:val="single" w:color="auto" w:sz="4" w:space="0"/>
              <w:bottom w:val="single" w:color="auto" w:sz="4" w:space="0"/>
              <w:right w:val="single" w:color="auto" w:sz="4" w:space="0"/>
            </w:tcBorders>
            <w:shd w:val="clear" w:color="auto" w:fill="auto"/>
            <w:vAlign w:val="center"/>
          </w:tcPr>
          <w:p w14:paraId="4B17CF36">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②</w:t>
            </w:r>
          </w:p>
        </w:tc>
        <w:tc>
          <w:tcPr>
            <w:tcW w:w="253" w:type="pct"/>
            <w:tcBorders>
              <w:top w:val="nil"/>
              <w:left w:val="nil"/>
              <w:bottom w:val="single" w:color="auto" w:sz="4" w:space="0"/>
              <w:right w:val="single" w:color="auto" w:sz="4" w:space="0"/>
            </w:tcBorders>
            <w:shd w:val="clear" w:color="auto" w:fill="auto"/>
            <w:vAlign w:val="center"/>
          </w:tcPr>
          <w:p w14:paraId="5CD7FE06">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34</w:t>
            </w:r>
          </w:p>
        </w:tc>
        <w:tc>
          <w:tcPr>
            <w:tcW w:w="357" w:type="pct"/>
            <w:tcBorders>
              <w:top w:val="nil"/>
              <w:left w:val="nil"/>
              <w:bottom w:val="single" w:color="auto" w:sz="4" w:space="0"/>
              <w:right w:val="single" w:color="auto" w:sz="4" w:space="0"/>
            </w:tcBorders>
            <w:shd w:val="clear" w:color="auto" w:fill="auto"/>
            <w:vAlign w:val="center"/>
          </w:tcPr>
          <w:p w14:paraId="78C99812">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68</w:t>
            </w:r>
          </w:p>
        </w:tc>
        <w:tc>
          <w:tcPr>
            <w:tcW w:w="363" w:type="pct"/>
            <w:tcBorders>
              <w:top w:val="nil"/>
              <w:left w:val="nil"/>
              <w:bottom w:val="single" w:color="auto" w:sz="4" w:space="0"/>
              <w:right w:val="single" w:color="auto" w:sz="4" w:space="0"/>
            </w:tcBorders>
            <w:shd w:val="clear" w:color="auto" w:fill="auto"/>
            <w:vAlign w:val="center"/>
          </w:tcPr>
          <w:p w14:paraId="0EB13D58">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423.70～449.60</w:t>
            </w:r>
          </w:p>
        </w:tc>
        <w:tc>
          <w:tcPr>
            <w:tcW w:w="363" w:type="pct"/>
            <w:tcBorders>
              <w:top w:val="nil"/>
              <w:left w:val="nil"/>
              <w:bottom w:val="single" w:color="auto" w:sz="4" w:space="0"/>
              <w:right w:val="single" w:color="auto" w:sz="4" w:space="0"/>
            </w:tcBorders>
            <w:shd w:val="clear" w:color="auto" w:fill="auto"/>
            <w:vAlign w:val="center"/>
          </w:tcPr>
          <w:p w14:paraId="6E0865F3">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116.61～139.86</w:t>
            </w:r>
          </w:p>
        </w:tc>
        <w:tc>
          <w:tcPr>
            <w:tcW w:w="291" w:type="pct"/>
            <w:tcBorders>
              <w:top w:val="nil"/>
              <w:left w:val="nil"/>
              <w:bottom w:val="single" w:color="auto" w:sz="4" w:space="0"/>
              <w:right w:val="single" w:color="auto" w:sz="4" w:space="0"/>
            </w:tcBorders>
            <w:shd w:val="clear" w:color="auto" w:fill="auto"/>
            <w:vAlign w:val="center"/>
          </w:tcPr>
          <w:p w14:paraId="18992849">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180</w:t>
            </w:r>
          </w:p>
        </w:tc>
        <w:tc>
          <w:tcPr>
            <w:tcW w:w="291" w:type="pct"/>
            <w:tcBorders>
              <w:top w:val="nil"/>
              <w:left w:val="nil"/>
              <w:bottom w:val="single" w:color="auto" w:sz="4" w:space="0"/>
              <w:right w:val="single" w:color="auto" w:sz="4" w:space="0"/>
            </w:tcBorders>
            <w:shd w:val="clear" w:color="auto" w:fill="auto"/>
            <w:vAlign w:val="center"/>
          </w:tcPr>
          <w:p w14:paraId="3F6C0A57">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45</w:t>
            </w:r>
          </w:p>
        </w:tc>
        <w:tc>
          <w:tcPr>
            <w:tcW w:w="271" w:type="pct"/>
            <w:tcBorders>
              <w:top w:val="nil"/>
              <w:left w:val="nil"/>
              <w:bottom w:val="single" w:color="auto" w:sz="4" w:space="0"/>
              <w:right w:val="single" w:color="auto" w:sz="4" w:space="0"/>
            </w:tcBorders>
            <w:shd w:val="clear" w:color="auto" w:fill="auto"/>
            <w:vAlign w:val="center"/>
          </w:tcPr>
          <w:p w14:paraId="59720F53">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3.85</w:t>
            </w:r>
          </w:p>
        </w:tc>
        <w:tc>
          <w:tcPr>
            <w:tcW w:w="284" w:type="pct"/>
            <w:tcBorders>
              <w:top w:val="nil"/>
              <w:left w:val="nil"/>
              <w:bottom w:val="single" w:color="auto" w:sz="4" w:space="0"/>
              <w:right w:val="single" w:color="auto" w:sz="4" w:space="0"/>
            </w:tcBorders>
            <w:shd w:val="clear" w:color="auto" w:fill="auto"/>
            <w:vAlign w:val="center"/>
          </w:tcPr>
          <w:p w14:paraId="0966346C">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3.85</w:t>
            </w:r>
          </w:p>
        </w:tc>
        <w:tc>
          <w:tcPr>
            <w:tcW w:w="284" w:type="pct"/>
            <w:tcBorders>
              <w:top w:val="nil"/>
              <w:left w:val="nil"/>
              <w:bottom w:val="single" w:color="auto" w:sz="4" w:space="0"/>
              <w:right w:val="single" w:color="auto" w:sz="4" w:space="0"/>
            </w:tcBorders>
            <w:shd w:val="clear" w:color="auto" w:fill="auto"/>
            <w:vAlign w:val="center"/>
          </w:tcPr>
          <w:p w14:paraId="133580A9">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3.85</w:t>
            </w:r>
          </w:p>
        </w:tc>
        <w:tc>
          <w:tcPr>
            <w:tcW w:w="292" w:type="pct"/>
            <w:tcBorders>
              <w:top w:val="nil"/>
              <w:left w:val="nil"/>
              <w:bottom w:val="single" w:color="auto" w:sz="4" w:space="0"/>
              <w:right w:val="single" w:color="auto" w:sz="4" w:space="0"/>
            </w:tcBorders>
            <w:shd w:val="clear" w:color="auto" w:fill="auto"/>
            <w:vAlign w:val="center"/>
          </w:tcPr>
          <w:p w14:paraId="71509CCA">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0</w:t>
            </w:r>
          </w:p>
        </w:tc>
        <w:tc>
          <w:tcPr>
            <w:tcW w:w="278" w:type="pct"/>
            <w:tcBorders>
              <w:top w:val="nil"/>
              <w:left w:val="nil"/>
              <w:bottom w:val="single" w:color="auto" w:sz="4" w:space="0"/>
              <w:right w:val="single" w:color="auto" w:sz="4" w:space="0"/>
            </w:tcBorders>
            <w:shd w:val="clear" w:color="auto" w:fill="auto"/>
            <w:vAlign w:val="center"/>
          </w:tcPr>
          <w:p w14:paraId="074F6205">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75.06</w:t>
            </w:r>
          </w:p>
        </w:tc>
        <w:tc>
          <w:tcPr>
            <w:tcW w:w="285" w:type="pct"/>
            <w:tcBorders>
              <w:top w:val="nil"/>
              <w:left w:val="nil"/>
              <w:bottom w:val="single" w:color="auto" w:sz="4" w:space="0"/>
              <w:right w:val="single" w:color="auto" w:sz="4" w:space="0"/>
            </w:tcBorders>
            <w:shd w:val="clear" w:color="auto" w:fill="auto"/>
            <w:vAlign w:val="center"/>
          </w:tcPr>
          <w:p w14:paraId="1CC0A2CE">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75.06</w:t>
            </w:r>
          </w:p>
        </w:tc>
        <w:tc>
          <w:tcPr>
            <w:tcW w:w="285" w:type="pct"/>
            <w:tcBorders>
              <w:top w:val="nil"/>
              <w:left w:val="nil"/>
              <w:bottom w:val="single" w:color="auto" w:sz="4" w:space="0"/>
              <w:right w:val="single" w:color="auto" w:sz="4" w:space="0"/>
            </w:tcBorders>
            <w:shd w:val="clear" w:color="auto" w:fill="auto"/>
            <w:vAlign w:val="center"/>
          </w:tcPr>
          <w:p w14:paraId="4D620BCA">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75.06</w:t>
            </w:r>
          </w:p>
        </w:tc>
        <w:tc>
          <w:tcPr>
            <w:tcW w:w="291" w:type="pct"/>
            <w:tcBorders>
              <w:top w:val="nil"/>
              <w:left w:val="nil"/>
              <w:bottom w:val="single" w:color="auto" w:sz="4" w:space="0"/>
              <w:right w:val="single" w:color="auto" w:sz="4" w:space="0"/>
            </w:tcBorders>
            <w:shd w:val="clear" w:color="auto" w:fill="auto"/>
            <w:vAlign w:val="center"/>
          </w:tcPr>
          <w:p w14:paraId="24A11191">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0</w:t>
            </w:r>
          </w:p>
        </w:tc>
        <w:tc>
          <w:tcPr>
            <w:tcW w:w="279" w:type="pct"/>
            <w:tcBorders>
              <w:top w:val="nil"/>
              <w:left w:val="nil"/>
              <w:bottom w:val="single" w:color="auto" w:sz="4" w:space="0"/>
              <w:right w:val="single" w:color="auto" w:sz="4" w:space="0"/>
            </w:tcBorders>
            <w:shd w:val="clear" w:color="auto" w:fill="auto"/>
            <w:vAlign w:val="center"/>
          </w:tcPr>
          <w:p w14:paraId="3FF568C2">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5</w:t>
            </w:r>
          </w:p>
        </w:tc>
        <w:tc>
          <w:tcPr>
            <w:tcW w:w="291" w:type="pct"/>
            <w:tcBorders>
              <w:top w:val="nil"/>
              <w:left w:val="nil"/>
              <w:bottom w:val="single" w:color="auto" w:sz="4" w:space="0"/>
              <w:right w:val="single" w:color="auto" w:sz="4" w:space="0"/>
            </w:tcBorders>
            <w:shd w:val="clear" w:color="auto" w:fill="auto"/>
            <w:vAlign w:val="center"/>
          </w:tcPr>
          <w:p w14:paraId="77AC1C2D">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1.00%</w:t>
            </w:r>
          </w:p>
        </w:tc>
      </w:tr>
      <w:tr w14:paraId="3323EBEB">
        <w:tblPrEx>
          <w:tblCellMar>
            <w:top w:w="0" w:type="dxa"/>
            <w:left w:w="108" w:type="dxa"/>
            <w:bottom w:w="0" w:type="dxa"/>
            <w:right w:w="108" w:type="dxa"/>
          </w:tblCellMar>
        </w:tblPrEx>
        <w:trPr>
          <w:trHeight w:val="465" w:hRule="atLeast"/>
        </w:trPr>
        <w:tc>
          <w:tcPr>
            <w:tcW w:w="241" w:type="pct"/>
            <w:tcBorders>
              <w:top w:val="nil"/>
              <w:left w:val="single" w:color="auto" w:sz="4" w:space="0"/>
              <w:bottom w:val="single" w:color="auto" w:sz="4" w:space="0"/>
              <w:right w:val="single" w:color="auto" w:sz="4" w:space="0"/>
            </w:tcBorders>
            <w:shd w:val="clear" w:color="auto" w:fill="auto"/>
            <w:vAlign w:val="center"/>
          </w:tcPr>
          <w:p w14:paraId="65B3F543">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③</w:t>
            </w:r>
          </w:p>
        </w:tc>
        <w:tc>
          <w:tcPr>
            <w:tcW w:w="253" w:type="pct"/>
            <w:tcBorders>
              <w:top w:val="nil"/>
              <w:left w:val="nil"/>
              <w:bottom w:val="single" w:color="auto" w:sz="4" w:space="0"/>
              <w:right w:val="single" w:color="auto" w:sz="4" w:space="0"/>
            </w:tcBorders>
            <w:shd w:val="clear" w:color="auto" w:fill="auto"/>
            <w:vAlign w:val="center"/>
          </w:tcPr>
          <w:p w14:paraId="0E70770B">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36</w:t>
            </w:r>
          </w:p>
        </w:tc>
        <w:tc>
          <w:tcPr>
            <w:tcW w:w="357" w:type="pct"/>
            <w:tcBorders>
              <w:top w:val="nil"/>
              <w:left w:val="nil"/>
              <w:bottom w:val="single" w:color="auto" w:sz="4" w:space="0"/>
              <w:right w:val="single" w:color="auto" w:sz="4" w:space="0"/>
            </w:tcBorders>
            <w:shd w:val="clear" w:color="auto" w:fill="auto"/>
            <w:vAlign w:val="center"/>
          </w:tcPr>
          <w:p w14:paraId="28A6853C">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100</w:t>
            </w:r>
          </w:p>
        </w:tc>
        <w:tc>
          <w:tcPr>
            <w:tcW w:w="363" w:type="pct"/>
            <w:tcBorders>
              <w:top w:val="nil"/>
              <w:left w:val="nil"/>
              <w:bottom w:val="single" w:color="auto" w:sz="4" w:space="0"/>
              <w:right w:val="single" w:color="auto" w:sz="4" w:space="0"/>
            </w:tcBorders>
            <w:shd w:val="clear" w:color="auto" w:fill="auto"/>
            <w:vAlign w:val="center"/>
          </w:tcPr>
          <w:p w14:paraId="41E8E6EA">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424.40～460.61</w:t>
            </w:r>
          </w:p>
        </w:tc>
        <w:tc>
          <w:tcPr>
            <w:tcW w:w="363" w:type="pct"/>
            <w:tcBorders>
              <w:top w:val="nil"/>
              <w:left w:val="nil"/>
              <w:bottom w:val="single" w:color="auto" w:sz="4" w:space="0"/>
              <w:right w:val="single" w:color="auto" w:sz="4" w:space="0"/>
            </w:tcBorders>
            <w:shd w:val="clear" w:color="auto" w:fill="auto"/>
            <w:vAlign w:val="center"/>
          </w:tcPr>
          <w:p w14:paraId="42E0F34C">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105.18～140.02</w:t>
            </w:r>
          </w:p>
        </w:tc>
        <w:tc>
          <w:tcPr>
            <w:tcW w:w="291" w:type="pct"/>
            <w:tcBorders>
              <w:top w:val="nil"/>
              <w:left w:val="nil"/>
              <w:bottom w:val="single" w:color="auto" w:sz="4" w:space="0"/>
              <w:right w:val="single" w:color="auto" w:sz="4" w:space="0"/>
            </w:tcBorders>
            <w:shd w:val="clear" w:color="auto" w:fill="auto"/>
            <w:vAlign w:val="center"/>
          </w:tcPr>
          <w:p w14:paraId="0AE5B606">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180</w:t>
            </w:r>
          </w:p>
        </w:tc>
        <w:tc>
          <w:tcPr>
            <w:tcW w:w="291" w:type="pct"/>
            <w:tcBorders>
              <w:top w:val="nil"/>
              <w:left w:val="nil"/>
              <w:bottom w:val="single" w:color="auto" w:sz="4" w:space="0"/>
              <w:right w:val="single" w:color="auto" w:sz="4" w:space="0"/>
            </w:tcBorders>
            <w:shd w:val="clear" w:color="auto" w:fill="auto"/>
            <w:vAlign w:val="center"/>
          </w:tcPr>
          <w:p w14:paraId="395D96CF">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45</w:t>
            </w:r>
          </w:p>
        </w:tc>
        <w:tc>
          <w:tcPr>
            <w:tcW w:w="271" w:type="pct"/>
            <w:tcBorders>
              <w:top w:val="nil"/>
              <w:left w:val="nil"/>
              <w:bottom w:val="single" w:color="auto" w:sz="4" w:space="0"/>
              <w:right w:val="single" w:color="auto" w:sz="4" w:space="0"/>
            </w:tcBorders>
            <w:shd w:val="clear" w:color="auto" w:fill="auto"/>
            <w:vAlign w:val="center"/>
          </w:tcPr>
          <w:p w14:paraId="6BEFD6AD">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2.54</w:t>
            </w:r>
          </w:p>
        </w:tc>
        <w:tc>
          <w:tcPr>
            <w:tcW w:w="284" w:type="pct"/>
            <w:tcBorders>
              <w:top w:val="nil"/>
              <w:left w:val="nil"/>
              <w:bottom w:val="single" w:color="auto" w:sz="4" w:space="0"/>
              <w:right w:val="single" w:color="auto" w:sz="4" w:space="0"/>
            </w:tcBorders>
            <w:shd w:val="clear" w:color="auto" w:fill="auto"/>
            <w:vAlign w:val="center"/>
          </w:tcPr>
          <w:p w14:paraId="4B2320BF">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2.54</w:t>
            </w:r>
          </w:p>
        </w:tc>
        <w:tc>
          <w:tcPr>
            <w:tcW w:w="284" w:type="pct"/>
            <w:tcBorders>
              <w:top w:val="nil"/>
              <w:left w:val="nil"/>
              <w:bottom w:val="single" w:color="auto" w:sz="4" w:space="0"/>
              <w:right w:val="single" w:color="auto" w:sz="4" w:space="0"/>
            </w:tcBorders>
            <w:shd w:val="clear" w:color="auto" w:fill="auto"/>
            <w:vAlign w:val="center"/>
          </w:tcPr>
          <w:p w14:paraId="5E6D9FC9">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2.54</w:t>
            </w:r>
          </w:p>
        </w:tc>
        <w:tc>
          <w:tcPr>
            <w:tcW w:w="292" w:type="pct"/>
            <w:tcBorders>
              <w:top w:val="nil"/>
              <w:left w:val="nil"/>
              <w:bottom w:val="single" w:color="auto" w:sz="4" w:space="0"/>
              <w:right w:val="single" w:color="auto" w:sz="4" w:space="0"/>
            </w:tcBorders>
            <w:shd w:val="clear" w:color="auto" w:fill="auto"/>
            <w:vAlign w:val="center"/>
          </w:tcPr>
          <w:p w14:paraId="61C2C2F3">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0</w:t>
            </w:r>
          </w:p>
        </w:tc>
        <w:tc>
          <w:tcPr>
            <w:tcW w:w="278" w:type="pct"/>
            <w:tcBorders>
              <w:top w:val="nil"/>
              <w:left w:val="nil"/>
              <w:bottom w:val="single" w:color="auto" w:sz="4" w:space="0"/>
              <w:right w:val="single" w:color="auto" w:sz="4" w:space="0"/>
            </w:tcBorders>
            <w:shd w:val="clear" w:color="auto" w:fill="auto"/>
            <w:vAlign w:val="center"/>
          </w:tcPr>
          <w:p w14:paraId="66C50D13">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77.43</w:t>
            </w:r>
          </w:p>
        </w:tc>
        <w:tc>
          <w:tcPr>
            <w:tcW w:w="285" w:type="pct"/>
            <w:tcBorders>
              <w:top w:val="nil"/>
              <w:left w:val="nil"/>
              <w:bottom w:val="single" w:color="auto" w:sz="4" w:space="0"/>
              <w:right w:val="single" w:color="auto" w:sz="4" w:space="0"/>
            </w:tcBorders>
            <w:shd w:val="clear" w:color="auto" w:fill="auto"/>
            <w:vAlign w:val="center"/>
          </w:tcPr>
          <w:p w14:paraId="3C27D24B">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77.43</w:t>
            </w:r>
          </w:p>
        </w:tc>
        <w:tc>
          <w:tcPr>
            <w:tcW w:w="285" w:type="pct"/>
            <w:tcBorders>
              <w:top w:val="nil"/>
              <w:left w:val="nil"/>
              <w:bottom w:val="single" w:color="auto" w:sz="4" w:space="0"/>
              <w:right w:val="single" w:color="auto" w:sz="4" w:space="0"/>
            </w:tcBorders>
            <w:shd w:val="clear" w:color="auto" w:fill="auto"/>
            <w:vAlign w:val="center"/>
          </w:tcPr>
          <w:p w14:paraId="65327B8B">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77.43</w:t>
            </w:r>
          </w:p>
        </w:tc>
        <w:tc>
          <w:tcPr>
            <w:tcW w:w="291" w:type="pct"/>
            <w:tcBorders>
              <w:top w:val="nil"/>
              <w:left w:val="nil"/>
              <w:bottom w:val="single" w:color="auto" w:sz="4" w:space="0"/>
              <w:right w:val="single" w:color="auto" w:sz="4" w:space="0"/>
            </w:tcBorders>
            <w:shd w:val="clear" w:color="auto" w:fill="auto"/>
            <w:vAlign w:val="center"/>
          </w:tcPr>
          <w:p w14:paraId="04ACAF14">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0</w:t>
            </w:r>
          </w:p>
        </w:tc>
        <w:tc>
          <w:tcPr>
            <w:tcW w:w="279" w:type="pct"/>
            <w:tcBorders>
              <w:top w:val="nil"/>
              <w:left w:val="nil"/>
              <w:bottom w:val="single" w:color="auto" w:sz="4" w:space="0"/>
              <w:right w:val="single" w:color="auto" w:sz="4" w:space="0"/>
            </w:tcBorders>
            <w:shd w:val="clear" w:color="auto" w:fill="auto"/>
            <w:vAlign w:val="center"/>
          </w:tcPr>
          <w:p w14:paraId="7FDBE840">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6</w:t>
            </w:r>
          </w:p>
        </w:tc>
        <w:tc>
          <w:tcPr>
            <w:tcW w:w="291" w:type="pct"/>
            <w:tcBorders>
              <w:top w:val="nil"/>
              <w:left w:val="nil"/>
              <w:bottom w:val="single" w:color="auto" w:sz="4" w:space="0"/>
              <w:right w:val="single" w:color="auto" w:sz="4" w:space="0"/>
            </w:tcBorders>
            <w:shd w:val="clear" w:color="auto" w:fill="auto"/>
            <w:vAlign w:val="center"/>
          </w:tcPr>
          <w:p w14:paraId="43CCA1BB">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1.00%</w:t>
            </w:r>
          </w:p>
        </w:tc>
      </w:tr>
      <w:tr w14:paraId="19FC1658">
        <w:tblPrEx>
          <w:tblCellMar>
            <w:top w:w="0" w:type="dxa"/>
            <w:left w:w="108" w:type="dxa"/>
            <w:bottom w:w="0" w:type="dxa"/>
            <w:right w:w="108" w:type="dxa"/>
          </w:tblCellMar>
        </w:tblPrEx>
        <w:trPr>
          <w:trHeight w:val="465" w:hRule="atLeast"/>
        </w:trPr>
        <w:tc>
          <w:tcPr>
            <w:tcW w:w="241" w:type="pct"/>
            <w:tcBorders>
              <w:top w:val="nil"/>
              <w:left w:val="single" w:color="auto" w:sz="4" w:space="0"/>
              <w:bottom w:val="single" w:color="auto" w:sz="4" w:space="0"/>
              <w:right w:val="single" w:color="auto" w:sz="4" w:space="0"/>
            </w:tcBorders>
            <w:shd w:val="clear" w:color="auto" w:fill="auto"/>
            <w:vAlign w:val="center"/>
          </w:tcPr>
          <w:p w14:paraId="12A5D374">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④</w:t>
            </w:r>
          </w:p>
        </w:tc>
        <w:tc>
          <w:tcPr>
            <w:tcW w:w="253" w:type="pct"/>
            <w:tcBorders>
              <w:top w:val="nil"/>
              <w:left w:val="nil"/>
              <w:bottom w:val="single" w:color="auto" w:sz="4" w:space="0"/>
              <w:right w:val="single" w:color="auto" w:sz="4" w:space="0"/>
            </w:tcBorders>
            <w:shd w:val="clear" w:color="auto" w:fill="auto"/>
            <w:vAlign w:val="center"/>
          </w:tcPr>
          <w:p w14:paraId="27C54A57">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140</w:t>
            </w:r>
          </w:p>
        </w:tc>
        <w:tc>
          <w:tcPr>
            <w:tcW w:w="357" w:type="pct"/>
            <w:tcBorders>
              <w:top w:val="nil"/>
              <w:left w:val="nil"/>
              <w:bottom w:val="single" w:color="auto" w:sz="4" w:space="0"/>
              <w:right w:val="single" w:color="auto" w:sz="4" w:space="0"/>
            </w:tcBorders>
            <w:shd w:val="clear" w:color="auto" w:fill="auto"/>
            <w:vAlign w:val="center"/>
          </w:tcPr>
          <w:p w14:paraId="121042D7">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107～</w:t>
            </w:r>
            <w:r>
              <w:rPr>
                <w:rFonts w:asciiTheme="minorEastAsia" w:hAnsiTheme="minorEastAsia" w:eastAsiaTheme="minorEastAsia"/>
                <w:color w:val="000000"/>
                <w:kern w:val="0"/>
                <w:sz w:val="20"/>
                <w:szCs w:val="20"/>
              </w:rPr>
              <w:t>156</w:t>
            </w:r>
          </w:p>
        </w:tc>
        <w:tc>
          <w:tcPr>
            <w:tcW w:w="363" w:type="pct"/>
            <w:tcBorders>
              <w:top w:val="nil"/>
              <w:left w:val="nil"/>
              <w:bottom w:val="single" w:color="auto" w:sz="4" w:space="0"/>
              <w:right w:val="single" w:color="auto" w:sz="4" w:space="0"/>
            </w:tcBorders>
            <w:shd w:val="clear" w:color="auto" w:fill="auto"/>
            <w:vAlign w:val="center"/>
          </w:tcPr>
          <w:p w14:paraId="4083A1D0">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526.31～</w:t>
            </w:r>
            <w:r>
              <w:rPr>
                <w:rFonts w:asciiTheme="minorEastAsia" w:hAnsiTheme="minorEastAsia" w:eastAsiaTheme="minorEastAsia"/>
                <w:color w:val="000000"/>
                <w:kern w:val="0"/>
                <w:sz w:val="20"/>
                <w:szCs w:val="20"/>
              </w:rPr>
              <w:t>440.07</w:t>
            </w:r>
          </w:p>
        </w:tc>
        <w:tc>
          <w:tcPr>
            <w:tcW w:w="363" w:type="pct"/>
            <w:tcBorders>
              <w:top w:val="nil"/>
              <w:left w:val="nil"/>
              <w:bottom w:val="single" w:color="auto" w:sz="4" w:space="0"/>
              <w:right w:val="single" w:color="auto" w:sz="4" w:space="0"/>
            </w:tcBorders>
            <w:shd w:val="clear" w:color="auto" w:fill="auto"/>
            <w:vAlign w:val="center"/>
          </w:tcPr>
          <w:p w14:paraId="64202BDD">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41.90～</w:t>
            </w:r>
            <w:r>
              <w:rPr>
                <w:rFonts w:asciiTheme="minorEastAsia" w:hAnsiTheme="minorEastAsia" w:eastAsiaTheme="minorEastAsia"/>
                <w:color w:val="000000"/>
                <w:kern w:val="0"/>
                <w:sz w:val="20"/>
                <w:szCs w:val="20"/>
              </w:rPr>
              <w:t>139.40</w:t>
            </w:r>
          </w:p>
        </w:tc>
        <w:tc>
          <w:tcPr>
            <w:tcW w:w="291" w:type="pct"/>
            <w:tcBorders>
              <w:top w:val="nil"/>
              <w:left w:val="nil"/>
              <w:bottom w:val="single" w:color="auto" w:sz="4" w:space="0"/>
              <w:right w:val="single" w:color="auto" w:sz="4" w:space="0"/>
            </w:tcBorders>
            <w:shd w:val="clear" w:color="auto" w:fill="auto"/>
            <w:vAlign w:val="center"/>
          </w:tcPr>
          <w:p w14:paraId="5A9CE4CC">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180</w:t>
            </w:r>
          </w:p>
        </w:tc>
        <w:tc>
          <w:tcPr>
            <w:tcW w:w="291" w:type="pct"/>
            <w:tcBorders>
              <w:top w:val="nil"/>
              <w:left w:val="nil"/>
              <w:bottom w:val="single" w:color="auto" w:sz="4" w:space="0"/>
              <w:right w:val="single" w:color="auto" w:sz="4" w:space="0"/>
            </w:tcBorders>
            <w:shd w:val="clear" w:color="auto" w:fill="auto"/>
            <w:vAlign w:val="center"/>
          </w:tcPr>
          <w:p w14:paraId="7A1A660F">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23～50</w:t>
            </w:r>
          </w:p>
        </w:tc>
        <w:tc>
          <w:tcPr>
            <w:tcW w:w="271" w:type="pct"/>
            <w:tcBorders>
              <w:top w:val="nil"/>
              <w:left w:val="nil"/>
              <w:bottom w:val="single" w:color="auto" w:sz="4" w:space="0"/>
              <w:right w:val="single" w:color="auto" w:sz="4" w:space="0"/>
            </w:tcBorders>
            <w:shd w:val="clear" w:color="auto" w:fill="auto"/>
            <w:vAlign w:val="center"/>
          </w:tcPr>
          <w:p w14:paraId="05386B17">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0.71</w:t>
            </w:r>
          </w:p>
        </w:tc>
        <w:tc>
          <w:tcPr>
            <w:tcW w:w="284" w:type="pct"/>
            <w:tcBorders>
              <w:top w:val="nil"/>
              <w:left w:val="nil"/>
              <w:bottom w:val="single" w:color="auto" w:sz="4" w:space="0"/>
              <w:right w:val="single" w:color="auto" w:sz="4" w:space="0"/>
            </w:tcBorders>
            <w:shd w:val="clear" w:color="auto" w:fill="auto"/>
            <w:vAlign w:val="center"/>
          </w:tcPr>
          <w:p w14:paraId="05BDB2DB">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5.11</w:t>
            </w:r>
          </w:p>
        </w:tc>
        <w:tc>
          <w:tcPr>
            <w:tcW w:w="284" w:type="pct"/>
            <w:tcBorders>
              <w:top w:val="nil"/>
              <w:left w:val="nil"/>
              <w:bottom w:val="single" w:color="auto" w:sz="4" w:space="0"/>
              <w:right w:val="single" w:color="auto" w:sz="4" w:space="0"/>
            </w:tcBorders>
            <w:shd w:val="clear" w:color="auto" w:fill="auto"/>
            <w:vAlign w:val="center"/>
          </w:tcPr>
          <w:p w14:paraId="7F1B9144">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2.34</w:t>
            </w:r>
          </w:p>
        </w:tc>
        <w:tc>
          <w:tcPr>
            <w:tcW w:w="292" w:type="pct"/>
            <w:tcBorders>
              <w:top w:val="nil"/>
              <w:left w:val="nil"/>
              <w:bottom w:val="single" w:color="auto" w:sz="4" w:space="0"/>
              <w:right w:val="single" w:color="auto" w:sz="4" w:space="0"/>
            </w:tcBorders>
            <w:shd w:val="clear" w:color="auto" w:fill="auto"/>
            <w:vAlign w:val="center"/>
          </w:tcPr>
          <w:p w14:paraId="5F1DAC0C">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63.78%</w:t>
            </w:r>
          </w:p>
        </w:tc>
        <w:tc>
          <w:tcPr>
            <w:tcW w:w="278" w:type="pct"/>
            <w:tcBorders>
              <w:top w:val="nil"/>
              <w:left w:val="nil"/>
              <w:bottom w:val="single" w:color="auto" w:sz="4" w:space="0"/>
              <w:right w:val="single" w:color="auto" w:sz="4" w:space="0"/>
            </w:tcBorders>
            <w:shd w:val="clear" w:color="auto" w:fill="auto"/>
            <w:vAlign w:val="center"/>
          </w:tcPr>
          <w:p w14:paraId="3B7B268F">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49.50</w:t>
            </w:r>
          </w:p>
        </w:tc>
        <w:tc>
          <w:tcPr>
            <w:tcW w:w="285" w:type="pct"/>
            <w:tcBorders>
              <w:top w:val="nil"/>
              <w:left w:val="nil"/>
              <w:bottom w:val="single" w:color="auto" w:sz="4" w:space="0"/>
              <w:right w:val="single" w:color="auto" w:sz="4" w:space="0"/>
            </w:tcBorders>
            <w:shd w:val="clear" w:color="auto" w:fill="auto"/>
            <w:vAlign w:val="center"/>
          </w:tcPr>
          <w:p w14:paraId="78C809AE">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88.10</w:t>
            </w:r>
          </w:p>
        </w:tc>
        <w:tc>
          <w:tcPr>
            <w:tcW w:w="285" w:type="pct"/>
            <w:tcBorders>
              <w:top w:val="nil"/>
              <w:left w:val="nil"/>
              <w:bottom w:val="single" w:color="auto" w:sz="4" w:space="0"/>
              <w:right w:val="single" w:color="auto" w:sz="4" w:space="0"/>
            </w:tcBorders>
            <w:shd w:val="clear" w:color="auto" w:fill="auto"/>
            <w:vAlign w:val="center"/>
          </w:tcPr>
          <w:p w14:paraId="2941E5D6">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78.82</w:t>
            </w:r>
          </w:p>
        </w:tc>
        <w:tc>
          <w:tcPr>
            <w:tcW w:w="291" w:type="pct"/>
            <w:tcBorders>
              <w:top w:val="nil"/>
              <w:left w:val="nil"/>
              <w:bottom w:val="single" w:color="auto" w:sz="4" w:space="0"/>
              <w:right w:val="single" w:color="auto" w:sz="4" w:space="0"/>
            </w:tcBorders>
            <w:shd w:val="clear" w:color="auto" w:fill="auto"/>
            <w:vAlign w:val="center"/>
          </w:tcPr>
          <w:p w14:paraId="5C7995A0">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14.11%</w:t>
            </w:r>
          </w:p>
        </w:tc>
        <w:tc>
          <w:tcPr>
            <w:tcW w:w="279" w:type="pct"/>
            <w:tcBorders>
              <w:top w:val="nil"/>
              <w:left w:val="nil"/>
              <w:bottom w:val="single" w:color="auto" w:sz="4" w:space="0"/>
              <w:right w:val="single" w:color="auto" w:sz="4" w:space="0"/>
            </w:tcBorders>
            <w:shd w:val="clear" w:color="auto" w:fill="auto"/>
            <w:vAlign w:val="center"/>
          </w:tcPr>
          <w:p w14:paraId="7A31E76D">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90</w:t>
            </w:r>
          </w:p>
        </w:tc>
        <w:tc>
          <w:tcPr>
            <w:tcW w:w="291" w:type="pct"/>
            <w:tcBorders>
              <w:top w:val="nil"/>
              <w:left w:val="nil"/>
              <w:bottom w:val="single" w:color="auto" w:sz="4" w:space="0"/>
              <w:right w:val="single" w:color="auto" w:sz="4" w:space="0"/>
            </w:tcBorders>
            <w:shd w:val="clear" w:color="auto" w:fill="auto"/>
            <w:vAlign w:val="center"/>
          </w:tcPr>
          <w:p w14:paraId="4690CBC9">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19.00%</w:t>
            </w:r>
          </w:p>
        </w:tc>
      </w:tr>
      <w:tr w14:paraId="50037655">
        <w:tblPrEx>
          <w:tblCellMar>
            <w:top w:w="0" w:type="dxa"/>
            <w:left w:w="108" w:type="dxa"/>
            <w:bottom w:w="0" w:type="dxa"/>
            <w:right w:w="108" w:type="dxa"/>
          </w:tblCellMar>
        </w:tblPrEx>
        <w:trPr>
          <w:trHeight w:val="465" w:hRule="atLeast"/>
        </w:trPr>
        <w:tc>
          <w:tcPr>
            <w:tcW w:w="241" w:type="pct"/>
            <w:tcBorders>
              <w:top w:val="nil"/>
              <w:left w:val="single" w:color="auto" w:sz="4" w:space="0"/>
              <w:bottom w:val="single" w:color="auto" w:sz="4" w:space="0"/>
              <w:right w:val="single" w:color="auto" w:sz="4" w:space="0"/>
            </w:tcBorders>
            <w:shd w:val="clear" w:color="auto" w:fill="auto"/>
            <w:vAlign w:val="center"/>
          </w:tcPr>
          <w:p w14:paraId="09D535DB">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⑤</w:t>
            </w:r>
          </w:p>
        </w:tc>
        <w:tc>
          <w:tcPr>
            <w:tcW w:w="253" w:type="pct"/>
            <w:tcBorders>
              <w:top w:val="nil"/>
              <w:left w:val="nil"/>
              <w:bottom w:val="single" w:color="auto" w:sz="4" w:space="0"/>
              <w:right w:val="single" w:color="auto" w:sz="4" w:space="0"/>
            </w:tcBorders>
            <w:shd w:val="clear" w:color="auto" w:fill="auto"/>
            <w:vAlign w:val="center"/>
          </w:tcPr>
          <w:p w14:paraId="1B29A4F9">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194</w:t>
            </w:r>
          </w:p>
        </w:tc>
        <w:tc>
          <w:tcPr>
            <w:tcW w:w="357" w:type="pct"/>
            <w:tcBorders>
              <w:top w:val="nil"/>
              <w:left w:val="nil"/>
              <w:bottom w:val="single" w:color="auto" w:sz="4" w:space="0"/>
              <w:right w:val="single" w:color="auto" w:sz="4" w:space="0"/>
            </w:tcBorders>
            <w:shd w:val="clear" w:color="auto" w:fill="auto"/>
            <w:vAlign w:val="center"/>
          </w:tcPr>
          <w:p w14:paraId="21FF8EED">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78～</w:t>
            </w:r>
            <w:r>
              <w:rPr>
                <w:rFonts w:asciiTheme="minorEastAsia" w:hAnsiTheme="minorEastAsia" w:eastAsiaTheme="minorEastAsia"/>
                <w:color w:val="000000"/>
                <w:kern w:val="0"/>
                <w:sz w:val="20"/>
                <w:szCs w:val="20"/>
              </w:rPr>
              <w:t>125</w:t>
            </w:r>
          </w:p>
        </w:tc>
        <w:tc>
          <w:tcPr>
            <w:tcW w:w="363" w:type="pct"/>
            <w:tcBorders>
              <w:top w:val="nil"/>
              <w:left w:val="nil"/>
              <w:bottom w:val="single" w:color="auto" w:sz="4" w:space="0"/>
              <w:right w:val="single" w:color="auto" w:sz="4" w:space="0"/>
            </w:tcBorders>
            <w:shd w:val="clear" w:color="auto" w:fill="auto"/>
            <w:vAlign w:val="center"/>
          </w:tcPr>
          <w:p w14:paraId="50EDCFEE">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563.68～</w:t>
            </w:r>
            <w:r>
              <w:rPr>
                <w:rFonts w:asciiTheme="minorEastAsia" w:hAnsiTheme="minorEastAsia" w:eastAsiaTheme="minorEastAsia"/>
                <w:color w:val="000000"/>
                <w:kern w:val="0"/>
                <w:sz w:val="20"/>
                <w:szCs w:val="20"/>
              </w:rPr>
              <w:t>438.04</w:t>
            </w:r>
          </w:p>
        </w:tc>
        <w:tc>
          <w:tcPr>
            <w:tcW w:w="363" w:type="pct"/>
            <w:tcBorders>
              <w:top w:val="nil"/>
              <w:left w:val="nil"/>
              <w:bottom w:val="single" w:color="auto" w:sz="4" w:space="0"/>
              <w:right w:val="single" w:color="auto" w:sz="4" w:space="0"/>
            </w:tcBorders>
            <w:shd w:val="clear" w:color="auto" w:fill="auto"/>
            <w:vAlign w:val="center"/>
          </w:tcPr>
          <w:p w14:paraId="3B983F3F">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0.00～</w:t>
            </w:r>
            <w:r>
              <w:rPr>
                <w:rFonts w:asciiTheme="minorEastAsia" w:hAnsiTheme="minorEastAsia" w:eastAsiaTheme="minorEastAsia"/>
                <w:color w:val="000000"/>
                <w:kern w:val="0"/>
                <w:sz w:val="20"/>
                <w:szCs w:val="20"/>
              </w:rPr>
              <w:t>141.10</w:t>
            </w:r>
          </w:p>
        </w:tc>
        <w:tc>
          <w:tcPr>
            <w:tcW w:w="291" w:type="pct"/>
            <w:tcBorders>
              <w:top w:val="nil"/>
              <w:left w:val="nil"/>
              <w:bottom w:val="single" w:color="auto" w:sz="4" w:space="0"/>
              <w:right w:val="single" w:color="auto" w:sz="4" w:space="0"/>
            </w:tcBorders>
            <w:shd w:val="clear" w:color="auto" w:fill="auto"/>
            <w:vAlign w:val="center"/>
          </w:tcPr>
          <w:p w14:paraId="69A2F15E">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203</w:t>
            </w:r>
          </w:p>
        </w:tc>
        <w:tc>
          <w:tcPr>
            <w:tcW w:w="291" w:type="pct"/>
            <w:tcBorders>
              <w:top w:val="nil"/>
              <w:left w:val="nil"/>
              <w:bottom w:val="single" w:color="auto" w:sz="4" w:space="0"/>
              <w:right w:val="single" w:color="auto" w:sz="4" w:space="0"/>
            </w:tcBorders>
            <w:shd w:val="clear" w:color="auto" w:fill="auto"/>
            <w:vAlign w:val="center"/>
          </w:tcPr>
          <w:p w14:paraId="6B85B828">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21～57</w:t>
            </w:r>
          </w:p>
        </w:tc>
        <w:tc>
          <w:tcPr>
            <w:tcW w:w="271" w:type="pct"/>
            <w:tcBorders>
              <w:top w:val="nil"/>
              <w:left w:val="nil"/>
              <w:bottom w:val="single" w:color="auto" w:sz="4" w:space="0"/>
              <w:right w:val="single" w:color="auto" w:sz="4" w:space="0"/>
            </w:tcBorders>
            <w:shd w:val="clear" w:color="auto" w:fill="auto"/>
            <w:vAlign w:val="center"/>
          </w:tcPr>
          <w:p w14:paraId="06300CB4">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0.75</w:t>
            </w:r>
          </w:p>
        </w:tc>
        <w:tc>
          <w:tcPr>
            <w:tcW w:w="284" w:type="pct"/>
            <w:tcBorders>
              <w:top w:val="nil"/>
              <w:left w:val="nil"/>
              <w:bottom w:val="single" w:color="auto" w:sz="4" w:space="0"/>
              <w:right w:val="single" w:color="auto" w:sz="4" w:space="0"/>
            </w:tcBorders>
            <w:shd w:val="clear" w:color="auto" w:fill="auto"/>
            <w:vAlign w:val="center"/>
          </w:tcPr>
          <w:p w14:paraId="72268C41">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5.39</w:t>
            </w:r>
          </w:p>
        </w:tc>
        <w:tc>
          <w:tcPr>
            <w:tcW w:w="284" w:type="pct"/>
            <w:tcBorders>
              <w:top w:val="nil"/>
              <w:left w:val="nil"/>
              <w:bottom w:val="single" w:color="auto" w:sz="4" w:space="0"/>
              <w:right w:val="single" w:color="auto" w:sz="4" w:space="0"/>
            </w:tcBorders>
            <w:shd w:val="clear" w:color="auto" w:fill="auto"/>
            <w:vAlign w:val="center"/>
          </w:tcPr>
          <w:p w14:paraId="7BA04A26">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2.41</w:t>
            </w:r>
          </w:p>
        </w:tc>
        <w:tc>
          <w:tcPr>
            <w:tcW w:w="292" w:type="pct"/>
            <w:tcBorders>
              <w:top w:val="nil"/>
              <w:left w:val="nil"/>
              <w:bottom w:val="single" w:color="auto" w:sz="4" w:space="0"/>
              <w:right w:val="single" w:color="auto" w:sz="4" w:space="0"/>
            </w:tcBorders>
            <w:shd w:val="clear" w:color="auto" w:fill="auto"/>
            <w:vAlign w:val="center"/>
          </w:tcPr>
          <w:p w14:paraId="796FC5C3">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61.01%</w:t>
            </w:r>
          </w:p>
        </w:tc>
        <w:tc>
          <w:tcPr>
            <w:tcW w:w="278" w:type="pct"/>
            <w:tcBorders>
              <w:top w:val="nil"/>
              <w:left w:val="nil"/>
              <w:bottom w:val="single" w:color="auto" w:sz="4" w:space="0"/>
              <w:right w:val="single" w:color="auto" w:sz="4" w:space="0"/>
            </w:tcBorders>
            <w:shd w:val="clear" w:color="auto" w:fill="auto"/>
            <w:vAlign w:val="center"/>
          </w:tcPr>
          <w:p w14:paraId="32127345">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50.19</w:t>
            </w:r>
          </w:p>
        </w:tc>
        <w:tc>
          <w:tcPr>
            <w:tcW w:w="285" w:type="pct"/>
            <w:tcBorders>
              <w:top w:val="nil"/>
              <w:left w:val="nil"/>
              <w:bottom w:val="single" w:color="auto" w:sz="4" w:space="0"/>
              <w:right w:val="single" w:color="auto" w:sz="4" w:space="0"/>
            </w:tcBorders>
            <w:shd w:val="clear" w:color="auto" w:fill="auto"/>
            <w:vAlign w:val="center"/>
          </w:tcPr>
          <w:p w14:paraId="536BAC6D">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88.37</w:t>
            </w:r>
          </w:p>
        </w:tc>
        <w:tc>
          <w:tcPr>
            <w:tcW w:w="285" w:type="pct"/>
            <w:tcBorders>
              <w:top w:val="nil"/>
              <w:left w:val="nil"/>
              <w:bottom w:val="single" w:color="auto" w:sz="4" w:space="0"/>
              <w:right w:val="single" w:color="auto" w:sz="4" w:space="0"/>
            </w:tcBorders>
            <w:shd w:val="clear" w:color="auto" w:fill="auto"/>
            <w:vAlign w:val="center"/>
          </w:tcPr>
          <w:p w14:paraId="6F8F2C61">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73.98</w:t>
            </w:r>
          </w:p>
        </w:tc>
        <w:tc>
          <w:tcPr>
            <w:tcW w:w="291" w:type="pct"/>
            <w:tcBorders>
              <w:top w:val="nil"/>
              <w:left w:val="nil"/>
              <w:bottom w:val="single" w:color="auto" w:sz="4" w:space="0"/>
              <w:right w:val="single" w:color="auto" w:sz="4" w:space="0"/>
            </w:tcBorders>
            <w:shd w:val="clear" w:color="auto" w:fill="auto"/>
            <w:vAlign w:val="center"/>
          </w:tcPr>
          <w:p w14:paraId="5AC8B5E1">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17.87%</w:t>
            </w:r>
          </w:p>
        </w:tc>
        <w:tc>
          <w:tcPr>
            <w:tcW w:w="279" w:type="pct"/>
            <w:tcBorders>
              <w:top w:val="nil"/>
              <w:left w:val="nil"/>
              <w:bottom w:val="single" w:color="auto" w:sz="4" w:space="0"/>
              <w:right w:val="single" w:color="auto" w:sz="4" w:space="0"/>
            </w:tcBorders>
            <w:shd w:val="clear" w:color="auto" w:fill="auto"/>
            <w:vAlign w:val="center"/>
          </w:tcPr>
          <w:p w14:paraId="527135D2">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83</w:t>
            </w:r>
          </w:p>
        </w:tc>
        <w:tc>
          <w:tcPr>
            <w:tcW w:w="291" w:type="pct"/>
            <w:tcBorders>
              <w:top w:val="nil"/>
              <w:left w:val="nil"/>
              <w:bottom w:val="single" w:color="auto" w:sz="4" w:space="0"/>
              <w:right w:val="single" w:color="auto" w:sz="4" w:space="0"/>
            </w:tcBorders>
            <w:shd w:val="clear" w:color="auto" w:fill="auto"/>
            <w:vAlign w:val="center"/>
          </w:tcPr>
          <w:p w14:paraId="22078B31">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18.00%</w:t>
            </w:r>
          </w:p>
        </w:tc>
      </w:tr>
      <w:tr w14:paraId="4A8326A4">
        <w:tblPrEx>
          <w:tblCellMar>
            <w:top w:w="0" w:type="dxa"/>
            <w:left w:w="108" w:type="dxa"/>
            <w:bottom w:w="0" w:type="dxa"/>
            <w:right w:w="108" w:type="dxa"/>
          </w:tblCellMar>
        </w:tblPrEx>
        <w:trPr>
          <w:trHeight w:val="465" w:hRule="atLeast"/>
        </w:trPr>
        <w:tc>
          <w:tcPr>
            <w:tcW w:w="241" w:type="pct"/>
            <w:tcBorders>
              <w:top w:val="nil"/>
              <w:left w:val="single" w:color="auto" w:sz="4" w:space="0"/>
              <w:bottom w:val="single" w:color="auto" w:sz="4" w:space="0"/>
              <w:right w:val="single" w:color="auto" w:sz="4" w:space="0"/>
            </w:tcBorders>
            <w:shd w:val="clear" w:color="auto" w:fill="auto"/>
            <w:vAlign w:val="center"/>
          </w:tcPr>
          <w:p w14:paraId="010421C2">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⑥</w:t>
            </w:r>
          </w:p>
        </w:tc>
        <w:tc>
          <w:tcPr>
            <w:tcW w:w="253" w:type="pct"/>
            <w:tcBorders>
              <w:top w:val="nil"/>
              <w:left w:val="nil"/>
              <w:bottom w:val="single" w:color="auto" w:sz="4" w:space="0"/>
              <w:right w:val="single" w:color="auto" w:sz="4" w:space="0"/>
            </w:tcBorders>
            <w:shd w:val="clear" w:color="auto" w:fill="auto"/>
            <w:vAlign w:val="center"/>
          </w:tcPr>
          <w:p w14:paraId="6EC4DE3D">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68</w:t>
            </w:r>
          </w:p>
        </w:tc>
        <w:tc>
          <w:tcPr>
            <w:tcW w:w="357" w:type="pct"/>
            <w:tcBorders>
              <w:top w:val="nil"/>
              <w:left w:val="nil"/>
              <w:bottom w:val="single" w:color="auto" w:sz="4" w:space="0"/>
              <w:right w:val="single" w:color="auto" w:sz="4" w:space="0"/>
            </w:tcBorders>
            <w:shd w:val="clear" w:color="auto" w:fill="auto"/>
            <w:vAlign w:val="center"/>
          </w:tcPr>
          <w:p w14:paraId="07768427">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60～</w:t>
            </w:r>
            <w:r>
              <w:rPr>
                <w:rFonts w:asciiTheme="minorEastAsia" w:hAnsiTheme="minorEastAsia" w:eastAsiaTheme="minorEastAsia"/>
                <w:color w:val="000000"/>
                <w:kern w:val="0"/>
                <w:sz w:val="20"/>
                <w:szCs w:val="20"/>
              </w:rPr>
              <w:t>72</w:t>
            </w:r>
          </w:p>
        </w:tc>
        <w:tc>
          <w:tcPr>
            <w:tcW w:w="363" w:type="pct"/>
            <w:tcBorders>
              <w:top w:val="nil"/>
              <w:left w:val="nil"/>
              <w:bottom w:val="single" w:color="auto" w:sz="4" w:space="0"/>
              <w:right w:val="single" w:color="auto" w:sz="4" w:space="0"/>
            </w:tcBorders>
            <w:shd w:val="clear" w:color="auto" w:fill="auto"/>
            <w:vAlign w:val="center"/>
          </w:tcPr>
          <w:p w14:paraId="0E364E1F">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580.36～</w:t>
            </w:r>
            <w:r>
              <w:rPr>
                <w:rFonts w:asciiTheme="minorEastAsia" w:hAnsiTheme="minorEastAsia" w:eastAsiaTheme="minorEastAsia"/>
                <w:color w:val="000000"/>
                <w:kern w:val="0"/>
                <w:sz w:val="20"/>
                <w:szCs w:val="20"/>
              </w:rPr>
              <w:t>534.64</w:t>
            </w:r>
          </w:p>
        </w:tc>
        <w:tc>
          <w:tcPr>
            <w:tcW w:w="363" w:type="pct"/>
            <w:tcBorders>
              <w:top w:val="nil"/>
              <w:left w:val="nil"/>
              <w:bottom w:val="single" w:color="auto" w:sz="4" w:space="0"/>
              <w:right w:val="single" w:color="auto" w:sz="4" w:space="0"/>
            </w:tcBorders>
            <w:shd w:val="clear" w:color="auto" w:fill="auto"/>
            <w:vAlign w:val="center"/>
          </w:tcPr>
          <w:p w14:paraId="75002206">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17.00～</w:t>
            </w:r>
            <w:r>
              <w:rPr>
                <w:rFonts w:asciiTheme="minorEastAsia" w:hAnsiTheme="minorEastAsia" w:eastAsiaTheme="minorEastAsia"/>
                <w:color w:val="000000"/>
                <w:kern w:val="0"/>
                <w:sz w:val="20"/>
                <w:szCs w:val="20"/>
              </w:rPr>
              <w:t>42.00</w:t>
            </w:r>
          </w:p>
        </w:tc>
        <w:tc>
          <w:tcPr>
            <w:tcW w:w="291" w:type="pct"/>
            <w:tcBorders>
              <w:top w:val="nil"/>
              <w:left w:val="nil"/>
              <w:bottom w:val="single" w:color="auto" w:sz="4" w:space="0"/>
              <w:right w:val="single" w:color="auto" w:sz="4" w:space="0"/>
            </w:tcBorders>
            <w:shd w:val="clear" w:color="auto" w:fill="auto"/>
            <w:vAlign w:val="center"/>
          </w:tcPr>
          <w:p w14:paraId="07D60302">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180</w:t>
            </w:r>
          </w:p>
        </w:tc>
        <w:tc>
          <w:tcPr>
            <w:tcW w:w="291" w:type="pct"/>
            <w:tcBorders>
              <w:top w:val="nil"/>
              <w:left w:val="nil"/>
              <w:bottom w:val="single" w:color="auto" w:sz="4" w:space="0"/>
              <w:right w:val="single" w:color="auto" w:sz="4" w:space="0"/>
            </w:tcBorders>
            <w:shd w:val="clear" w:color="auto" w:fill="auto"/>
            <w:vAlign w:val="center"/>
          </w:tcPr>
          <w:p w14:paraId="58395487">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26～29</w:t>
            </w:r>
          </w:p>
        </w:tc>
        <w:tc>
          <w:tcPr>
            <w:tcW w:w="271" w:type="pct"/>
            <w:tcBorders>
              <w:top w:val="nil"/>
              <w:left w:val="nil"/>
              <w:bottom w:val="single" w:color="auto" w:sz="4" w:space="0"/>
              <w:right w:val="single" w:color="auto" w:sz="4" w:space="0"/>
            </w:tcBorders>
            <w:shd w:val="clear" w:color="auto" w:fill="auto"/>
            <w:vAlign w:val="center"/>
          </w:tcPr>
          <w:p w14:paraId="65E82162">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1.35</w:t>
            </w:r>
          </w:p>
        </w:tc>
        <w:tc>
          <w:tcPr>
            <w:tcW w:w="284" w:type="pct"/>
            <w:tcBorders>
              <w:top w:val="nil"/>
              <w:left w:val="nil"/>
              <w:bottom w:val="single" w:color="auto" w:sz="4" w:space="0"/>
              <w:right w:val="single" w:color="auto" w:sz="4" w:space="0"/>
            </w:tcBorders>
            <w:shd w:val="clear" w:color="auto" w:fill="auto"/>
            <w:vAlign w:val="center"/>
          </w:tcPr>
          <w:p w14:paraId="10FE777A">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3.26</w:t>
            </w:r>
          </w:p>
        </w:tc>
        <w:tc>
          <w:tcPr>
            <w:tcW w:w="284" w:type="pct"/>
            <w:tcBorders>
              <w:top w:val="nil"/>
              <w:left w:val="nil"/>
              <w:bottom w:val="single" w:color="auto" w:sz="4" w:space="0"/>
              <w:right w:val="single" w:color="auto" w:sz="4" w:space="0"/>
            </w:tcBorders>
            <w:shd w:val="clear" w:color="auto" w:fill="auto"/>
            <w:vAlign w:val="center"/>
          </w:tcPr>
          <w:p w14:paraId="6FD669D3">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2.31</w:t>
            </w:r>
          </w:p>
        </w:tc>
        <w:tc>
          <w:tcPr>
            <w:tcW w:w="292" w:type="pct"/>
            <w:tcBorders>
              <w:top w:val="nil"/>
              <w:left w:val="nil"/>
              <w:bottom w:val="single" w:color="auto" w:sz="4" w:space="0"/>
              <w:right w:val="single" w:color="auto" w:sz="4" w:space="0"/>
            </w:tcBorders>
            <w:shd w:val="clear" w:color="auto" w:fill="auto"/>
            <w:vAlign w:val="center"/>
          </w:tcPr>
          <w:p w14:paraId="5050AACB">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58.59%</w:t>
            </w:r>
          </w:p>
        </w:tc>
        <w:tc>
          <w:tcPr>
            <w:tcW w:w="278" w:type="pct"/>
            <w:tcBorders>
              <w:top w:val="nil"/>
              <w:left w:val="nil"/>
              <w:bottom w:val="single" w:color="auto" w:sz="4" w:space="0"/>
              <w:right w:val="single" w:color="auto" w:sz="4" w:space="0"/>
            </w:tcBorders>
            <w:shd w:val="clear" w:color="auto" w:fill="auto"/>
            <w:vAlign w:val="center"/>
          </w:tcPr>
          <w:p w14:paraId="7AFD6B83">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74.04</w:t>
            </w:r>
          </w:p>
        </w:tc>
        <w:tc>
          <w:tcPr>
            <w:tcW w:w="285" w:type="pct"/>
            <w:tcBorders>
              <w:top w:val="nil"/>
              <w:left w:val="nil"/>
              <w:bottom w:val="single" w:color="auto" w:sz="4" w:space="0"/>
              <w:right w:val="single" w:color="auto" w:sz="4" w:space="0"/>
            </w:tcBorders>
            <w:shd w:val="clear" w:color="auto" w:fill="auto"/>
            <w:vAlign w:val="center"/>
          </w:tcPr>
          <w:p w14:paraId="459A3923">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87.23</w:t>
            </w:r>
          </w:p>
        </w:tc>
        <w:tc>
          <w:tcPr>
            <w:tcW w:w="285" w:type="pct"/>
            <w:tcBorders>
              <w:top w:val="nil"/>
              <w:left w:val="nil"/>
              <w:bottom w:val="single" w:color="auto" w:sz="4" w:space="0"/>
              <w:right w:val="single" w:color="auto" w:sz="4" w:space="0"/>
            </w:tcBorders>
            <w:shd w:val="clear" w:color="auto" w:fill="auto"/>
            <w:vAlign w:val="center"/>
          </w:tcPr>
          <w:p w14:paraId="6AEE417F">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83.48</w:t>
            </w:r>
          </w:p>
        </w:tc>
        <w:tc>
          <w:tcPr>
            <w:tcW w:w="291" w:type="pct"/>
            <w:tcBorders>
              <w:top w:val="nil"/>
              <w:left w:val="nil"/>
              <w:bottom w:val="single" w:color="auto" w:sz="4" w:space="0"/>
              <w:right w:val="single" w:color="auto" w:sz="4" w:space="0"/>
            </w:tcBorders>
            <w:shd w:val="clear" w:color="auto" w:fill="auto"/>
            <w:vAlign w:val="center"/>
          </w:tcPr>
          <w:p w14:paraId="18517094">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5.65%</w:t>
            </w:r>
          </w:p>
        </w:tc>
        <w:tc>
          <w:tcPr>
            <w:tcW w:w="279" w:type="pct"/>
            <w:tcBorders>
              <w:top w:val="nil"/>
              <w:left w:val="nil"/>
              <w:bottom w:val="single" w:color="auto" w:sz="4" w:space="0"/>
              <w:right w:val="single" w:color="auto" w:sz="4" w:space="0"/>
            </w:tcBorders>
            <w:shd w:val="clear" w:color="auto" w:fill="auto"/>
            <w:vAlign w:val="center"/>
          </w:tcPr>
          <w:p w14:paraId="3ADCAA6D">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17</w:t>
            </w:r>
          </w:p>
        </w:tc>
        <w:tc>
          <w:tcPr>
            <w:tcW w:w="291" w:type="pct"/>
            <w:tcBorders>
              <w:top w:val="nil"/>
              <w:left w:val="nil"/>
              <w:bottom w:val="single" w:color="auto" w:sz="4" w:space="0"/>
              <w:right w:val="single" w:color="auto" w:sz="4" w:space="0"/>
            </w:tcBorders>
            <w:shd w:val="clear" w:color="auto" w:fill="auto"/>
            <w:vAlign w:val="center"/>
          </w:tcPr>
          <w:p w14:paraId="7A50D5A5">
            <w:pPr>
              <w:widowControl/>
              <w:spacing w:line="240" w:lineRule="auto"/>
              <w:ind w:firstLine="0" w:firstLineChars="0"/>
              <w:jc w:val="center"/>
              <w:rPr>
                <w:rFonts w:cs="宋体" w:asciiTheme="minorEastAsia" w:hAnsiTheme="minorEastAsia" w:eastAsiaTheme="minorEastAsia"/>
                <w:color w:val="000000"/>
                <w:kern w:val="0"/>
                <w:sz w:val="20"/>
                <w:szCs w:val="20"/>
              </w:rPr>
            </w:pPr>
            <w:r>
              <w:rPr>
                <w:rFonts w:hint="eastAsia" w:cs="宋体" w:asciiTheme="minorEastAsia" w:hAnsiTheme="minorEastAsia" w:eastAsiaTheme="minorEastAsia"/>
                <w:color w:val="000000"/>
                <w:kern w:val="0"/>
                <w:sz w:val="20"/>
                <w:szCs w:val="20"/>
              </w:rPr>
              <w:t>4.00%</w:t>
            </w:r>
          </w:p>
        </w:tc>
      </w:tr>
    </w:tbl>
    <w:p w14:paraId="631443B0">
      <w:pPr>
        <w:spacing w:line="560" w:lineRule="exact"/>
        <w:ind w:firstLine="560" w:firstLineChars="0"/>
        <w:rPr>
          <w:rFonts w:hint="eastAsia"/>
        </w:rPr>
        <w:sectPr>
          <w:pgSz w:w="16670" w:h="12020" w:orient="landscape"/>
          <w:pgMar w:top="1134" w:right="1503" w:bottom="1134" w:left="1503" w:header="851" w:footer="992" w:gutter="0"/>
          <w:pgNumType w:fmt="decimal"/>
          <w:cols w:space="425" w:num="1"/>
          <w:docGrid w:type="lines" w:linePitch="312" w:charSpace="0"/>
        </w:sectPr>
      </w:pPr>
    </w:p>
    <w:p w14:paraId="24AA6945">
      <w:pPr>
        <w:pStyle w:val="5"/>
        <w:ind w:firstLine="562"/>
      </w:pPr>
      <w:r>
        <w:rPr>
          <w:rFonts w:hint="eastAsia"/>
        </w:rPr>
        <w:t>（七）土壤和地下水污染状况调查</w:t>
      </w:r>
    </w:p>
    <w:p w14:paraId="43569B3D">
      <w:pPr>
        <w:ind w:firstLine="560"/>
        <w:rPr>
          <w:rFonts w:hint="eastAsia" w:ascii="宋体" w:hAnsi="宋体"/>
          <w:szCs w:val="28"/>
        </w:rPr>
      </w:pPr>
      <w:r>
        <w:rPr>
          <w:rFonts w:hint="eastAsia"/>
        </w:rPr>
        <w:t>依据</w:t>
      </w:r>
      <w:r>
        <w:t>矿山</w:t>
      </w:r>
      <w:r>
        <w:rPr>
          <w:rFonts w:hint="eastAsia"/>
        </w:rPr>
        <w:t>按照取样</w:t>
      </w:r>
      <w:r>
        <w:t>规范取样（</w:t>
      </w:r>
      <w:r>
        <w:rPr>
          <w:rFonts w:hint="eastAsia"/>
        </w:rPr>
        <w:t>土壤</w:t>
      </w:r>
      <w:r>
        <w:t>样和水质样）</w:t>
      </w:r>
      <w:r>
        <w:rPr>
          <w:rFonts w:hint="eastAsia"/>
        </w:rPr>
        <w:t>测试结果</w:t>
      </w:r>
      <w:r>
        <w:t>，</w:t>
      </w:r>
      <w:r>
        <w:rPr>
          <w:rFonts w:hint="eastAsia"/>
        </w:rPr>
        <w:t>土壤</w:t>
      </w:r>
      <w:r>
        <w:t>和地下水污染</w:t>
      </w:r>
      <w:r>
        <w:rPr>
          <w:rFonts w:hint="eastAsia"/>
        </w:rPr>
        <w:t>值</w:t>
      </w:r>
      <w:r>
        <w:t>均</w:t>
      </w:r>
      <w:r>
        <w:rPr>
          <w:rFonts w:hint="eastAsia"/>
        </w:rPr>
        <w:t>满足相关标准</w:t>
      </w:r>
      <w:r>
        <w:t>值，不存在土壤和地下水</w:t>
      </w:r>
      <w:r>
        <w:rPr>
          <w:rFonts w:hint="eastAsia"/>
        </w:rPr>
        <w:t>污染</w:t>
      </w:r>
      <w:r>
        <w:t>（</w:t>
      </w:r>
      <w:r>
        <w:rPr>
          <w:rFonts w:hint="eastAsia"/>
        </w:rPr>
        <w:t>详</w:t>
      </w:r>
      <w:r>
        <w:t>见附件检测</w:t>
      </w:r>
      <w:r>
        <w:rPr>
          <w:rFonts w:hint="eastAsia"/>
        </w:rPr>
        <w:t>报告</w:t>
      </w:r>
      <w:r>
        <w:t>）</w:t>
      </w:r>
      <w:r>
        <w:rPr>
          <w:rFonts w:hint="eastAsia"/>
        </w:rPr>
        <w:t>。</w:t>
      </w:r>
    </w:p>
    <w:p w14:paraId="796F26E5">
      <w:pPr>
        <w:pStyle w:val="4"/>
        <w:ind w:firstLine="602"/>
        <w:rPr>
          <w:rFonts w:ascii="Times New Roman" w:hAnsi="Times New Roman"/>
        </w:rPr>
      </w:pPr>
      <w:bookmarkStart w:id="78" w:name="_Toc219050278"/>
      <w:bookmarkStart w:id="79" w:name="_Toc211790747"/>
      <w:bookmarkStart w:id="80" w:name="_Toc215692439"/>
      <w:r>
        <w:rPr>
          <w:rFonts w:ascii="Times New Roman" w:hAnsi="Times New Roman"/>
        </w:rPr>
        <w:t>四、矿区土地利用现状及采矿用地审批情况</w:t>
      </w:r>
      <w:bookmarkEnd w:id="78"/>
      <w:bookmarkEnd w:id="79"/>
      <w:bookmarkEnd w:id="80"/>
    </w:p>
    <w:p w14:paraId="40B9AD7A">
      <w:pPr>
        <w:topLinePunct/>
        <w:ind w:firstLine="560"/>
        <w:rPr>
          <w:rFonts w:hint="default" w:ascii="Times New Roman" w:hAnsi="Times New Roman" w:cs="Times New Roman"/>
        </w:rPr>
      </w:pPr>
      <w:r>
        <w:rPr>
          <w:rFonts w:hint="default" w:ascii="Times New Roman" w:hAnsi="Times New Roman" w:cs="Times New Roman"/>
        </w:rPr>
        <w:t>根据</w:t>
      </w:r>
      <w:r>
        <w:rPr>
          <w:rFonts w:hint="default" w:ascii="Times New Roman" w:hAnsi="Times New Roman" w:cs="Times New Roman"/>
          <w:lang w:eastAsia="zh-CN"/>
        </w:rPr>
        <w:t>集安市自然资源局</w:t>
      </w:r>
      <w:r>
        <w:rPr>
          <w:rFonts w:hint="default" w:ascii="Times New Roman" w:hAnsi="Times New Roman" w:cs="Times New Roman"/>
        </w:rPr>
        <w:t>提供的土地利用现状图（2025年</w:t>
      </w:r>
      <w:r>
        <w:rPr>
          <w:rFonts w:hint="default" w:ascii="Times New Roman" w:hAnsi="Times New Roman" w:cs="Times New Roman"/>
          <w:lang w:val="en-US" w:eastAsia="zh-CN"/>
        </w:rPr>
        <w:t>12</w:t>
      </w:r>
      <w:r>
        <w:rPr>
          <w:rFonts w:hint="default" w:ascii="Times New Roman" w:hAnsi="Times New Roman" w:cs="Times New Roman"/>
        </w:rPr>
        <w:t>月），</w:t>
      </w:r>
      <w:r>
        <w:rPr>
          <w:rFonts w:hint="default" w:ascii="Times New Roman" w:hAnsi="Times New Roman" w:cs="Times New Roman"/>
          <w:lang w:eastAsia="zh-CN"/>
        </w:rPr>
        <w:t>二道滑石矿</w:t>
      </w:r>
      <w:r>
        <w:rPr>
          <w:rFonts w:hint="default" w:ascii="Times New Roman" w:hAnsi="Times New Roman" w:cs="Times New Roman"/>
        </w:rPr>
        <w:t>项目区总面积</w:t>
      </w:r>
      <w:r>
        <w:rPr>
          <w:rFonts w:hint="eastAsia" w:ascii="Times New Roman" w:hAnsi="Times New Roman" w:cs="Times New Roman"/>
          <w:lang w:eastAsia="zh-CN"/>
        </w:rPr>
        <w:t>25.0877</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，采矿权范围内</w:t>
      </w:r>
      <w:r>
        <w:rPr>
          <w:rFonts w:hint="default" w:ascii="Times New Roman" w:hAnsi="Times New Roman" w:cs="Times New Roman"/>
          <w:lang w:eastAsia="zh-CN"/>
        </w:rPr>
        <w:t>25.01</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，采矿权范围外</w:t>
      </w:r>
      <w:r>
        <w:rPr>
          <w:rFonts w:hint="default" w:ascii="Times New Roman" w:hAnsi="Times New Roman" w:cs="Times New Roman"/>
          <w:lang w:eastAsia="zh-CN"/>
        </w:rPr>
        <w:t>0.0777</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w:t>
      </w:r>
      <w:bookmarkStart w:id="81" w:name="OLE_LINK31"/>
      <w:r>
        <w:rPr>
          <w:rFonts w:hint="default" w:ascii="Times New Roman" w:hAnsi="Times New Roman" w:cs="Times New Roman"/>
        </w:rPr>
        <w:t>涉及的地类包括：</w:t>
      </w:r>
      <w:bookmarkEnd w:id="81"/>
      <w:r>
        <w:rPr>
          <w:rFonts w:hint="default" w:ascii="Times New Roman" w:hAnsi="Times New Roman" w:cs="Times New Roman"/>
          <w:lang w:eastAsia="zh-CN"/>
        </w:rPr>
        <w:t>采矿用地和乔木林地</w:t>
      </w:r>
      <w:r>
        <w:rPr>
          <w:rFonts w:hint="default" w:ascii="Times New Roman" w:hAnsi="Times New Roman" w:cs="Times New Roman"/>
        </w:rPr>
        <w:t>。</w:t>
      </w:r>
      <w:r>
        <w:rPr>
          <w:rFonts w:hint="default" w:ascii="Times New Roman" w:hAnsi="Times New Roman" w:cs="Times New Roman"/>
          <w:szCs w:val="28"/>
          <w:lang w:eastAsia="zh-CN"/>
        </w:rPr>
        <w:t>二道滑石矿</w:t>
      </w:r>
      <w:r>
        <w:rPr>
          <w:rFonts w:hint="default" w:ascii="Times New Roman" w:hAnsi="Times New Roman" w:cs="Times New Roman"/>
          <w:szCs w:val="28"/>
        </w:rPr>
        <w:t>项目区内不涉及耕地及永久基本农田，远离生态保护红线和自然保护区，土地利用状况见（表2-</w:t>
      </w:r>
      <w:r>
        <w:rPr>
          <w:rFonts w:hint="default" w:ascii="Times New Roman" w:hAnsi="Times New Roman" w:cs="Times New Roman"/>
          <w:szCs w:val="28"/>
          <w:lang w:val="en-US" w:eastAsia="zh-CN"/>
        </w:rPr>
        <w:t>3</w:t>
      </w:r>
      <w:r>
        <w:rPr>
          <w:rFonts w:hint="default" w:ascii="Times New Roman" w:hAnsi="Times New Roman" w:cs="Times New Roman"/>
          <w:szCs w:val="28"/>
        </w:rPr>
        <w:t>）</w:t>
      </w:r>
      <w:r>
        <w:rPr>
          <w:rFonts w:hint="default" w:ascii="Times New Roman" w:hAnsi="Times New Roman" w:cs="Times New Roman"/>
          <w:sz w:val="24"/>
        </w:rPr>
        <w:t>。</w:t>
      </w:r>
    </w:p>
    <w:p w14:paraId="2E4108DF">
      <w:pPr>
        <w:pStyle w:val="57"/>
        <w:rPr>
          <w:rFonts w:ascii="Times New Roman" w:hAnsi="Times New Roman"/>
        </w:rPr>
      </w:pPr>
      <w:r>
        <w:rPr>
          <w:rFonts w:ascii="Times New Roman" w:hAnsi="Times New Roman"/>
        </w:rPr>
        <w:t>表2-</w:t>
      </w:r>
      <w:bookmarkStart w:id="82" w:name="_Hlk219058933"/>
      <w:r>
        <w:rPr>
          <w:rFonts w:hint="eastAsia" w:ascii="Times New Roman" w:hAnsi="Times New Roman"/>
          <w:lang w:val="en-US" w:eastAsia="zh-CN"/>
        </w:rPr>
        <w:t>3</w:t>
      </w:r>
      <w:r>
        <w:rPr>
          <w:rFonts w:hint="eastAsia" w:ascii="Times New Roman" w:hAnsi="Times New Roman"/>
        </w:rPr>
        <w:t>项目区</w:t>
      </w:r>
      <w:r>
        <w:rPr>
          <w:rFonts w:ascii="Times New Roman" w:hAnsi="Times New Roman"/>
        </w:rPr>
        <w:t>土地利用现状统计表</w:t>
      </w:r>
    </w:p>
    <w:tbl>
      <w:tblPr>
        <w:tblStyle w:val="42"/>
        <w:tblW w:w="48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509"/>
        <w:gridCol w:w="1186"/>
        <w:gridCol w:w="2380"/>
        <w:gridCol w:w="1206"/>
        <w:gridCol w:w="1115"/>
        <w:gridCol w:w="1251"/>
      </w:tblGrid>
      <w:tr w14:paraId="218C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blHeader/>
        </w:trPr>
        <w:tc>
          <w:tcPr>
            <w:tcW w:w="3080" w:type="pct"/>
            <w:gridSpan w:val="4"/>
            <w:vAlign w:val="center"/>
          </w:tcPr>
          <w:p w14:paraId="5633582B">
            <w:pPr>
              <w:pStyle w:val="72"/>
              <w:rPr>
                <w:rFonts w:hint="default" w:ascii="Times New Roman" w:hAnsi="Times New Roman" w:cs="Times New Roman"/>
              </w:rPr>
            </w:pPr>
            <w:r>
              <w:rPr>
                <w:rFonts w:hint="default" w:ascii="Times New Roman" w:hAnsi="Times New Roman" w:cs="Times New Roman"/>
              </w:rPr>
              <w:t>土地利用现状分类</w:t>
            </w:r>
          </w:p>
        </w:tc>
        <w:tc>
          <w:tcPr>
            <w:tcW w:w="1247" w:type="pct"/>
            <w:gridSpan w:val="2"/>
            <w:vMerge w:val="restart"/>
            <w:vAlign w:val="center"/>
          </w:tcPr>
          <w:p w14:paraId="0ACA5718">
            <w:pPr>
              <w:pStyle w:val="72"/>
              <w:rPr>
                <w:rFonts w:hint="default" w:ascii="Times New Roman" w:hAnsi="Times New Roman" w:cs="Times New Roman"/>
              </w:rPr>
            </w:pPr>
            <w:r>
              <w:rPr>
                <w:rFonts w:hint="default" w:ascii="Times New Roman" w:hAnsi="Times New Roman" w:cs="Times New Roman"/>
              </w:rPr>
              <w:t>　面积（hm</w:t>
            </w:r>
            <w:r>
              <w:rPr>
                <w:rFonts w:hint="default" w:ascii="Times New Roman" w:hAnsi="Times New Roman" w:cs="Times New Roman"/>
                <w:vertAlign w:val="superscript"/>
              </w:rPr>
              <w:t>2</w:t>
            </w:r>
            <w:r>
              <w:rPr>
                <w:rFonts w:hint="default" w:ascii="Times New Roman" w:hAnsi="Times New Roman" w:cs="Times New Roman"/>
              </w:rPr>
              <w:t>）　</w:t>
            </w:r>
          </w:p>
        </w:tc>
        <w:tc>
          <w:tcPr>
            <w:tcW w:w="672" w:type="pct"/>
            <w:vMerge w:val="restart"/>
            <w:vAlign w:val="center"/>
          </w:tcPr>
          <w:p w14:paraId="0F7BF5A9">
            <w:pPr>
              <w:pStyle w:val="72"/>
              <w:rPr>
                <w:rFonts w:hint="default" w:ascii="Times New Roman" w:hAnsi="Times New Roman" w:cs="Times New Roman"/>
              </w:rPr>
            </w:pPr>
            <w:r>
              <w:rPr>
                <w:rFonts w:hint="default" w:ascii="Times New Roman" w:hAnsi="Times New Roman" w:cs="Times New Roman"/>
              </w:rPr>
              <w:t>合计（hm</w:t>
            </w:r>
            <w:r>
              <w:rPr>
                <w:rFonts w:hint="default" w:ascii="Times New Roman" w:hAnsi="Times New Roman" w:cs="Times New Roman"/>
                <w:vertAlign w:val="superscript"/>
              </w:rPr>
              <w:t>2</w:t>
            </w:r>
            <w:r>
              <w:rPr>
                <w:rFonts w:hint="default" w:ascii="Times New Roman" w:hAnsi="Times New Roman" w:cs="Times New Roman"/>
              </w:rPr>
              <w:t>）</w:t>
            </w:r>
          </w:p>
        </w:tc>
      </w:tr>
      <w:tr w14:paraId="644F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1164" w:type="pct"/>
            <w:gridSpan w:val="2"/>
            <w:vAlign w:val="center"/>
          </w:tcPr>
          <w:p w14:paraId="1A6419F1">
            <w:pPr>
              <w:pStyle w:val="72"/>
              <w:rPr>
                <w:rFonts w:hint="default" w:ascii="Times New Roman" w:hAnsi="Times New Roman" w:cs="Times New Roman"/>
              </w:rPr>
            </w:pPr>
            <w:r>
              <w:rPr>
                <w:rFonts w:hint="default" w:ascii="Times New Roman" w:hAnsi="Times New Roman" w:cs="Times New Roman"/>
              </w:rPr>
              <w:t>一级类</w:t>
            </w:r>
          </w:p>
        </w:tc>
        <w:tc>
          <w:tcPr>
            <w:tcW w:w="1916" w:type="pct"/>
            <w:gridSpan w:val="2"/>
            <w:vAlign w:val="center"/>
          </w:tcPr>
          <w:p w14:paraId="0D43F0AB">
            <w:pPr>
              <w:pStyle w:val="72"/>
              <w:rPr>
                <w:rFonts w:hint="default" w:ascii="Times New Roman" w:hAnsi="Times New Roman" w:cs="Times New Roman"/>
              </w:rPr>
            </w:pPr>
            <w:r>
              <w:rPr>
                <w:rFonts w:hint="default" w:ascii="Times New Roman" w:hAnsi="Times New Roman" w:cs="Times New Roman"/>
              </w:rPr>
              <w:t>二级类</w:t>
            </w:r>
          </w:p>
        </w:tc>
        <w:tc>
          <w:tcPr>
            <w:tcW w:w="1247" w:type="pct"/>
            <w:gridSpan w:val="2"/>
            <w:vMerge w:val="continue"/>
            <w:vAlign w:val="center"/>
          </w:tcPr>
          <w:p w14:paraId="027499DB">
            <w:pPr>
              <w:pStyle w:val="72"/>
              <w:rPr>
                <w:rFonts w:hint="default" w:ascii="Times New Roman" w:hAnsi="Times New Roman" w:cs="Times New Roman"/>
              </w:rPr>
            </w:pPr>
          </w:p>
        </w:tc>
        <w:tc>
          <w:tcPr>
            <w:tcW w:w="672" w:type="pct"/>
            <w:vMerge w:val="continue"/>
            <w:vAlign w:val="center"/>
          </w:tcPr>
          <w:p w14:paraId="4E3F0FD8">
            <w:pPr>
              <w:pStyle w:val="72"/>
              <w:rPr>
                <w:rFonts w:hint="default" w:ascii="Times New Roman" w:hAnsi="Times New Roman" w:cs="Times New Roman"/>
              </w:rPr>
            </w:pPr>
          </w:p>
        </w:tc>
      </w:tr>
      <w:tr w14:paraId="778E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blHeader/>
        </w:trPr>
        <w:tc>
          <w:tcPr>
            <w:tcW w:w="353" w:type="pct"/>
            <w:vAlign w:val="center"/>
          </w:tcPr>
          <w:p w14:paraId="5FE778D0">
            <w:pPr>
              <w:pStyle w:val="72"/>
              <w:rPr>
                <w:rFonts w:hint="default" w:ascii="Times New Roman" w:hAnsi="Times New Roman" w:cs="Times New Roman"/>
              </w:rPr>
            </w:pPr>
            <w:r>
              <w:rPr>
                <w:rFonts w:hint="default" w:ascii="Times New Roman" w:hAnsi="Times New Roman" w:cs="Times New Roman"/>
              </w:rPr>
              <w:t>类别编码</w:t>
            </w:r>
          </w:p>
        </w:tc>
        <w:tc>
          <w:tcPr>
            <w:tcW w:w="810" w:type="pct"/>
            <w:vAlign w:val="center"/>
          </w:tcPr>
          <w:p w14:paraId="4E12A27F">
            <w:pPr>
              <w:pStyle w:val="72"/>
              <w:rPr>
                <w:rFonts w:hint="default" w:ascii="Times New Roman" w:hAnsi="Times New Roman" w:cs="Times New Roman"/>
              </w:rPr>
            </w:pPr>
            <w:r>
              <w:rPr>
                <w:rFonts w:hint="default" w:ascii="Times New Roman" w:hAnsi="Times New Roman" w:cs="Times New Roman"/>
              </w:rPr>
              <w:t>类别名称</w:t>
            </w:r>
          </w:p>
        </w:tc>
        <w:tc>
          <w:tcPr>
            <w:tcW w:w="637" w:type="pct"/>
            <w:vAlign w:val="center"/>
          </w:tcPr>
          <w:p w14:paraId="3BF0C14C">
            <w:pPr>
              <w:pStyle w:val="72"/>
              <w:rPr>
                <w:rFonts w:hint="default" w:ascii="Times New Roman" w:hAnsi="Times New Roman" w:cs="Times New Roman"/>
              </w:rPr>
            </w:pPr>
            <w:r>
              <w:rPr>
                <w:rFonts w:hint="default" w:ascii="Times New Roman" w:hAnsi="Times New Roman" w:cs="Times New Roman"/>
              </w:rPr>
              <w:t>类别编码</w:t>
            </w:r>
          </w:p>
        </w:tc>
        <w:tc>
          <w:tcPr>
            <w:tcW w:w="1279" w:type="pct"/>
            <w:vAlign w:val="center"/>
          </w:tcPr>
          <w:p w14:paraId="1E344E50">
            <w:pPr>
              <w:pStyle w:val="72"/>
              <w:rPr>
                <w:rFonts w:hint="default" w:ascii="Times New Roman" w:hAnsi="Times New Roman" w:cs="Times New Roman"/>
              </w:rPr>
            </w:pPr>
            <w:r>
              <w:rPr>
                <w:rFonts w:hint="default" w:ascii="Times New Roman" w:hAnsi="Times New Roman" w:cs="Times New Roman"/>
              </w:rPr>
              <w:t>类别名称</w:t>
            </w:r>
          </w:p>
        </w:tc>
        <w:tc>
          <w:tcPr>
            <w:tcW w:w="648" w:type="pct"/>
            <w:vAlign w:val="center"/>
          </w:tcPr>
          <w:p w14:paraId="57AD1466">
            <w:pPr>
              <w:pStyle w:val="72"/>
              <w:rPr>
                <w:rFonts w:hint="default" w:ascii="Times New Roman" w:hAnsi="Times New Roman" w:cs="Times New Roman"/>
              </w:rPr>
            </w:pPr>
            <w:r>
              <w:rPr>
                <w:rFonts w:hint="default" w:ascii="Times New Roman" w:hAnsi="Times New Roman" w:cs="Times New Roman"/>
              </w:rPr>
              <w:t>矿区内</w:t>
            </w:r>
          </w:p>
        </w:tc>
        <w:tc>
          <w:tcPr>
            <w:tcW w:w="599" w:type="pct"/>
            <w:vAlign w:val="center"/>
          </w:tcPr>
          <w:p w14:paraId="25F475E2">
            <w:pPr>
              <w:pStyle w:val="72"/>
              <w:rPr>
                <w:rFonts w:hint="default" w:ascii="Times New Roman" w:hAnsi="Times New Roman" w:cs="Times New Roman"/>
              </w:rPr>
            </w:pPr>
            <w:r>
              <w:rPr>
                <w:rFonts w:hint="default" w:ascii="Times New Roman" w:hAnsi="Times New Roman" w:cs="Times New Roman"/>
              </w:rPr>
              <w:t>矿区外</w:t>
            </w:r>
          </w:p>
        </w:tc>
        <w:tc>
          <w:tcPr>
            <w:tcW w:w="672" w:type="pct"/>
            <w:vMerge w:val="continue"/>
            <w:vAlign w:val="center"/>
          </w:tcPr>
          <w:p w14:paraId="2E5B1700">
            <w:pPr>
              <w:pStyle w:val="72"/>
              <w:rPr>
                <w:rFonts w:hint="default" w:ascii="Times New Roman" w:hAnsi="Times New Roman" w:cs="Times New Roman"/>
              </w:rPr>
            </w:pPr>
          </w:p>
        </w:tc>
      </w:tr>
      <w:tr w14:paraId="20E8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353" w:type="pct"/>
            <w:vMerge w:val="restart"/>
            <w:vAlign w:val="center"/>
          </w:tcPr>
          <w:p w14:paraId="542A2A36">
            <w:pPr>
              <w:pStyle w:val="72"/>
              <w:rPr>
                <w:rFonts w:hint="default" w:ascii="Times New Roman" w:hAnsi="Times New Roman" w:cs="Times New Roman"/>
              </w:rPr>
            </w:pPr>
            <w:bookmarkStart w:id="83" w:name="_Hlk218954097"/>
            <w:r>
              <w:rPr>
                <w:rFonts w:hint="default" w:ascii="Times New Roman" w:hAnsi="Times New Roman" w:cs="Times New Roman"/>
              </w:rPr>
              <w:t>03</w:t>
            </w:r>
          </w:p>
        </w:tc>
        <w:tc>
          <w:tcPr>
            <w:tcW w:w="810" w:type="pct"/>
            <w:vMerge w:val="restart"/>
            <w:vAlign w:val="center"/>
          </w:tcPr>
          <w:p w14:paraId="70A2406B">
            <w:pPr>
              <w:pStyle w:val="72"/>
              <w:rPr>
                <w:rFonts w:hint="default" w:ascii="Times New Roman" w:hAnsi="Times New Roman" w:cs="Times New Roman"/>
              </w:rPr>
            </w:pPr>
            <w:r>
              <w:rPr>
                <w:rFonts w:hint="default" w:ascii="Times New Roman" w:hAnsi="Times New Roman" w:cs="Times New Roman"/>
              </w:rPr>
              <w:t>林地</w:t>
            </w:r>
          </w:p>
        </w:tc>
        <w:tc>
          <w:tcPr>
            <w:tcW w:w="637" w:type="pct"/>
            <w:vAlign w:val="center"/>
          </w:tcPr>
          <w:p w14:paraId="1B8E2ACE">
            <w:pPr>
              <w:pStyle w:val="72"/>
              <w:rPr>
                <w:rFonts w:hint="default" w:ascii="Times New Roman" w:hAnsi="Times New Roman" w:cs="Times New Roman"/>
              </w:rPr>
            </w:pPr>
            <w:r>
              <w:rPr>
                <w:rFonts w:hint="default" w:ascii="Times New Roman" w:hAnsi="Times New Roman" w:cs="Times New Roman"/>
              </w:rPr>
              <w:t>0301</w:t>
            </w:r>
          </w:p>
        </w:tc>
        <w:tc>
          <w:tcPr>
            <w:tcW w:w="1279" w:type="pct"/>
            <w:vAlign w:val="center"/>
          </w:tcPr>
          <w:p w14:paraId="380CE3E6">
            <w:pPr>
              <w:pStyle w:val="72"/>
              <w:rPr>
                <w:rFonts w:hint="default" w:ascii="Times New Roman" w:hAnsi="Times New Roman" w:cs="Times New Roman"/>
              </w:rPr>
            </w:pPr>
            <w:r>
              <w:rPr>
                <w:rFonts w:hint="default" w:ascii="Times New Roman" w:hAnsi="Times New Roman" w:cs="Times New Roman"/>
              </w:rPr>
              <w:t>乔木林地</w:t>
            </w:r>
          </w:p>
        </w:tc>
        <w:tc>
          <w:tcPr>
            <w:tcW w:w="1206" w:type="dxa"/>
            <w:vAlign w:val="center"/>
          </w:tcPr>
          <w:p w14:paraId="618FB7D5">
            <w:pPr>
              <w:pStyle w:val="72"/>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24.5136</w:t>
            </w:r>
          </w:p>
        </w:tc>
        <w:tc>
          <w:tcPr>
            <w:tcW w:w="1115" w:type="dxa"/>
            <w:vAlign w:val="center"/>
          </w:tcPr>
          <w:p w14:paraId="618C58F1">
            <w:pPr>
              <w:pStyle w:val="72"/>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0.0777</w:t>
            </w:r>
          </w:p>
        </w:tc>
        <w:tc>
          <w:tcPr>
            <w:tcW w:w="1251" w:type="dxa"/>
            <w:vAlign w:val="center"/>
          </w:tcPr>
          <w:p w14:paraId="603D0B56">
            <w:pPr>
              <w:pStyle w:val="72"/>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24.5913</w:t>
            </w:r>
          </w:p>
        </w:tc>
      </w:tr>
      <w:bookmarkEnd w:id="83"/>
      <w:tr w14:paraId="22C2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53" w:type="pct"/>
            <w:vAlign w:val="center"/>
          </w:tcPr>
          <w:p w14:paraId="0F277AA4">
            <w:pPr>
              <w:pStyle w:val="72"/>
              <w:rPr>
                <w:rFonts w:hint="default" w:ascii="Times New Roman" w:hAnsi="Times New Roman" w:cs="Times New Roman"/>
                <w:highlight w:val="none"/>
              </w:rPr>
            </w:pPr>
            <w:r>
              <w:rPr>
                <w:rFonts w:hint="default" w:ascii="Times New Roman" w:hAnsi="Times New Roman" w:cs="Times New Roman"/>
                <w:highlight w:val="none"/>
              </w:rPr>
              <w:t>06</w:t>
            </w:r>
          </w:p>
        </w:tc>
        <w:tc>
          <w:tcPr>
            <w:tcW w:w="810" w:type="pct"/>
            <w:vAlign w:val="center"/>
          </w:tcPr>
          <w:p w14:paraId="7898A2F1">
            <w:pPr>
              <w:pStyle w:val="72"/>
              <w:rPr>
                <w:rFonts w:hint="default" w:ascii="Times New Roman" w:hAnsi="Times New Roman" w:cs="Times New Roman"/>
                <w:highlight w:val="none"/>
              </w:rPr>
            </w:pPr>
            <w:r>
              <w:rPr>
                <w:rFonts w:hint="default" w:ascii="Times New Roman" w:hAnsi="Times New Roman" w:cs="Times New Roman"/>
                <w:highlight w:val="none"/>
              </w:rPr>
              <w:t>工矿仓储用地</w:t>
            </w:r>
          </w:p>
        </w:tc>
        <w:tc>
          <w:tcPr>
            <w:tcW w:w="637" w:type="pct"/>
            <w:vAlign w:val="center"/>
          </w:tcPr>
          <w:p w14:paraId="11791DD2">
            <w:pPr>
              <w:pStyle w:val="72"/>
              <w:rPr>
                <w:rFonts w:hint="default" w:ascii="Times New Roman" w:hAnsi="Times New Roman" w:cs="Times New Roman"/>
                <w:highlight w:val="none"/>
              </w:rPr>
            </w:pPr>
            <w:r>
              <w:rPr>
                <w:rFonts w:hint="default" w:ascii="Times New Roman" w:hAnsi="Times New Roman" w:cs="Times New Roman"/>
                <w:highlight w:val="none"/>
              </w:rPr>
              <w:t>0602</w:t>
            </w:r>
          </w:p>
        </w:tc>
        <w:tc>
          <w:tcPr>
            <w:tcW w:w="1279" w:type="pct"/>
            <w:vAlign w:val="center"/>
          </w:tcPr>
          <w:p w14:paraId="6B98E6DA">
            <w:pPr>
              <w:pStyle w:val="72"/>
              <w:rPr>
                <w:rFonts w:hint="default" w:ascii="Times New Roman" w:hAnsi="Times New Roman" w:cs="Times New Roman"/>
                <w:highlight w:val="none"/>
              </w:rPr>
            </w:pPr>
            <w:r>
              <w:rPr>
                <w:rFonts w:hint="default" w:ascii="Times New Roman" w:hAnsi="Times New Roman" w:cs="Times New Roman"/>
                <w:highlight w:val="none"/>
              </w:rPr>
              <w:t>采矿用地</w:t>
            </w:r>
          </w:p>
        </w:tc>
        <w:tc>
          <w:tcPr>
            <w:tcW w:w="1206" w:type="dxa"/>
            <w:vAlign w:val="center"/>
          </w:tcPr>
          <w:p w14:paraId="2265448C">
            <w:pPr>
              <w:pStyle w:val="72"/>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0.4964</w:t>
            </w:r>
          </w:p>
        </w:tc>
        <w:tc>
          <w:tcPr>
            <w:tcW w:w="1115" w:type="dxa"/>
            <w:vAlign w:val="top"/>
          </w:tcPr>
          <w:p w14:paraId="7B86E84E">
            <w:pPr>
              <w:pStyle w:val="72"/>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0</w:t>
            </w:r>
          </w:p>
        </w:tc>
        <w:tc>
          <w:tcPr>
            <w:tcW w:w="1251" w:type="dxa"/>
            <w:vAlign w:val="center"/>
          </w:tcPr>
          <w:p w14:paraId="78DD21C0">
            <w:pPr>
              <w:pStyle w:val="72"/>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0.4964</w:t>
            </w:r>
          </w:p>
        </w:tc>
      </w:tr>
      <w:tr w14:paraId="0620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80" w:type="pct"/>
            <w:gridSpan w:val="4"/>
            <w:vAlign w:val="center"/>
          </w:tcPr>
          <w:p w14:paraId="52C97286">
            <w:pPr>
              <w:pStyle w:val="72"/>
              <w:rPr>
                <w:rFonts w:hint="default" w:ascii="Times New Roman" w:hAnsi="Times New Roman" w:cs="Times New Roman"/>
              </w:rPr>
            </w:pPr>
            <w:r>
              <w:rPr>
                <w:rFonts w:hint="default" w:ascii="Times New Roman" w:hAnsi="Times New Roman" w:cs="Times New Roman"/>
              </w:rPr>
              <w:t>合计</w:t>
            </w:r>
          </w:p>
        </w:tc>
        <w:tc>
          <w:tcPr>
            <w:tcW w:w="1206" w:type="dxa"/>
            <w:vAlign w:val="center"/>
          </w:tcPr>
          <w:p w14:paraId="153B4F88">
            <w:pPr>
              <w:pStyle w:val="72"/>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25.01</w:t>
            </w:r>
          </w:p>
        </w:tc>
        <w:tc>
          <w:tcPr>
            <w:tcW w:w="1115" w:type="dxa"/>
            <w:vAlign w:val="center"/>
          </w:tcPr>
          <w:p w14:paraId="1F66C782">
            <w:pPr>
              <w:pStyle w:val="72"/>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0.0777</w:t>
            </w:r>
          </w:p>
        </w:tc>
        <w:tc>
          <w:tcPr>
            <w:tcW w:w="1251" w:type="dxa"/>
            <w:vAlign w:val="center"/>
          </w:tcPr>
          <w:p w14:paraId="45009B6C">
            <w:pPr>
              <w:pStyle w:val="72"/>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25.0877</w:t>
            </w:r>
          </w:p>
        </w:tc>
      </w:tr>
      <w:bookmarkEnd w:id="82"/>
    </w:tbl>
    <w:p w14:paraId="53B07E73">
      <w:pPr>
        <w:ind w:firstLine="560"/>
      </w:pPr>
      <w:r>
        <w:rPr>
          <w:rFonts w:hint="eastAsia"/>
          <w:lang w:eastAsia="zh-CN"/>
        </w:rPr>
        <w:t>二道滑石矿</w:t>
      </w:r>
      <w:r>
        <w:t>占用土地</w:t>
      </w:r>
      <w:r>
        <w:rPr>
          <w:rFonts w:hint="eastAsia"/>
        </w:rPr>
        <w:t>主要为</w:t>
      </w:r>
      <w:r>
        <w:rPr>
          <w:rFonts w:hint="eastAsia"/>
          <w:lang w:val="en-US" w:eastAsia="zh-CN"/>
        </w:rPr>
        <w:t>工业广场和平硐口</w:t>
      </w:r>
      <w:r>
        <w:rPr>
          <w:rFonts w:hint="eastAsia"/>
        </w:rPr>
        <w:t>，损毁土地总面积</w:t>
      </w:r>
      <w:bookmarkStart w:id="84" w:name="_Hlk218954029"/>
      <w:r>
        <w:rPr>
          <w:rFonts w:hint="eastAsia"/>
          <w:lang w:val="en-US" w:eastAsia="zh-CN"/>
        </w:rPr>
        <w:t>0.3608</w:t>
      </w:r>
      <w:r>
        <w:rPr>
          <w:rFonts w:hint="eastAsia"/>
        </w:rPr>
        <w:t>hm</w:t>
      </w:r>
      <w:r>
        <w:rPr>
          <w:rFonts w:hint="eastAsia"/>
          <w:vertAlign w:val="superscript"/>
        </w:rPr>
        <w:t>2</w:t>
      </w:r>
      <w:bookmarkEnd w:id="84"/>
      <w:r>
        <w:t>，</w:t>
      </w:r>
      <w:r>
        <w:rPr>
          <w:rStyle w:val="62"/>
          <w:rFonts w:ascii="Times New Roman" w:hAnsi="Times New Roman" w:cs="Times New Roman"/>
          <w:sz w:val="28"/>
          <w:szCs w:val="28"/>
          <w:lang w:eastAsia="zh-CN"/>
        </w:rPr>
        <w:t>土地所有权归</w:t>
      </w:r>
      <w:r>
        <w:rPr>
          <w:rStyle w:val="62"/>
          <w:rFonts w:hint="eastAsia" w:cs="Times New Roman"/>
          <w:sz w:val="28"/>
          <w:szCs w:val="28"/>
          <w:lang w:eastAsia="zh-CN"/>
        </w:rPr>
        <w:t>清河镇二道村</w:t>
      </w:r>
      <w:r>
        <w:rPr>
          <w:rStyle w:val="62"/>
          <w:rFonts w:ascii="Times New Roman" w:hAnsi="Times New Roman" w:cs="Times New Roman"/>
          <w:sz w:val="28"/>
          <w:szCs w:val="28"/>
          <w:lang w:eastAsia="zh-CN"/>
        </w:rPr>
        <w:t>。</w:t>
      </w:r>
      <w:r>
        <w:rPr>
          <w:rStyle w:val="62"/>
          <w:rFonts w:hint="eastAsia" w:cs="Times New Roman"/>
          <w:sz w:val="28"/>
          <w:szCs w:val="28"/>
          <w:lang w:eastAsia="zh-CN"/>
        </w:rPr>
        <w:t>二道滑石矿</w:t>
      </w:r>
      <w:r>
        <w:rPr>
          <w:rStyle w:val="62"/>
          <w:rFonts w:hint="eastAsia" w:ascii="Times New Roman" w:hAnsi="Times New Roman" w:cs="Times New Roman"/>
          <w:sz w:val="28"/>
          <w:szCs w:val="28"/>
          <w:lang w:eastAsia="zh-CN"/>
        </w:rPr>
        <w:t>已取的土地使用</w:t>
      </w:r>
      <w:r>
        <w:rPr>
          <w:rStyle w:val="62"/>
          <w:rFonts w:ascii="Times New Roman" w:hAnsi="Times New Roman" w:cs="Times New Roman"/>
          <w:sz w:val="28"/>
          <w:szCs w:val="28"/>
          <w:lang w:eastAsia="zh-CN"/>
        </w:rPr>
        <w:t>权，土地权属清楚，无土地权属纠纷</w:t>
      </w:r>
      <w:r>
        <w:t>。</w:t>
      </w:r>
    </w:p>
    <w:p w14:paraId="3DE12261">
      <w:pPr>
        <w:pStyle w:val="57"/>
        <w:rPr>
          <w:rFonts w:ascii="Times New Roman" w:hAnsi="Times New Roman"/>
        </w:rPr>
      </w:pPr>
      <w:r>
        <w:rPr>
          <w:rFonts w:ascii="Times New Roman" w:hAnsi="Times New Roman" w:eastAsia="黑体"/>
        </w:rPr>
        <w:t>表2-</w:t>
      </w:r>
      <w:bookmarkStart w:id="85" w:name="_Hlk219058952"/>
      <w:r>
        <w:rPr>
          <w:rFonts w:hint="eastAsia" w:ascii="Times New Roman" w:hAnsi="Times New Roman" w:eastAsia="黑体"/>
          <w:lang w:val="en-US" w:eastAsia="zh-CN"/>
        </w:rPr>
        <w:t>4</w:t>
      </w:r>
      <w:r>
        <w:rPr>
          <w:rFonts w:ascii="Times New Roman" w:hAnsi="Times New Roman" w:eastAsia="黑体"/>
        </w:rPr>
        <w:t>矿区土地权属表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4"/>
        <w:gridCol w:w="3616"/>
        <w:gridCol w:w="1920"/>
        <w:gridCol w:w="1610"/>
      </w:tblGrid>
      <w:tr w14:paraId="6AD9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pct"/>
            <w:vMerge w:val="restart"/>
            <w:vAlign w:val="center"/>
          </w:tcPr>
          <w:p w14:paraId="00F0BE48">
            <w:pPr>
              <w:pStyle w:val="72"/>
              <w:rPr>
                <w:rFonts w:hint="default" w:ascii="Times New Roman" w:hAnsi="Times New Roman" w:cs="Times New Roman"/>
              </w:rPr>
            </w:pPr>
            <w:r>
              <w:rPr>
                <w:rFonts w:hint="default" w:ascii="Times New Roman" w:hAnsi="Times New Roman" w:cs="Times New Roman"/>
              </w:rPr>
              <w:t>权属</w:t>
            </w:r>
          </w:p>
        </w:tc>
        <w:tc>
          <w:tcPr>
            <w:tcW w:w="2892" w:type="pct"/>
            <w:gridSpan w:val="2"/>
            <w:vAlign w:val="center"/>
          </w:tcPr>
          <w:p w14:paraId="2EC077DF">
            <w:pPr>
              <w:pStyle w:val="72"/>
              <w:rPr>
                <w:rFonts w:hint="default" w:ascii="Times New Roman" w:hAnsi="Times New Roman" w:cs="Times New Roman"/>
              </w:rPr>
            </w:pPr>
            <w:r>
              <w:rPr>
                <w:rFonts w:hint="default" w:ascii="Times New Roman" w:hAnsi="Times New Roman" w:cs="Times New Roman"/>
              </w:rPr>
              <w:t>　土地利用现状分类及面积（hm</w:t>
            </w:r>
            <w:r>
              <w:rPr>
                <w:rFonts w:hint="default" w:ascii="Times New Roman" w:hAnsi="Times New Roman" w:cs="Times New Roman"/>
                <w:vertAlign w:val="superscript"/>
              </w:rPr>
              <w:t>2</w:t>
            </w:r>
            <w:r>
              <w:rPr>
                <w:rFonts w:hint="default" w:ascii="Times New Roman" w:hAnsi="Times New Roman" w:cs="Times New Roman"/>
              </w:rPr>
              <w:t>）</w:t>
            </w:r>
          </w:p>
        </w:tc>
        <w:tc>
          <w:tcPr>
            <w:tcW w:w="841" w:type="pct"/>
            <w:vMerge w:val="restart"/>
            <w:vAlign w:val="center"/>
          </w:tcPr>
          <w:p w14:paraId="28C363D5">
            <w:pPr>
              <w:pStyle w:val="72"/>
              <w:rPr>
                <w:rFonts w:hint="default" w:ascii="Times New Roman" w:hAnsi="Times New Roman" w:cs="Times New Roman"/>
              </w:rPr>
            </w:pPr>
            <w:r>
              <w:rPr>
                <w:rFonts w:hint="default" w:ascii="Times New Roman" w:hAnsi="Times New Roman" w:cs="Times New Roman"/>
              </w:rPr>
              <w:t>合计</w:t>
            </w:r>
          </w:p>
        </w:tc>
      </w:tr>
      <w:tr w14:paraId="09DD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266" w:type="pct"/>
            <w:vMerge w:val="continue"/>
            <w:vAlign w:val="center"/>
          </w:tcPr>
          <w:p w14:paraId="39386A14">
            <w:pPr>
              <w:pStyle w:val="72"/>
              <w:rPr>
                <w:rFonts w:hint="default" w:ascii="Times New Roman" w:hAnsi="Times New Roman" w:cs="Times New Roman"/>
              </w:rPr>
            </w:pPr>
          </w:p>
        </w:tc>
        <w:tc>
          <w:tcPr>
            <w:tcW w:w="1889" w:type="pct"/>
            <w:vAlign w:val="center"/>
          </w:tcPr>
          <w:p w14:paraId="0B6CA9AF">
            <w:pPr>
              <w:pStyle w:val="72"/>
              <w:rPr>
                <w:rFonts w:hint="default" w:ascii="Times New Roman" w:hAnsi="Times New Roman" w:cs="Times New Roman"/>
              </w:rPr>
            </w:pPr>
            <w:r>
              <w:rPr>
                <w:rFonts w:hint="default" w:ascii="Times New Roman" w:hAnsi="Times New Roman" w:cs="Times New Roman"/>
              </w:rPr>
              <w:t>03林地</w:t>
            </w:r>
          </w:p>
        </w:tc>
        <w:tc>
          <w:tcPr>
            <w:tcW w:w="1003" w:type="pct"/>
            <w:vAlign w:val="center"/>
          </w:tcPr>
          <w:p w14:paraId="3A78F934">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06</w:t>
            </w:r>
          </w:p>
        </w:tc>
        <w:tc>
          <w:tcPr>
            <w:tcW w:w="841" w:type="pct"/>
            <w:vMerge w:val="continue"/>
            <w:vAlign w:val="center"/>
          </w:tcPr>
          <w:p w14:paraId="5CDF373B">
            <w:pPr>
              <w:pStyle w:val="72"/>
              <w:rPr>
                <w:rFonts w:hint="default" w:ascii="Times New Roman" w:hAnsi="Times New Roman" w:cs="Times New Roman"/>
              </w:rPr>
            </w:pPr>
          </w:p>
        </w:tc>
      </w:tr>
      <w:tr w14:paraId="7FA9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6" w:type="pct"/>
            <w:vMerge w:val="continue"/>
            <w:vAlign w:val="center"/>
          </w:tcPr>
          <w:p w14:paraId="1AD752CC">
            <w:pPr>
              <w:pStyle w:val="72"/>
              <w:rPr>
                <w:rFonts w:hint="default" w:ascii="Times New Roman" w:hAnsi="Times New Roman" w:cs="Times New Roman"/>
              </w:rPr>
            </w:pPr>
          </w:p>
        </w:tc>
        <w:tc>
          <w:tcPr>
            <w:tcW w:w="1889" w:type="pct"/>
            <w:vAlign w:val="center"/>
          </w:tcPr>
          <w:p w14:paraId="23A0D20D">
            <w:pPr>
              <w:pStyle w:val="72"/>
              <w:jc w:val="center"/>
              <w:rPr>
                <w:rFonts w:hint="default" w:ascii="Times New Roman" w:hAnsi="Times New Roman" w:cs="Times New Roman"/>
              </w:rPr>
            </w:pPr>
            <w:r>
              <w:rPr>
                <w:rFonts w:hint="default" w:ascii="Times New Roman" w:hAnsi="Times New Roman" w:cs="Times New Roman"/>
              </w:rPr>
              <w:t>0301乔木林地</w:t>
            </w:r>
          </w:p>
        </w:tc>
        <w:tc>
          <w:tcPr>
            <w:tcW w:w="1003" w:type="pct"/>
            <w:vAlign w:val="center"/>
          </w:tcPr>
          <w:p w14:paraId="40FB4A45">
            <w:pPr>
              <w:pStyle w:val="72"/>
              <w:jc w:val="center"/>
              <w:rPr>
                <w:rFonts w:hint="default" w:ascii="Times New Roman" w:hAnsi="Times New Roman" w:cs="Times New Roman"/>
              </w:rPr>
            </w:pPr>
            <w:r>
              <w:rPr>
                <w:rFonts w:hint="default" w:ascii="Times New Roman" w:hAnsi="Times New Roman" w:cs="Times New Roman"/>
                <w:highlight w:val="none"/>
                <w:lang w:val="en-US" w:eastAsia="zh-CN"/>
              </w:rPr>
              <w:t>0602</w:t>
            </w:r>
            <w:r>
              <w:rPr>
                <w:rFonts w:hint="default" w:ascii="Times New Roman" w:hAnsi="Times New Roman" w:cs="Times New Roman"/>
                <w:highlight w:val="none"/>
              </w:rPr>
              <w:t>工矿仓储用地</w:t>
            </w:r>
          </w:p>
        </w:tc>
        <w:tc>
          <w:tcPr>
            <w:tcW w:w="841" w:type="pct"/>
            <w:vMerge w:val="continue"/>
            <w:vAlign w:val="center"/>
          </w:tcPr>
          <w:p w14:paraId="19FF11CE">
            <w:pPr>
              <w:pStyle w:val="72"/>
              <w:rPr>
                <w:rFonts w:hint="default" w:ascii="Times New Roman" w:hAnsi="Times New Roman" w:cs="Times New Roman"/>
              </w:rPr>
            </w:pPr>
          </w:p>
        </w:tc>
      </w:tr>
      <w:tr w14:paraId="647F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266" w:type="pct"/>
            <w:vAlign w:val="center"/>
          </w:tcPr>
          <w:p w14:paraId="68CE8747">
            <w:pPr>
              <w:pStyle w:val="72"/>
              <w:rPr>
                <w:rFonts w:hint="default" w:ascii="Times New Roman" w:hAnsi="Times New Roman" w:cs="Times New Roman"/>
                <w:sz w:val="24"/>
              </w:rPr>
            </w:pPr>
            <w:r>
              <w:rPr>
                <w:rFonts w:hint="default" w:ascii="Times New Roman" w:hAnsi="Times New Roman" w:cs="Times New Roman"/>
                <w:sz w:val="24"/>
                <w:lang w:eastAsia="zh-CN"/>
              </w:rPr>
              <w:t>清河镇二道村</w:t>
            </w:r>
          </w:p>
        </w:tc>
        <w:tc>
          <w:tcPr>
            <w:tcW w:w="1889" w:type="pct"/>
            <w:vAlign w:val="center"/>
          </w:tcPr>
          <w:p w14:paraId="0992B4C6">
            <w:pPr>
              <w:pStyle w:val="72"/>
              <w:rPr>
                <w:rFonts w:hint="default" w:ascii="Times New Roman" w:hAnsi="Times New Roman" w:eastAsia="仿宋" w:cs="Times New Roman"/>
                <w:sz w:val="22"/>
                <w:szCs w:val="22"/>
                <w:lang w:val="en-US" w:eastAsia="zh-CN"/>
              </w:rPr>
            </w:pPr>
            <w:r>
              <w:rPr>
                <w:rFonts w:hint="eastAsia" w:ascii="Times New Roman" w:hAnsi="Times New Roman" w:cs="Times New Roman"/>
                <w:sz w:val="22"/>
                <w:szCs w:val="22"/>
                <w:lang w:val="en-US" w:eastAsia="zh-CN"/>
              </w:rPr>
              <w:t>0.2808</w:t>
            </w:r>
          </w:p>
        </w:tc>
        <w:tc>
          <w:tcPr>
            <w:tcW w:w="1003" w:type="pct"/>
            <w:vAlign w:val="center"/>
          </w:tcPr>
          <w:p w14:paraId="07146213">
            <w:pPr>
              <w:pStyle w:val="72"/>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0.08</w:t>
            </w:r>
          </w:p>
        </w:tc>
        <w:tc>
          <w:tcPr>
            <w:tcW w:w="841" w:type="pct"/>
            <w:vAlign w:val="center"/>
          </w:tcPr>
          <w:p w14:paraId="5C2DCF8B">
            <w:pPr>
              <w:pStyle w:val="72"/>
              <w:ind w:firstLine="0" w:firstLineChars="0"/>
              <w:rPr>
                <w:rFonts w:hint="default" w:ascii="Times New Roman" w:hAnsi="Times New Roman" w:cs="Times New Roman"/>
                <w:sz w:val="22"/>
                <w:szCs w:val="22"/>
                <w:lang w:val="en-US"/>
              </w:rPr>
            </w:pPr>
            <w:r>
              <w:rPr>
                <w:rFonts w:hint="eastAsia" w:ascii="Times New Roman" w:hAnsi="Times New Roman" w:cs="Times New Roman"/>
                <w:sz w:val="22"/>
                <w:szCs w:val="22"/>
                <w:lang w:val="en-US" w:eastAsia="zh-CN"/>
              </w:rPr>
              <w:t>0.3608</w:t>
            </w:r>
          </w:p>
        </w:tc>
      </w:tr>
      <w:tr w14:paraId="30E1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6" w:type="pct"/>
            <w:vAlign w:val="center"/>
          </w:tcPr>
          <w:p w14:paraId="76ED576B">
            <w:pPr>
              <w:pStyle w:val="72"/>
              <w:rPr>
                <w:rFonts w:hint="default" w:ascii="Times New Roman" w:hAnsi="Times New Roman" w:cs="Times New Roman"/>
              </w:rPr>
            </w:pPr>
            <w:r>
              <w:rPr>
                <w:rFonts w:hint="default" w:ascii="Times New Roman" w:hAnsi="Times New Roman" w:cs="Times New Roman"/>
              </w:rPr>
              <w:t>总计</w:t>
            </w:r>
          </w:p>
        </w:tc>
        <w:tc>
          <w:tcPr>
            <w:tcW w:w="3616" w:type="dxa"/>
            <w:vAlign w:val="center"/>
          </w:tcPr>
          <w:p w14:paraId="7783B18F">
            <w:pPr>
              <w:pStyle w:val="72"/>
              <w:ind w:firstLine="0" w:firstLineChars="0"/>
              <w:rPr>
                <w:rFonts w:hint="default" w:ascii="Times New Roman" w:hAnsi="Times New Roman" w:cs="Times New Roman"/>
              </w:rPr>
            </w:pPr>
            <w:r>
              <w:rPr>
                <w:rFonts w:hint="eastAsia" w:ascii="Times New Roman" w:hAnsi="Times New Roman" w:cs="Times New Roman"/>
                <w:sz w:val="22"/>
                <w:szCs w:val="22"/>
                <w:lang w:val="en-US" w:eastAsia="zh-CN"/>
              </w:rPr>
              <w:t>0.2808</w:t>
            </w:r>
          </w:p>
        </w:tc>
        <w:tc>
          <w:tcPr>
            <w:tcW w:w="1920" w:type="dxa"/>
            <w:vAlign w:val="center"/>
          </w:tcPr>
          <w:p w14:paraId="26ABD73A">
            <w:pPr>
              <w:pStyle w:val="72"/>
              <w:ind w:firstLine="0" w:firstLineChars="0"/>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0.08</w:t>
            </w:r>
          </w:p>
        </w:tc>
        <w:tc>
          <w:tcPr>
            <w:tcW w:w="1610" w:type="dxa"/>
            <w:vAlign w:val="center"/>
          </w:tcPr>
          <w:p w14:paraId="123FB3D0">
            <w:pPr>
              <w:pStyle w:val="72"/>
              <w:ind w:firstLine="0" w:firstLineChars="0"/>
              <w:rPr>
                <w:rFonts w:hint="default" w:ascii="Times New Roman" w:hAnsi="Times New Roman" w:eastAsia="仿宋" w:cs="Times New Roman"/>
                <w:sz w:val="22"/>
                <w:szCs w:val="22"/>
                <w:lang w:eastAsia="zh-CN"/>
              </w:rPr>
            </w:pPr>
            <w:r>
              <w:rPr>
                <w:rFonts w:hint="eastAsia" w:ascii="Times New Roman" w:hAnsi="Times New Roman" w:cs="Times New Roman"/>
                <w:sz w:val="22"/>
                <w:szCs w:val="22"/>
                <w:lang w:val="en-US" w:eastAsia="zh-CN"/>
              </w:rPr>
              <w:t>0.3608</w:t>
            </w:r>
          </w:p>
        </w:tc>
      </w:tr>
      <w:bookmarkEnd w:id="85"/>
    </w:tbl>
    <w:p w14:paraId="7750C72B">
      <w:pPr>
        <w:ind w:firstLine="560"/>
        <w:sectPr>
          <w:footerReference r:id="rId13" w:type="default"/>
          <w:pgSz w:w="11906" w:h="16838"/>
          <w:pgMar w:top="1134" w:right="1134" w:bottom="1134" w:left="1418" w:header="851" w:footer="567" w:gutter="0"/>
          <w:pgNumType w:fmt="decimal"/>
          <w:cols w:space="720" w:num="1"/>
          <w:docGrid w:type="linesAndChars" w:linePitch="381" w:charSpace="0"/>
        </w:sectPr>
      </w:pPr>
    </w:p>
    <w:p w14:paraId="10ED73CE">
      <w:pPr>
        <w:pStyle w:val="4"/>
        <w:pageBreakBefore/>
        <w:ind w:firstLine="602"/>
        <w:rPr>
          <w:rFonts w:ascii="Times New Roman" w:hAnsi="Times New Roman"/>
          <w:highlight w:val="none"/>
        </w:rPr>
      </w:pPr>
      <w:bookmarkStart w:id="86" w:name="_Toc215692440"/>
      <w:bookmarkStart w:id="87" w:name="_Toc211790748"/>
      <w:bookmarkStart w:id="88" w:name="_Toc219050279"/>
      <w:r>
        <w:rPr>
          <w:rFonts w:ascii="Times New Roman" w:hAnsi="Times New Roman"/>
          <w:highlight w:val="none"/>
        </w:rPr>
        <w:t>五、矿区生态状况</w:t>
      </w:r>
      <w:bookmarkEnd w:id="86"/>
      <w:bookmarkEnd w:id="87"/>
      <w:bookmarkEnd w:id="88"/>
    </w:p>
    <w:p w14:paraId="00807258">
      <w:pPr>
        <w:ind w:firstLine="560"/>
        <w:rPr>
          <w:szCs w:val="28"/>
          <w:highlight w:val="none"/>
        </w:rPr>
      </w:pPr>
      <w:r>
        <w:rPr>
          <w:szCs w:val="28"/>
          <w:highlight w:val="none"/>
        </w:rPr>
        <w:t>矿区内及评估区范围内无自然保护地、世界自然遗产、生态保护红线等重要生态敏感区，无国家及地方重点保护野生动植物名录所列的物种、古树名木等具有较高保护价值或保护要求的物种种类。</w:t>
      </w:r>
    </w:p>
    <w:p w14:paraId="5AAF388A">
      <w:pPr>
        <w:ind w:firstLine="560"/>
        <w:rPr>
          <w:highlight w:val="none"/>
        </w:rPr>
      </w:pPr>
      <w:r>
        <w:rPr>
          <w:highlight w:val="none"/>
        </w:rPr>
        <w:t>1.矿区生态系统群落特征</w:t>
      </w:r>
    </w:p>
    <w:p w14:paraId="0F18E42C">
      <w:pPr>
        <w:ind w:firstLine="560"/>
        <w:rPr>
          <w:szCs w:val="28"/>
          <w:highlight w:val="none"/>
        </w:rPr>
      </w:pPr>
      <w:r>
        <w:rPr>
          <w:szCs w:val="28"/>
          <w:highlight w:val="none"/>
        </w:rPr>
        <w:t>矿区</w:t>
      </w:r>
      <w:r>
        <w:rPr>
          <w:rFonts w:hint="eastAsia"/>
          <w:szCs w:val="28"/>
          <w:highlight w:val="none"/>
        </w:rPr>
        <w:t>临近</w:t>
      </w:r>
      <w:r>
        <w:rPr>
          <w:szCs w:val="28"/>
          <w:highlight w:val="none"/>
        </w:rPr>
        <w:t>长白山植物区，属温带针阔混交林生态系统，森林资源丰富，为矿区生态修复提供了天然的物种基因库。区域植物群落具有典型的长白山山地植被特征，具体表现为：</w:t>
      </w:r>
    </w:p>
    <w:p w14:paraId="48F6295A">
      <w:pPr>
        <w:ind w:firstLine="560"/>
        <w:rPr>
          <w:szCs w:val="28"/>
          <w:highlight w:val="none"/>
        </w:rPr>
      </w:pPr>
      <w:r>
        <w:rPr>
          <w:szCs w:val="28"/>
          <w:highlight w:val="none"/>
        </w:rPr>
        <w:t>（1）植物区系组成：地表植被主要为针阔叶混交林，其中乔木层以红松、</w:t>
      </w:r>
      <w:r>
        <w:rPr>
          <w:rFonts w:hint="eastAsia"/>
          <w:szCs w:val="28"/>
          <w:highlight w:val="none"/>
          <w:lang w:eastAsia="zh-CN"/>
        </w:rPr>
        <w:t>落叶松</w:t>
      </w:r>
      <w:r>
        <w:rPr>
          <w:szCs w:val="28"/>
          <w:highlight w:val="none"/>
        </w:rPr>
        <w:t>、胡桃楸、水曲柳、桦树等多个树种为主；灌木层常见暴马丁香、刺五加、越橘属等；草本植被的主要种类由蕨菜、蒿类、沙草、羊胡草、木贼等组成。</w:t>
      </w:r>
    </w:p>
    <w:p w14:paraId="269D3278">
      <w:pPr>
        <w:ind w:firstLine="560"/>
        <w:rPr>
          <w:szCs w:val="28"/>
          <w:highlight w:val="none"/>
        </w:rPr>
      </w:pPr>
      <w:r>
        <w:rPr>
          <w:szCs w:val="28"/>
          <w:highlight w:val="none"/>
        </w:rPr>
        <w:t>（2）群落结构特征：自然状态下呈“乔木层-灌木层-草本层”三层复合结构，针阔混交特征明显，如红松与胡桃楸形成的混交群落，具有较强的水土保持、涵养水源及抗干扰能力。</w:t>
      </w:r>
    </w:p>
    <w:p w14:paraId="77A5F816">
      <w:pPr>
        <w:pStyle w:val="18"/>
        <w:spacing w:line="360" w:lineRule="auto"/>
        <w:ind w:firstLine="560"/>
        <w:rPr>
          <w:rFonts w:hint="eastAsia" w:ascii="宋体" w:hAnsi="宋体" w:cs="宋体"/>
          <w:szCs w:val="28"/>
          <w:highlight w:val="none"/>
        </w:rPr>
      </w:pPr>
      <w:r>
        <w:rPr>
          <w:rFonts w:hint="eastAsia" w:ascii="宋体" w:hAnsi="宋体" w:cs="宋体"/>
          <w:szCs w:val="28"/>
          <w:highlight w:val="none"/>
        </w:rPr>
        <w:t>2.矿区动物群落特征</w:t>
      </w:r>
    </w:p>
    <w:p w14:paraId="352B63AC">
      <w:pPr>
        <w:ind w:firstLine="560"/>
        <w:jc w:val="both"/>
        <w:rPr>
          <w:rFonts w:hint="eastAsia" w:ascii="宋体" w:hAnsi="宋体" w:cs="宋体"/>
          <w:szCs w:val="28"/>
        </w:rPr>
      </w:pPr>
      <w:r>
        <w:rPr>
          <w:rFonts w:hint="eastAsia" w:ascii="宋体" w:hAnsi="宋体" w:cs="宋体"/>
          <w:szCs w:val="28"/>
        </w:rPr>
        <w:t>矿区内及评估区范围出现过的物种主要包括野兔、</w:t>
      </w:r>
      <w:r>
        <w:rPr>
          <w:rFonts w:ascii="宋体" w:hAnsi="宋体" w:cs="宋体"/>
          <w:szCs w:val="28"/>
        </w:rPr>
        <w:t>雉鸡</w:t>
      </w:r>
      <w:r>
        <w:rPr>
          <w:rFonts w:hint="eastAsia" w:ascii="宋体" w:hAnsi="宋体" w:cs="宋体"/>
          <w:szCs w:val="28"/>
        </w:rPr>
        <w:t>等野生动物。</w:t>
      </w:r>
    </w:p>
    <w:p w14:paraId="5C9B84BD">
      <w:pPr>
        <w:ind w:firstLine="560"/>
        <w:jc w:val="both"/>
        <w:rPr>
          <w:rFonts w:hint="eastAsia" w:ascii="宋体" w:hAnsi="宋体" w:cs="宋体"/>
          <w:szCs w:val="28"/>
        </w:rPr>
      </w:pPr>
      <w:r>
        <w:rPr>
          <w:rFonts w:hint="eastAsia" w:ascii="宋体" w:hAnsi="宋体" w:cs="宋体"/>
          <w:szCs w:val="28"/>
        </w:rPr>
        <w:t>（1）这些动物在</w:t>
      </w:r>
      <w:r>
        <w:rPr>
          <w:rFonts w:hint="eastAsia" w:ascii="宋体" w:hAnsi="宋体" w:cs="宋体"/>
          <w:szCs w:val="28"/>
          <w:lang w:eastAsia="zh-CN"/>
        </w:rPr>
        <w:t>通化市</w:t>
      </w:r>
      <w:r>
        <w:rPr>
          <w:rFonts w:hint="eastAsia" w:ascii="宋体" w:hAnsi="宋体" w:cs="宋体"/>
          <w:szCs w:val="28"/>
        </w:rPr>
        <w:t>的生态环境中频繁出现，表明该地区的生态环境得到了显著改善，为野生动物提供了丰富的栖息地和食物来源。</w:t>
      </w:r>
    </w:p>
    <w:p w14:paraId="55403CE5">
      <w:pPr>
        <w:ind w:firstLine="560"/>
        <w:jc w:val="both"/>
        <w:rPr>
          <w:rFonts w:hint="eastAsia" w:ascii="宋体" w:hAnsi="宋体" w:cs="宋体"/>
          <w:szCs w:val="28"/>
        </w:rPr>
      </w:pPr>
      <w:r>
        <w:rPr>
          <w:rFonts w:hint="eastAsia" w:ascii="宋体" w:hAnsi="宋体" w:cs="宋体"/>
          <w:szCs w:val="28"/>
        </w:rPr>
        <w:t>（2）动物群落中的许多物种具有较强的生态适应性，能够在不同的生态环境中生存和繁殖。这种适应性使得它们能够在气候变化和环境变化等不利条件下生存下来，从而维持了该地区生物多样性的稳定性。</w:t>
      </w:r>
    </w:p>
    <w:p w14:paraId="1C6D0F29">
      <w:pPr>
        <w:ind w:firstLine="560"/>
      </w:pPr>
      <w:r>
        <w:rPr>
          <w:rFonts w:hint="eastAsia"/>
        </w:rPr>
        <w:t>3</w:t>
      </w:r>
      <w:r>
        <w:t>.已损毁土地生态状况</w:t>
      </w:r>
    </w:p>
    <w:p w14:paraId="145F7327">
      <w:pPr>
        <w:pStyle w:val="15"/>
        <w:ind w:firstLine="560"/>
      </w:pPr>
      <w:r>
        <w:rPr>
          <w:rFonts w:hint="eastAsia"/>
        </w:rPr>
        <w:t>矿山损毁土地主要体现在矿区工业广场和</w:t>
      </w:r>
      <w:r>
        <w:rPr>
          <w:rFonts w:hint="eastAsia"/>
          <w:lang w:val="en-US" w:eastAsia="zh-CN"/>
        </w:rPr>
        <w:t>三处废弃平硐</w:t>
      </w:r>
      <w:r>
        <w:rPr>
          <w:rFonts w:hint="eastAsia"/>
        </w:rPr>
        <w:t>。</w:t>
      </w:r>
    </w:p>
    <w:p w14:paraId="1EEB55F0">
      <w:pPr>
        <w:pStyle w:val="15"/>
        <w:ind w:firstLine="560"/>
      </w:pPr>
      <w:r>
        <w:t>（1）矿区生态系统结构破坏情况</w:t>
      </w:r>
    </w:p>
    <w:p w14:paraId="454C9AF3">
      <w:pPr>
        <w:ind w:firstLine="560"/>
      </w:pPr>
      <w:r>
        <w:t>受矿山长期开采活动，对当地原生温带针阔混交林生态系统造成系统性破坏，原有生态结构的完整性与连续性被彻底打破，具体体现为以下三方面：​</w:t>
      </w:r>
      <w:r>
        <w:fldChar w:fldCharType="begin"/>
      </w:r>
      <w:r>
        <w:instrText xml:space="preserve"> = 1 \* GB3 </w:instrText>
      </w:r>
      <w:r>
        <w:fldChar w:fldCharType="separate"/>
      </w:r>
      <w:r>
        <w:rPr>
          <w:rFonts w:ascii="Cambria Math" w:hAnsi="Cambria Math" w:cs="Cambria Math"/>
        </w:rPr>
        <w:t>①</w:t>
      </w:r>
      <w:r>
        <w:fldChar w:fldCharType="end"/>
      </w:r>
      <w:r>
        <w:t>植被群落的损毁​</w:t>
      </w:r>
    </w:p>
    <w:p w14:paraId="26E1300D">
      <w:pPr>
        <w:ind w:firstLine="560"/>
      </w:pPr>
      <w:r>
        <w:rPr>
          <w:rFonts w:hint="eastAsia"/>
        </w:rPr>
        <w:t>矿山生产</w:t>
      </w:r>
      <w:r>
        <w:t>过程中</w:t>
      </w:r>
      <w:r>
        <w:rPr>
          <w:rFonts w:hint="eastAsia"/>
        </w:rPr>
        <w:t>建设工业广场以及</w:t>
      </w:r>
      <w:r>
        <w:rPr>
          <w:rFonts w:hint="eastAsia"/>
          <w:lang w:val="en-US" w:eastAsia="zh-CN"/>
        </w:rPr>
        <w:t>平硐口挖损</w:t>
      </w:r>
      <w:r>
        <w:rPr>
          <w:rFonts w:hint="eastAsia"/>
        </w:rPr>
        <w:t>造成地表</w:t>
      </w:r>
      <w:r>
        <w:t>原生植被</w:t>
      </w:r>
      <w:r>
        <w:rPr>
          <w:rFonts w:hint="eastAsia"/>
        </w:rPr>
        <w:t>损毁</w:t>
      </w:r>
      <w:r>
        <w:t>，</w:t>
      </w:r>
      <w:r>
        <w:rPr>
          <w:rFonts w:hint="eastAsia"/>
        </w:rPr>
        <w:t>且</w:t>
      </w:r>
      <w:r>
        <w:t>现存损毁区域无自然植被覆盖，且与周边完整植被带形成明显“生态孤岛”，植被群落的自然演替链条断裂，无法通过自然恢复实现群落重建。</w:t>
      </w:r>
    </w:p>
    <w:p w14:paraId="27FD190C">
      <w:pPr>
        <w:ind w:firstLine="560"/>
      </w:pPr>
      <w:r>
        <w:fldChar w:fldCharType="begin"/>
      </w:r>
      <w:r>
        <w:instrText xml:space="preserve"> = 2 \* GB3 </w:instrText>
      </w:r>
      <w:r>
        <w:fldChar w:fldCharType="separate"/>
      </w:r>
      <w:r>
        <w:rPr>
          <w:rFonts w:ascii="Cambria Math" w:hAnsi="Cambria Math" w:cs="Cambria Math"/>
        </w:rPr>
        <w:t>②</w:t>
      </w:r>
      <w:r>
        <w:fldChar w:fldCharType="end"/>
      </w:r>
      <w:r>
        <w:t>土壤系统的破坏​</w:t>
      </w:r>
    </w:p>
    <w:p w14:paraId="33B6AF49">
      <w:pPr>
        <w:ind w:firstLine="560"/>
      </w:pPr>
      <w:r>
        <w:t>原生地表</w:t>
      </w:r>
      <w:r>
        <w:rPr>
          <w:rFonts w:hint="eastAsia"/>
        </w:rPr>
        <w:t>耕地</w:t>
      </w:r>
      <w:r>
        <w:t>腐殖质层被完全</w:t>
      </w:r>
      <w:r>
        <w:rPr>
          <w:rFonts w:hint="eastAsia"/>
          <w:lang w:val="en-US" w:eastAsia="zh-CN"/>
        </w:rPr>
        <w:t>破坏</w:t>
      </w:r>
      <w:r>
        <w:t>，现</w:t>
      </w:r>
      <w:r>
        <w:rPr>
          <w:rFonts w:hint="eastAsia"/>
        </w:rPr>
        <w:t>地表为碎石土及水泥硬覆盖</w:t>
      </w:r>
      <w:r>
        <w:t>，缺乏土壤团粒结构，保水保肥能力差。​</w:t>
      </w:r>
    </w:p>
    <w:p w14:paraId="3DA1EB5C">
      <w:pPr>
        <w:ind w:firstLine="560"/>
      </w:pPr>
      <w:r>
        <w:fldChar w:fldCharType="begin"/>
      </w:r>
      <w:r>
        <w:instrText xml:space="preserve"> = 3 \* GB3 </w:instrText>
      </w:r>
      <w:r>
        <w:fldChar w:fldCharType="separate"/>
      </w:r>
      <w:r>
        <w:rPr>
          <w:rFonts w:ascii="Cambria Math" w:hAnsi="Cambria Math" w:cs="Cambria Math"/>
        </w:rPr>
        <w:t>③</w:t>
      </w:r>
      <w:r>
        <w:fldChar w:fldCharType="end"/>
      </w:r>
      <w:r>
        <w:t>生物栖息功能消失</w:t>
      </w:r>
    </w:p>
    <w:p w14:paraId="07CEFBA9">
      <w:pPr>
        <w:ind w:firstLine="560"/>
      </w:pPr>
      <w:r>
        <w:t>原生植被与土壤环境的破坏，导致区域内野兔、雉鸡等野生动物彻底迁移，植物-动物-微生物构成的食物链断裂，生物多样性显著降低，生态系统的自我调节能力丧失。​</w:t>
      </w:r>
    </w:p>
    <w:p w14:paraId="2A994562">
      <w:pPr>
        <w:ind w:firstLine="560"/>
      </w:pPr>
      <w:r>
        <w:fldChar w:fldCharType="begin"/>
      </w:r>
      <w:r>
        <w:instrText xml:space="preserve"> = 4 \* GB3 </w:instrText>
      </w:r>
      <w:r>
        <w:fldChar w:fldCharType="separate"/>
      </w:r>
      <w:r>
        <w:rPr>
          <w:rFonts w:ascii="Cambria Math" w:hAnsi="Cambria Math" w:cs="Cambria Math"/>
        </w:rPr>
        <w:t>④</w:t>
      </w:r>
      <w:r>
        <w:fldChar w:fldCharType="end"/>
      </w:r>
      <w:r>
        <w:t>景观连通性下降</w:t>
      </w:r>
    </w:p>
    <w:p w14:paraId="550782EA">
      <w:pPr>
        <w:ind w:firstLine="560"/>
      </w:pPr>
      <w:r>
        <w:t>矿区损毁区域作为“生态断点”，阻断了周边针阔混交林等生态斑块的连通性，影响区域整体生态系统的稳定性与抗干扰能力。​</w:t>
      </w:r>
    </w:p>
    <w:p w14:paraId="1C361B55">
      <w:pPr>
        <w:ind w:firstLine="560"/>
      </w:pPr>
      <w:r>
        <w:t>（2）人工生态修复的难易程度评估​</w:t>
      </w:r>
    </w:p>
    <w:p w14:paraId="62C35AED">
      <w:pPr>
        <w:ind w:firstLine="560"/>
      </w:pPr>
      <w:r>
        <w:rPr>
          <w:rFonts w:hint="eastAsia"/>
        </w:rPr>
        <w:t>矿山工业广场平整后复垦为</w:t>
      </w:r>
      <w:r>
        <w:rPr>
          <w:rFonts w:hint="eastAsia"/>
          <w:lang w:val="en-US" w:eastAsia="zh-CN"/>
        </w:rPr>
        <w:t>乔木林地</w:t>
      </w:r>
      <w:r>
        <w:rPr>
          <w:rFonts w:hint="eastAsia"/>
        </w:rPr>
        <w:t>，进行简单平整工程即可满足要求，本次矿山土地复垦的主要区域为</w:t>
      </w:r>
      <w:r>
        <w:rPr>
          <w:rFonts w:hint="eastAsia"/>
          <w:lang w:val="en-US" w:eastAsia="zh-CN"/>
        </w:rPr>
        <w:t>工业广场和平硐口</w:t>
      </w:r>
      <w:r>
        <w:rPr>
          <w:rFonts w:hint="eastAsia"/>
        </w:rPr>
        <w:t>，</w:t>
      </w:r>
      <w:r>
        <w:t>结合矿区生态退化特征与</w:t>
      </w:r>
      <w:r>
        <w:rPr>
          <w:rFonts w:hint="eastAsia"/>
          <w:lang w:eastAsia="zh-CN"/>
        </w:rPr>
        <w:t>集安市</w:t>
      </w:r>
      <w:r>
        <w:t>自然条件，从修复难度与可行性两方面综合评估如下：​</w:t>
      </w:r>
    </w:p>
    <w:p w14:paraId="7B842823">
      <w:pPr>
        <w:ind w:firstLine="560"/>
      </w:pPr>
      <w:r>
        <w:fldChar w:fldCharType="begin"/>
      </w:r>
      <w:r>
        <w:instrText xml:space="preserve"> = 1 \* GB3 </w:instrText>
      </w:r>
      <w:r>
        <w:fldChar w:fldCharType="separate"/>
      </w:r>
      <w:r>
        <w:rPr>
          <w:rFonts w:ascii="Cambria Math" w:hAnsi="Cambria Math" w:cs="Cambria Math"/>
        </w:rPr>
        <w:t>①</w:t>
      </w:r>
      <w:r>
        <w:fldChar w:fldCharType="end"/>
      </w:r>
      <w:r>
        <w:t>主要修复难点​</w:t>
      </w:r>
    </w:p>
    <w:p w14:paraId="1804B217">
      <w:pPr>
        <w:ind w:firstLine="560"/>
      </w:pPr>
      <w:r>
        <w:rPr>
          <w:rFonts w:hint="eastAsia"/>
        </w:rPr>
        <w:t>复垦工程若在稳定前实施，极易出现复垦土地再次沉降、水利设施断裂、植被根系拉断等问题，导致工程失效。</w:t>
      </w:r>
    </w:p>
    <w:p w14:paraId="78511CA6">
      <w:pPr>
        <w:ind w:firstLine="560"/>
      </w:pPr>
      <w:r>
        <w:fldChar w:fldCharType="begin"/>
      </w:r>
      <w:r>
        <w:instrText xml:space="preserve"> = 2 \* GB3 </w:instrText>
      </w:r>
      <w:r>
        <w:fldChar w:fldCharType="separate"/>
      </w:r>
      <w:r>
        <w:rPr>
          <w:rFonts w:ascii="Cambria Math" w:hAnsi="Cambria Math" w:cs="Cambria Math"/>
        </w:rPr>
        <w:t>②</w:t>
      </w:r>
      <w:r>
        <w:fldChar w:fldCharType="end"/>
      </w:r>
      <w:r>
        <w:t>有利修复条件</w:t>
      </w:r>
    </w:p>
    <w:p w14:paraId="5AC507B6">
      <w:pPr>
        <w:ind w:firstLine="560"/>
      </w:pPr>
      <w:r>
        <w:t>乡土物种资源丰富：</w:t>
      </w:r>
      <w:r>
        <w:rPr>
          <w:rFonts w:hint="eastAsia"/>
          <w:lang w:eastAsia="zh-CN"/>
        </w:rPr>
        <w:t>集安市</w:t>
      </w:r>
      <w:r>
        <w:t>丰富的温带针阔混交林物种库，为筛选适生植物提供了基础，可降低外来物种入侵风险；​</w:t>
      </w:r>
    </w:p>
    <w:p w14:paraId="53C5B140">
      <w:pPr>
        <w:ind w:firstLine="560"/>
      </w:pPr>
      <w:r>
        <w:t>气候条件适宜：</w:t>
      </w:r>
      <w:r>
        <w:rPr>
          <w:kern w:val="0"/>
          <w:szCs w:val="28"/>
        </w:rPr>
        <w:t>多年平均降雨量840.7mm，</w:t>
      </w:r>
      <w:r>
        <w:rPr>
          <w:rFonts w:hint="eastAsia"/>
          <w:kern w:val="0"/>
          <w:szCs w:val="28"/>
        </w:rPr>
        <w:t>，单日最大降水量150.4mm，</w:t>
      </w:r>
      <w:r>
        <w:rPr>
          <w:kern w:val="0"/>
          <w:szCs w:val="28"/>
        </w:rPr>
        <w:t>年平均相对湿度为70%，</w:t>
      </w:r>
      <w:r>
        <w:t>满足多数乡土乔木、灌木的生长需求，修复后期可依靠自然降水维持群落稳定；​</w:t>
      </w:r>
    </w:p>
    <w:p w14:paraId="622DBFD0">
      <w:pPr>
        <w:ind w:firstLine="560"/>
      </w:pPr>
      <w:r>
        <w:t>政策与实践支撑：地方政府对矿山生态修复的政策支持与本地类似</w:t>
      </w:r>
      <w:r>
        <w:rPr>
          <w:rFonts w:hint="eastAsia"/>
        </w:rPr>
        <w:t>矿山</w:t>
      </w:r>
      <w:r>
        <w:t>修复经验，为修复方案提供了政策保障与技术参考。​</w:t>
      </w:r>
    </w:p>
    <w:p w14:paraId="1024670E">
      <w:pPr>
        <w:ind w:firstLine="560"/>
        <w:rPr>
          <w:highlight w:val="yellow"/>
        </w:rPr>
      </w:pPr>
      <w:r>
        <w:t>综上，该矿山已损毁土地的生态修复属于“</w:t>
      </w:r>
      <w:r>
        <w:rPr>
          <w:rFonts w:hint="eastAsia"/>
          <w:lang w:eastAsia="zh-CN"/>
        </w:rPr>
        <w:t>简单难度</w:t>
      </w:r>
      <w:r>
        <w:t>-可实现”级别，需通过“土壤重铸+植被重建”的综合技术路线，分阶段推进修复工作，才能实现生态系统的逐步恢复与稳定。</w:t>
      </w:r>
    </w:p>
    <w:p w14:paraId="5F924B6B">
      <w:pPr>
        <w:pStyle w:val="4"/>
        <w:ind w:firstLine="602"/>
        <w:rPr>
          <w:rFonts w:ascii="Times New Roman" w:hAnsi="Times New Roman"/>
        </w:rPr>
      </w:pPr>
      <w:bookmarkStart w:id="89" w:name="_Toc215692441"/>
      <w:bookmarkStart w:id="90" w:name="_Toc211790749"/>
      <w:bookmarkStart w:id="91" w:name="_Toc219050280"/>
      <w:r>
        <w:rPr>
          <w:rFonts w:ascii="Times New Roman" w:hAnsi="Times New Roman"/>
        </w:rPr>
        <w:t>六、矿区及周边人类重大工程活动</w:t>
      </w:r>
      <w:bookmarkEnd w:id="89"/>
      <w:bookmarkEnd w:id="90"/>
      <w:bookmarkEnd w:id="91"/>
    </w:p>
    <w:p w14:paraId="600FAAE5">
      <w:pPr>
        <w:ind w:left="-15" w:right="90" w:firstLine="560"/>
        <w:rPr>
          <w:rFonts w:hint="eastAsia" w:ascii="宋体" w:hAnsi="宋体" w:eastAsia="宋体" w:cs="宋体"/>
          <w:szCs w:val="28"/>
          <w:lang w:eastAsia="zh-CN"/>
        </w:rPr>
      </w:pPr>
      <w:r>
        <w:rPr>
          <w:rFonts w:hint="eastAsia" w:ascii="宋体" w:hAnsi="宋体" w:cs="宋体"/>
          <w:szCs w:val="28"/>
        </w:rPr>
        <w:t>矿区周边没有名胜古迹、重要工业建筑物，</w:t>
      </w:r>
      <w:r>
        <w:rPr>
          <w:rFonts w:hint="eastAsia" w:ascii="宋体" w:hAnsi="宋体" w:cs="宋体"/>
          <w:szCs w:val="28"/>
          <w:lang w:val="en-US" w:eastAsia="zh-CN"/>
        </w:rPr>
        <w:t>矿山西北侧与石墨矿相邻，石墨矿未进行开采，矿山现状为</w:t>
      </w:r>
      <w:r>
        <w:rPr>
          <w:rFonts w:ascii="宋体" w:hAnsi="宋体" w:cs="宋体"/>
          <w:szCs w:val="28"/>
        </w:rPr>
        <w:t>相邻矿山在生产、生态修复方面没有影响。</w:t>
      </w:r>
      <w:r>
        <w:rPr>
          <w:rFonts w:ascii="宋体" w:hAnsi="宋体" w:eastAsia="宋体" w:cs="宋体"/>
          <w:spacing w:val="-2"/>
          <w:sz w:val="28"/>
          <w:szCs w:val="28"/>
        </w:rPr>
        <w:t>地表有林下参，不允许塌陷</w:t>
      </w:r>
      <w:r>
        <w:rPr>
          <w:rFonts w:hint="eastAsia" w:ascii="宋体" w:hAnsi="宋体" w:eastAsia="宋体" w:cs="宋体"/>
          <w:spacing w:val="-2"/>
          <w:sz w:val="28"/>
          <w:szCs w:val="28"/>
          <w:lang w:eastAsia="zh-CN"/>
        </w:rPr>
        <w:t>。</w:t>
      </w:r>
    </w:p>
    <w:p w14:paraId="651FD725">
      <w:pPr>
        <w:ind w:firstLine="560"/>
        <w:rPr>
          <w:szCs w:val="28"/>
        </w:rPr>
      </w:pPr>
      <w:r>
        <w:rPr>
          <w:rFonts w:hint="eastAsia"/>
          <w:szCs w:val="28"/>
        </w:rPr>
        <w:t>综上，矿区附近为人类主要工程活动为矿山开采，农业耕种，矿区内破坏地质环境的人类工程活动较强烈。</w:t>
      </w:r>
    </w:p>
    <w:p w14:paraId="548A5E3D">
      <w:pPr>
        <w:pStyle w:val="4"/>
        <w:ind w:firstLine="602"/>
        <w:rPr>
          <w:rFonts w:ascii="Times New Roman" w:hAnsi="Times New Roman"/>
        </w:rPr>
      </w:pPr>
      <w:bookmarkStart w:id="92" w:name="_Toc211790750"/>
      <w:bookmarkStart w:id="93" w:name="_Toc219050281"/>
      <w:bookmarkStart w:id="94" w:name="_Toc215692442"/>
      <w:r>
        <w:rPr>
          <w:rFonts w:ascii="Times New Roman" w:hAnsi="Times New Roman"/>
        </w:rPr>
        <w:t>七、矿区生态修复工作情况</w:t>
      </w:r>
      <w:bookmarkEnd w:id="92"/>
      <w:bookmarkEnd w:id="93"/>
      <w:bookmarkEnd w:id="94"/>
    </w:p>
    <w:p w14:paraId="6120D627">
      <w:pPr>
        <w:ind w:firstLine="560"/>
        <w:jc w:val="both"/>
      </w:pPr>
      <w:r>
        <w:rPr>
          <w:rFonts w:hint="eastAsia"/>
          <w:szCs w:val="28"/>
        </w:rPr>
        <w:t>矿山按原《二合一方案》要求，进行了水质、水量及土壤监测工作，详情见附件。</w:t>
      </w:r>
    </w:p>
    <w:p w14:paraId="43C473C1">
      <w:pPr>
        <w:pStyle w:val="4"/>
        <w:pageBreakBefore/>
        <w:ind w:firstLine="602"/>
        <w:rPr>
          <w:rFonts w:ascii="Times New Roman" w:hAnsi="Times New Roman"/>
        </w:rPr>
      </w:pPr>
      <w:bookmarkStart w:id="95" w:name="_Toc219050282"/>
      <w:bookmarkStart w:id="96" w:name="_Toc215692443"/>
      <w:bookmarkStart w:id="97" w:name="_Toc211790751"/>
      <w:r>
        <w:rPr>
          <w:rFonts w:ascii="Times New Roman" w:hAnsi="Times New Roman"/>
        </w:rPr>
        <w:t>八、矿区基本情况调查指标</w:t>
      </w:r>
      <w:bookmarkEnd w:id="95"/>
      <w:bookmarkEnd w:id="96"/>
      <w:bookmarkEnd w:id="97"/>
    </w:p>
    <w:p w14:paraId="3700A6FA">
      <w:pPr>
        <w:ind w:firstLine="560"/>
        <w:jc w:val="both"/>
        <w:rPr>
          <w:szCs w:val="28"/>
        </w:rPr>
      </w:pPr>
      <w:r>
        <w:rPr>
          <w:szCs w:val="28"/>
        </w:rPr>
        <w:t>矿山为</w:t>
      </w:r>
      <w:r>
        <w:rPr>
          <w:rFonts w:hint="eastAsia"/>
          <w:szCs w:val="28"/>
          <w:lang w:eastAsia="zh-CN"/>
        </w:rPr>
        <w:t>停产矿山</w:t>
      </w:r>
      <w:r>
        <w:rPr>
          <w:szCs w:val="28"/>
        </w:rPr>
        <w:t>，</w:t>
      </w:r>
      <w:r>
        <w:rPr>
          <w:rFonts w:hint="eastAsia"/>
          <w:szCs w:val="28"/>
          <w:lang w:val="en-US" w:eastAsia="zh-CN"/>
        </w:rPr>
        <w:t>停产时也</w:t>
      </w:r>
      <w:r>
        <w:rPr>
          <w:szCs w:val="28"/>
        </w:rPr>
        <w:t>对矿区进行生态修复监测，具体见表2-</w:t>
      </w:r>
      <w:r>
        <w:rPr>
          <w:rFonts w:hint="eastAsia"/>
          <w:szCs w:val="28"/>
          <w:lang w:val="en-US" w:eastAsia="zh-CN"/>
        </w:rPr>
        <w:t>5</w:t>
      </w:r>
      <w:r>
        <w:rPr>
          <w:rFonts w:hint="eastAsia"/>
          <w:szCs w:val="28"/>
        </w:rPr>
        <w:t>。</w:t>
      </w:r>
    </w:p>
    <w:p w14:paraId="796E9EC7">
      <w:pPr>
        <w:pStyle w:val="57"/>
        <w:rPr>
          <w:rFonts w:ascii="Times New Roman" w:hAnsi="Times New Roman" w:eastAsia="黑体"/>
        </w:rPr>
      </w:pPr>
      <w:r>
        <w:rPr>
          <w:rFonts w:ascii="Times New Roman" w:hAnsi="Times New Roman" w:eastAsia="黑体"/>
        </w:rPr>
        <w:t>表2</w:t>
      </w:r>
      <w:bookmarkStart w:id="98" w:name="_Hlk219058987"/>
      <w:r>
        <w:rPr>
          <w:rFonts w:hint="eastAsia" w:ascii="Times New Roman" w:hAnsi="Times New Roman" w:eastAsia="黑体"/>
          <w:lang w:val="en-US" w:eastAsia="zh-CN"/>
        </w:rPr>
        <w:t>-5</w:t>
      </w:r>
      <w:r>
        <w:rPr>
          <w:rFonts w:ascii="Times New Roman" w:hAnsi="Times New Roman" w:eastAsia="黑体"/>
        </w:rPr>
        <w:t>矿区开采中生态修复监测内容与监测指标表</w:t>
      </w:r>
    </w:p>
    <w:tbl>
      <w:tblPr>
        <w:tblStyle w:val="42"/>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22"/>
        <w:gridCol w:w="833"/>
        <w:gridCol w:w="957"/>
        <w:gridCol w:w="1972"/>
        <w:gridCol w:w="1446"/>
        <w:gridCol w:w="3619"/>
      </w:tblGrid>
      <w:tr w14:paraId="2B29D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378" w:type="pct"/>
            <w:vAlign w:val="center"/>
          </w:tcPr>
          <w:p w14:paraId="5F511858">
            <w:pPr>
              <w:pStyle w:val="72"/>
              <w:rPr>
                <w:rFonts w:hint="eastAsia"/>
              </w:rPr>
            </w:pPr>
            <w:r>
              <w:rPr>
                <w:rFonts w:hint="eastAsia"/>
              </w:rPr>
              <w:t>监测对象</w:t>
            </w:r>
          </w:p>
        </w:tc>
        <w:tc>
          <w:tcPr>
            <w:tcW w:w="436" w:type="pct"/>
            <w:vAlign w:val="center"/>
          </w:tcPr>
          <w:p w14:paraId="451FDCB5">
            <w:pPr>
              <w:pStyle w:val="72"/>
              <w:rPr>
                <w:rFonts w:hint="eastAsia"/>
              </w:rPr>
            </w:pPr>
            <w:r>
              <w:rPr>
                <w:rFonts w:hint="eastAsia"/>
              </w:rPr>
              <w:t>监测内容</w:t>
            </w:r>
          </w:p>
        </w:tc>
        <w:tc>
          <w:tcPr>
            <w:tcW w:w="501" w:type="pct"/>
            <w:vAlign w:val="center"/>
          </w:tcPr>
          <w:p w14:paraId="7262E571">
            <w:pPr>
              <w:pStyle w:val="72"/>
              <w:rPr>
                <w:rFonts w:hint="eastAsia"/>
              </w:rPr>
            </w:pPr>
            <w:r>
              <w:rPr>
                <w:rFonts w:hint="eastAsia"/>
              </w:rPr>
              <w:t>监测指标</w:t>
            </w:r>
          </w:p>
        </w:tc>
        <w:tc>
          <w:tcPr>
            <w:tcW w:w="1032" w:type="pct"/>
            <w:vAlign w:val="center"/>
          </w:tcPr>
          <w:p w14:paraId="57090A26">
            <w:pPr>
              <w:pStyle w:val="72"/>
              <w:rPr>
                <w:rFonts w:hint="default" w:ascii="Times New Roman" w:hAnsi="Times New Roman" w:cs="Times New Roman"/>
              </w:rPr>
            </w:pPr>
            <w:r>
              <w:rPr>
                <w:rFonts w:hint="default" w:ascii="Times New Roman" w:hAnsi="Times New Roman" w:cs="Times New Roman"/>
              </w:rPr>
              <w:t>监测方法</w:t>
            </w:r>
          </w:p>
        </w:tc>
        <w:tc>
          <w:tcPr>
            <w:tcW w:w="757" w:type="pct"/>
            <w:tcBorders>
              <w:right w:val="single" w:color="auto" w:sz="4" w:space="0"/>
            </w:tcBorders>
            <w:vAlign w:val="center"/>
          </w:tcPr>
          <w:p w14:paraId="10D73571">
            <w:pPr>
              <w:pStyle w:val="72"/>
              <w:rPr>
                <w:rFonts w:hint="default" w:ascii="Times New Roman" w:hAnsi="Times New Roman" w:cs="Times New Roman"/>
              </w:rPr>
            </w:pPr>
            <w:r>
              <w:rPr>
                <w:rFonts w:hint="default" w:ascii="Times New Roman" w:hAnsi="Times New Roman" w:cs="Times New Roman"/>
              </w:rPr>
              <w:t>监测对象</w:t>
            </w:r>
          </w:p>
        </w:tc>
        <w:tc>
          <w:tcPr>
            <w:tcW w:w="1893" w:type="pct"/>
            <w:tcBorders>
              <w:left w:val="single" w:color="auto" w:sz="4" w:space="0"/>
            </w:tcBorders>
            <w:vAlign w:val="center"/>
          </w:tcPr>
          <w:p w14:paraId="231A0930">
            <w:pPr>
              <w:pStyle w:val="72"/>
              <w:rPr>
                <w:rFonts w:hint="default" w:ascii="Times New Roman" w:hAnsi="Times New Roman" w:cs="Times New Roman"/>
              </w:rPr>
            </w:pPr>
            <w:r>
              <w:rPr>
                <w:rFonts w:hint="default" w:ascii="Times New Roman" w:hAnsi="Times New Roman" w:cs="Times New Roman"/>
              </w:rPr>
              <w:t>监测值</w:t>
            </w:r>
          </w:p>
        </w:tc>
      </w:tr>
      <w:tr w14:paraId="7897E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7" w:hRule="atLeast"/>
        </w:trPr>
        <w:tc>
          <w:tcPr>
            <w:tcW w:w="378" w:type="pct"/>
            <w:vMerge w:val="restart"/>
            <w:vAlign w:val="center"/>
          </w:tcPr>
          <w:p w14:paraId="7F30390D">
            <w:pPr>
              <w:pStyle w:val="72"/>
              <w:rPr>
                <w:rFonts w:hint="eastAsia"/>
              </w:rPr>
            </w:pPr>
            <w:r>
              <w:rPr>
                <w:rFonts w:hint="eastAsia"/>
                <w:spacing w:val="-2"/>
              </w:rPr>
              <w:t>矿山地质环境</w:t>
            </w:r>
          </w:p>
        </w:tc>
        <w:tc>
          <w:tcPr>
            <w:tcW w:w="436" w:type="pct"/>
            <w:vMerge w:val="restart"/>
            <w:vAlign w:val="center"/>
          </w:tcPr>
          <w:p w14:paraId="78099CE8">
            <w:pPr>
              <w:pStyle w:val="72"/>
              <w:rPr>
                <w:rFonts w:hint="eastAsia"/>
              </w:rPr>
            </w:pPr>
            <w:r>
              <w:rPr>
                <w:rFonts w:hint="eastAsia"/>
              </w:rPr>
              <w:t>地下水环境</w:t>
            </w:r>
          </w:p>
        </w:tc>
        <w:tc>
          <w:tcPr>
            <w:tcW w:w="501" w:type="pct"/>
            <w:vAlign w:val="center"/>
          </w:tcPr>
          <w:p w14:paraId="23D573C8">
            <w:pPr>
              <w:pStyle w:val="72"/>
              <w:rPr>
                <w:rFonts w:hint="eastAsia"/>
              </w:rPr>
            </w:pPr>
            <w:r>
              <w:rPr>
                <w:rFonts w:hint="eastAsia"/>
              </w:rPr>
              <w:t>地下水质量</w:t>
            </w:r>
          </w:p>
        </w:tc>
        <w:tc>
          <w:tcPr>
            <w:tcW w:w="1032" w:type="pct"/>
            <w:vAlign w:val="center"/>
          </w:tcPr>
          <w:p w14:paraId="4EC7911A">
            <w:pPr>
              <w:pStyle w:val="72"/>
              <w:rPr>
                <w:rFonts w:hint="default" w:ascii="Times New Roman" w:hAnsi="Times New Roman" w:cs="Times New Roman"/>
                <w:highlight w:val="none"/>
              </w:rPr>
            </w:pPr>
            <w:r>
              <w:rPr>
                <w:rFonts w:hint="default" w:ascii="Times New Roman" w:hAnsi="Times New Roman" w:cs="Times New Roman"/>
                <w:highlight w:val="none"/>
              </w:rPr>
              <w:t>取样91.1-2019《污水监测技术规范》</w:t>
            </w:r>
          </w:p>
        </w:tc>
        <w:tc>
          <w:tcPr>
            <w:tcW w:w="757" w:type="pct"/>
            <w:tcBorders>
              <w:right w:val="single" w:color="auto" w:sz="4" w:space="0"/>
            </w:tcBorders>
            <w:vAlign w:val="center"/>
          </w:tcPr>
          <w:p w14:paraId="28524E70">
            <w:pPr>
              <w:pStyle w:val="72"/>
              <w:rPr>
                <w:rFonts w:hint="default" w:ascii="Times New Roman" w:hAnsi="Times New Roman" w:cs="Times New Roman"/>
                <w:highlight w:val="none"/>
              </w:rPr>
            </w:pPr>
            <w:r>
              <w:rPr>
                <w:rFonts w:hint="default" w:ascii="Times New Roman" w:hAnsi="Times New Roman" w:cs="Times New Roman"/>
                <w:highlight w:val="none"/>
              </w:rPr>
              <w:t>-200m水样</w:t>
            </w:r>
          </w:p>
        </w:tc>
        <w:tc>
          <w:tcPr>
            <w:tcW w:w="1893" w:type="pct"/>
            <w:tcBorders>
              <w:left w:val="single" w:color="auto" w:sz="4" w:space="0"/>
            </w:tcBorders>
            <w:vAlign w:val="center"/>
          </w:tcPr>
          <w:p w14:paraId="1BC2CFC0">
            <w:pPr>
              <w:pStyle w:val="72"/>
              <w:jc w:val="left"/>
              <w:rPr>
                <w:rFonts w:hint="default" w:ascii="Times New Roman" w:hAnsi="Times New Roman" w:eastAsia="仿宋" w:cs="Times New Roman"/>
                <w:highlight w:val="none"/>
                <w:lang w:val="en-US" w:eastAsia="zh-CN"/>
              </w:rPr>
            </w:pPr>
            <w:r>
              <w:rPr>
                <w:rFonts w:hint="default" w:ascii="Times New Roman" w:hAnsi="Times New Roman" w:cs="Times New Roman"/>
                <w:highlight w:val="none"/>
              </w:rPr>
              <w:t>pH值：</w:t>
            </w:r>
            <w:r>
              <w:rPr>
                <w:rFonts w:hint="eastAsia" w:ascii="Times New Roman" w:hAnsi="Times New Roman" w:cs="Times New Roman"/>
                <w:highlight w:val="none"/>
                <w:lang w:val="en-US" w:eastAsia="zh-CN"/>
              </w:rPr>
              <w:t>7.55</w:t>
            </w:r>
          </w:p>
          <w:p w14:paraId="1BA8CAF3">
            <w:pPr>
              <w:pStyle w:val="72"/>
              <w:jc w:val="left"/>
              <w:rPr>
                <w:rFonts w:hint="default" w:ascii="Times New Roman" w:hAnsi="Times New Roman" w:cs="Times New Roman"/>
                <w:highlight w:val="none"/>
              </w:rPr>
            </w:pPr>
            <w:r>
              <w:rPr>
                <w:rFonts w:hint="default" w:ascii="Times New Roman" w:hAnsi="Times New Roman" w:cs="Times New Roman"/>
                <w:highlight w:val="none"/>
              </w:rPr>
              <w:t>总硬度：</w:t>
            </w:r>
            <w:r>
              <w:rPr>
                <w:rFonts w:hint="eastAsia" w:ascii="Times New Roman" w:hAnsi="Times New Roman" w:cs="Times New Roman"/>
                <w:highlight w:val="none"/>
                <w:lang w:val="en-US" w:eastAsia="zh-CN"/>
              </w:rPr>
              <w:t>160</w:t>
            </w:r>
            <w:r>
              <w:rPr>
                <w:rFonts w:hint="default" w:ascii="Times New Roman" w:hAnsi="Times New Roman" w:cs="Times New Roman"/>
                <w:highlight w:val="none"/>
              </w:rPr>
              <w:t>(mg/L)</w:t>
            </w:r>
          </w:p>
          <w:p w14:paraId="357E89B8">
            <w:pPr>
              <w:pStyle w:val="72"/>
              <w:jc w:val="left"/>
              <w:rPr>
                <w:rFonts w:hint="default" w:ascii="Times New Roman" w:hAnsi="Times New Roman" w:cs="Times New Roman"/>
                <w:highlight w:val="none"/>
              </w:rPr>
            </w:pPr>
            <w:r>
              <w:rPr>
                <w:rFonts w:hint="default" w:ascii="Times New Roman" w:hAnsi="Times New Roman" w:cs="Times New Roman"/>
                <w:highlight w:val="none"/>
              </w:rPr>
              <w:t>溶解氧：≤</w:t>
            </w:r>
            <w:r>
              <w:rPr>
                <w:rFonts w:hint="eastAsia" w:ascii="Times New Roman" w:hAnsi="Times New Roman" w:cs="Times New Roman"/>
                <w:highlight w:val="none"/>
                <w:lang w:val="en-US" w:eastAsia="zh-CN"/>
              </w:rPr>
              <w:t>6.23</w:t>
            </w:r>
            <w:r>
              <w:rPr>
                <w:rFonts w:hint="default" w:ascii="Times New Roman" w:hAnsi="Times New Roman" w:cs="Times New Roman"/>
                <w:highlight w:val="none"/>
              </w:rPr>
              <w:t>(mg/L)</w:t>
            </w:r>
          </w:p>
          <w:p w14:paraId="52762F95">
            <w:pPr>
              <w:pStyle w:val="72"/>
              <w:jc w:val="left"/>
              <w:rPr>
                <w:rFonts w:hint="default" w:ascii="Times New Roman" w:hAnsi="Times New Roman" w:cs="Times New Roman"/>
                <w:highlight w:val="none"/>
              </w:rPr>
            </w:pPr>
            <w:r>
              <w:rPr>
                <w:rFonts w:hint="default" w:ascii="Times New Roman" w:hAnsi="Times New Roman" w:cs="Times New Roman"/>
                <w:highlight w:val="none"/>
              </w:rPr>
              <w:t>硫酸盐：≤</w:t>
            </w:r>
            <w:r>
              <w:rPr>
                <w:rFonts w:hint="eastAsia" w:ascii="Times New Roman" w:hAnsi="Times New Roman" w:cs="Times New Roman"/>
                <w:highlight w:val="none"/>
                <w:lang w:val="en-US" w:eastAsia="zh-CN"/>
              </w:rPr>
              <w:t>35.78</w:t>
            </w:r>
            <w:r>
              <w:rPr>
                <w:rFonts w:hint="default" w:ascii="Times New Roman" w:hAnsi="Times New Roman" w:cs="Times New Roman"/>
                <w:highlight w:val="none"/>
              </w:rPr>
              <w:t>(mg/L)</w:t>
            </w:r>
          </w:p>
          <w:p w14:paraId="1B0C5BDF">
            <w:pPr>
              <w:pStyle w:val="72"/>
              <w:jc w:val="left"/>
              <w:rPr>
                <w:rFonts w:hint="default" w:ascii="Times New Roman" w:hAnsi="Times New Roman" w:cs="Times New Roman"/>
                <w:highlight w:val="none"/>
              </w:rPr>
            </w:pPr>
            <w:r>
              <w:rPr>
                <w:rFonts w:hint="default" w:ascii="Times New Roman" w:hAnsi="Times New Roman" w:cs="Times New Roman"/>
                <w:highlight w:val="none"/>
              </w:rPr>
              <w:t>钙：≤</w:t>
            </w:r>
            <w:r>
              <w:rPr>
                <w:rFonts w:hint="eastAsia" w:ascii="Times New Roman" w:hAnsi="Times New Roman" w:cs="Times New Roman"/>
                <w:highlight w:val="none"/>
                <w:lang w:val="en-US" w:eastAsia="zh-CN"/>
              </w:rPr>
              <w:t>49.92</w:t>
            </w:r>
            <w:r>
              <w:rPr>
                <w:rFonts w:hint="default" w:ascii="Times New Roman" w:hAnsi="Times New Roman" w:cs="Times New Roman"/>
                <w:highlight w:val="none"/>
              </w:rPr>
              <w:t>(mg/L)</w:t>
            </w:r>
          </w:p>
          <w:p w14:paraId="60C0DE6B">
            <w:pPr>
              <w:pStyle w:val="72"/>
              <w:jc w:val="left"/>
              <w:rPr>
                <w:rFonts w:hint="default" w:ascii="Times New Roman" w:hAnsi="Times New Roman" w:cs="Times New Roman"/>
                <w:highlight w:val="none"/>
              </w:rPr>
            </w:pPr>
            <w:r>
              <w:rPr>
                <w:rFonts w:hint="default" w:ascii="Times New Roman" w:hAnsi="Times New Roman" w:cs="Times New Roman"/>
                <w:highlight w:val="none"/>
              </w:rPr>
              <w:t>游离二氧化碳：≤</w:t>
            </w:r>
            <w:r>
              <w:rPr>
                <w:rFonts w:hint="eastAsia" w:ascii="Times New Roman" w:hAnsi="Times New Roman" w:cs="Times New Roman"/>
                <w:highlight w:val="none"/>
                <w:lang w:val="en-US" w:eastAsia="zh-CN"/>
              </w:rPr>
              <w:t>4.40</w:t>
            </w:r>
            <w:r>
              <w:rPr>
                <w:rFonts w:hint="default" w:ascii="Times New Roman" w:hAnsi="Times New Roman" w:cs="Times New Roman"/>
                <w:highlight w:val="none"/>
              </w:rPr>
              <w:t>(mg/L)</w:t>
            </w:r>
          </w:p>
        </w:tc>
      </w:tr>
      <w:tr w14:paraId="07708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78" w:type="pct"/>
            <w:vMerge w:val="restart"/>
            <w:vAlign w:val="center"/>
          </w:tcPr>
          <w:p w14:paraId="77433A70">
            <w:pPr>
              <w:pStyle w:val="72"/>
              <w:rPr>
                <w:rFonts w:hint="eastAsia"/>
              </w:rPr>
            </w:pPr>
          </w:p>
          <w:p w14:paraId="6925DC63">
            <w:pPr>
              <w:pStyle w:val="72"/>
              <w:rPr>
                <w:rFonts w:hint="eastAsia"/>
              </w:rPr>
            </w:pPr>
            <w:r>
              <w:rPr>
                <w:rFonts w:hint="eastAsia"/>
              </w:rPr>
              <w:t>土地资源</w:t>
            </w:r>
          </w:p>
        </w:tc>
        <w:tc>
          <w:tcPr>
            <w:tcW w:w="436" w:type="pct"/>
            <w:vMerge w:val="restart"/>
            <w:vAlign w:val="center"/>
          </w:tcPr>
          <w:p w14:paraId="6C84ABFC">
            <w:pPr>
              <w:pStyle w:val="72"/>
              <w:rPr>
                <w:rFonts w:hint="eastAsia"/>
              </w:rPr>
            </w:pPr>
          </w:p>
          <w:p w14:paraId="38C6E393">
            <w:pPr>
              <w:pStyle w:val="72"/>
              <w:rPr>
                <w:rFonts w:hint="eastAsia"/>
              </w:rPr>
            </w:pPr>
            <w:r>
              <w:rPr>
                <w:rFonts w:hint="eastAsia"/>
              </w:rPr>
              <w:t>土地利用现状</w:t>
            </w:r>
          </w:p>
        </w:tc>
        <w:tc>
          <w:tcPr>
            <w:tcW w:w="501" w:type="pct"/>
            <w:vAlign w:val="center"/>
          </w:tcPr>
          <w:p w14:paraId="41155026">
            <w:pPr>
              <w:pStyle w:val="72"/>
              <w:rPr>
                <w:rFonts w:hint="eastAsia"/>
              </w:rPr>
            </w:pPr>
            <w:r>
              <w:rPr>
                <w:rFonts w:hint="eastAsia"/>
              </w:rPr>
              <w:t>压占</w:t>
            </w:r>
            <w:r>
              <w:t>土地面积</w:t>
            </w:r>
          </w:p>
        </w:tc>
        <w:tc>
          <w:tcPr>
            <w:tcW w:w="1032" w:type="pct"/>
            <w:vAlign w:val="center"/>
          </w:tcPr>
          <w:p w14:paraId="69B0A229">
            <w:pPr>
              <w:pStyle w:val="72"/>
              <w:rPr>
                <w:rFonts w:hint="default" w:ascii="Times New Roman" w:hAnsi="Times New Roman" w:cs="Times New Roman"/>
                <w:highlight w:val="none"/>
              </w:rPr>
            </w:pPr>
            <w:r>
              <w:rPr>
                <w:rFonts w:hint="default" w:ascii="Times New Roman" w:hAnsi="Times New Roman" w:cs="Times New Roman"/>
                <w:highlight w:val="none"/>
              </w:rPr>
              <w:t>测绘</w:t>
            </w:r>
          </w:p>
        </w:tc>
        <w:tc>
          <w:tcPr>
            <w:tcW w:w="2651" w:type="pct"/>
            <w:gridSpan w:val="2"/>
            <w:vAlign w:val="center"/>
          </w:tcPr>
          <w:p w14:paraId="3849EF5D">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0.47</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p>
        </w:tc>
      </w:tr>
      <w:tr w14:paraId="36A56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78" w:type="pct"/>
            <w:vMerge w:val="continue"/>
            <w:tcBorders>
              <w:top w:val="nil"/>
            </w:tcBorders>
            <w:vAlign w:val="center"/>
          </w:tcPr>
          <w:p w14:paraId="04276F78">
            <w:pPr>
              <w:pStyle w:val="72"/>
              <w:rPr>
                <w:rFonts w:hint="eastAsia"/>
                <w:lang w:eastAsia="en-US"/>
              </w:rPr>
            </w:pPr>
          </w:p>
        </w:tc>
        <w:tc>
          <w:tcPr>
            <w:tcW w:w="436" w:type="pct"/>
            <w:vMerge w:val="continue"/>
            <w:tcBorders>
              <w:top w:val="nil"/>
            </w:tcBorders>
            <w:vAlign w:val="center"/>
          </w:tcPr>
          <w:p w14:paraId="77EBF481">
            <w:pPr>
              <w:pStyle w:val="72"/>
              <w:rPr>
                <w:rFonts w:hint="eastAsia"/>
              </w:rPr>
            </w:pPr>
          </w:p>
        </w:tc>
        <w:tc>
          <w:tcPr>
            <w:tcW w:w="501" w:type="pct"/>
            <w:vAlign w:val="center"/>
          </w:tcPr>
          <w:p w14:paraId="320FF59F">
            <w:pPr>
              <w:pStyle w:val="72"/>
              <w:rPr>
                <w:rFonts w:hint="eastAsia"/>
              </w:rPr>
            </w:pPr>
            <w:r>
              <w:rPr>
                <w:rFonts w:hint="eastAsia"/>
              </w:rPr>
              <w:t>土地利用面积</w:t>
            </w:r>
          </w:p>
        </w:tc>
        <w:tc>
          <w:tcPr>
            <w:tcW w:w="1032" w:type="pct"/>
            <w:tcBorders>
              <w:top w:val="nil"/>
            </w:tcBorders>
            <w:vAlign w:val="center"/>
          </w:tcPr>
          <w:p w14:paraId="294E98E0">
            <w:pPr>
              <w:pStyle w:val="72"/>
              <w:rPr>
                <w:rFonts w:hint="default" w:ascii="Times New Roman" w:hAnsi="Times New Roman" w:cs="Times New Roman"/>
                <w:highlight w:val="none"/>
              </w:rPr>
            </w:pPr>
            <w:r>
              <w:rPr>
                <w:rFonts w:hint="default" w:ascii="Times New Roman" w:hAnsi="Times New Roman" w:cs="Times New Roman"/>
                <w:highlight w:val="none"/>
              </w:rPr>
              <w:t>测绘</w:t>
            </w:r>
          </w:p>
        </w:tc>
        <w:tc>
          <w:tcPr>
            <w:tcW w:w="2651" w:type="pct"/>
            <w:gridSpan w:val="2"/>
            <w:vAlign w:val="center"/>
          </w:tcPr>
          <w:p w14:paraId="474B811F">
            <w:pPr>
              <w:pStyle w:val="72"/>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0.47</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p>
        </w:tc>
      </w:tr>
      <w:tr w14:paraId="2F875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8" w:hRule="atLeast"/>
        </w:trPr>
        <w:tc>
          <w:tcPr>
            <w:tcW w:w="378" w:type="pct"/>
            <w:vMerge w:val="continue"/>
            <w:tcBorders>
              <w:top w:val="nil"/>
            </w:tcBorders>
            <w:vAlign w:val="center"/>
          </w:tcPr>
          <w:p w14:paraId="019A19CF">
            <w:pPr>
              <w:pStyle w:val="72"/>
              <w:rPr>
                <w:rFonts w:hint="eastAsia"/>
                <w:lang w:eastAsia="en-US"/>
              </w:rPr>
            </w:pPr>
          </w:p>
        </w:tc>
        <w:tc>
          <w:tcPr>
            <w:tcW w:w="436" w:type="pct"/>
            <w:vMerge w:val="continue"/>
            <w:tcBorders>
              <w:top w:val="nil"/>
            </w:tcBorders>
            <w:vAlign w:val="center"/>
          </w:tcPr>
          <w:p w14:paraId="0FDCD76B">
            <w:pPr>
              <w:pStyle w:val="72"/>
              <w:rPr>
                <w:rFonts w:hint="eastAsia"/>
              </w:rPr>
            </w:pPr>
          </w:p>
        </w:tc>
        <w:tc>
          <w:tcPr>
            <w:tcW w:w="501" w:type="pct"/>
            <w:vAlign w:val="center"/>
          </w:tcPr>
          <w:p w14:paraId="2640E6B6">
            <w:pPr>
              <w:pStyle w:val="72"/>
              <w:rPr>
                <w:rFonts w:hint="eastAsia"/>
              </w:rPr>
            </w:pPr>
            <w:r>
              <w:rPr>
                <w:rFonts w:hint="eastAsia"/>
              </w:rPr>
              <w:t>土壤</w:t>
            </w:r>
            <w:r>
              <w:t>污</w:t>
            </w:r>
            <w:r>
              <w:rPr>
                <w:rFonts w:hint="eastAsia"/>
              </w:rPr>
              <w:t>染</w:t>
            </w:r>
          </w:p>
        </w:tc>
        <w:tc>
          <w:tcPr>
            <w:tcW w:w="1032" w:type="pct"/>
            <w:tcBorders>
              <w:top w:val="nil"/>
            </w:tcBorders>
            <w:vAlign w:val="center"/>
          </w:tcPr>
          <w:p w14:paraId="22DF93FF">
            <w:pPr>
              <w:pStyle w:val="72"/>
              <w:rPr>
                <w:rFonts w:hint="default" w:ascii="Times New Roman" w:hAnsi="Times New Roman" w:cs="Times New Roman"/>
                <w:highlight w:val="none"/>
              </w:rPr>
            </w:pPr>
            <w:r>
              <w:rPr>
                <w:rFonts w:hint="default" w:ascii="Times New Roman" w:hAnsi="Times New Roman" w:cs="Times New Roman"/>
                <w:highlight w:val="none"/>
              </w:rPr>
              <w:t>污染物含量</w:t>
            </w:r>
          </w:p>
        </w:tc>
        <w:tc>
          <w:tcPr>
            <w:tcW w:w="2651" w:type="pct"/>
            <w:gridSpan w:val="2"/>
            <w:vAlign w:val="center"/>
          </w:tcPr>
          <w:p w14:paraId="763D5E7C">
            <w:pPr>
              <w:pStyle w:val="72"/>
              <w:rPr>
                <w:rFonts w:hint="default" w:ascii="Times New Roman" w:hAnsi="Times New Roman" w:cs="Times New Roman"/>
                <w:highlight w:val="none"/>
              </w:rPr>
            </w:pPr>
            <w:r>
              <w:rPr>
                <w:rFonts w:hint="default" w:ascii="Times New Roman" w:hAnsi="Times New Roman" w:cs="Times New Roman"/>
                <w:highlight w:val="none"/>
              </w:rPr>
              <w:t>砷</w:t>
            </w:r>
            <w:r>
              <w:rPr>
                <w:rFonts w:hint="default" w:ascii="Times New Roman" w:hAnsi="Times New Roman" w:cs="Times New Roman"/>
                <w:highlight w:val="none"/>
              </w:rPr>
              <w:tab/>
            </w:r>
            <w:r>
              <w:rPr>
                <w:rFonts w:hint="eastAsia" w:ascii="Times New Roman" w:hAnsi="Times New Roman" w:cs="Times New Roman"/>
                <w:highlight w:val="none"/>
                <w:lang w:val="en-US" w:eastAsia="zh-CN"/>
              </w:rPr>
              <w:t>12.4</w:t>
            </w:r>
            <w:r>
              <w:rPr>
                <w:rFonts w:hint="default" w:ascii="Times New Roman" w:hAnsi="Times New Roman" w:cs="Times New Roman"/>
                <w:highlight w:val="none"/>
              </w:rPr>
              <w:t>mg/kg</w:t>
            </w:r>
          </w:p>
          <w:p w14:paraId="2B5EB020">
            <w:pPr>
              <w:pStyle w:val="72"/>
              <w:rPr>
                <w:rFonts w:hint="default" w:ascii="Times New Roman" w:hAnsi="Times New Roman" w:cs="Times New Roman"/>
                <w:highlight w:val="none"/>
              </w:rPr>
            </w:pPr>
            <w:r>
              <w:rPr>
                <w:rFonts w:hint="default" w:ascii="Times New Roman" w:hAnsi="Times New Roman" w:cs="Times New Roman"/>
                <w:highlight w:val="none"/>
              </w:rPr>
              <w:t>铅</w:t>
            </w:r>
            <w:r>
              <w:rPr>
                <w:rFonts w:hint="default" w:ascii="Times New Roman" w:hAnsi="Times New Roman" w:cs="Times New Roman"/>
                <w:highlight w:val="none"/>
              </w:rPr>
              <w:tab/>
            </w:r>
            <w:r>
              <w:rPr>
                <w:rFonts w:hint="eastAsia" w:ascii="Times New Roman" w:hAnsi="Times New Roman" w:cs="Times New Roman"/>
                <w:highlight w:val="none"/>
                <w:lang w:val="en-US" w:eastAsia="zh-CN"/>
              </w:rPr>
              <w:t>38.6</w:t>
            </w:r>
            <w:r>
              <w:rPr>
                <w:rFonts w:hint="default" w:ascii="Times New Roman" w:hAnsi="Times New Roman" w:cs="Times New Roman"/>
                <w:highlight w:val="none"/>
              </w:rPr>
              <w:t>mg/kg</w:t>
            </w:r>
          </w:p>
          <w:p w14:paraId="6A977B3D">
            <w:pPr>
              <w:pStyle w:val="72"/>
              <w:rPr>
                <w:rFonts w:hint="default" w:ascii="Times New Roman" w:hAnsi="Times New Roman" w:cs="Times New Roman"/>
                <w:highlight w:val="none"/>
              </w:rPr>
            </w:pPr>
            <w:r>
              <w:rPr>
                <w:rFonts w:hint="default" w:ascii="Times New Roman" w:hAnsi="Times New Roman" w:cs="Times New Roman"/>
                <w:highlight w:val="none"/>
              </w:rPr>
              <w:t>汞</w:t>
            </w:r>
            <w:r>
              <w:rPr>
                <w:rFonts w:hint="eastAsia" w:ascii="Times New Roman" w:hAnsi="Times New Roman" w:cs="Times New Roman"/>
                <w:highlight w:val="none"/>
                <w:lang w:val="en-US" w:eastAsia="zh-CN"/>
              </w:rPr>
              <w:t xml:space="preserve"> 0.127</w:t>
            </w:r>
            <w:r>
              <w:rPr>
                <w:rFonts w:hint="default" w:ascii="Times New Roman" w:hAnsi="Times New Roman" w:cs="Times New Roman"/>
                <w:highlight w:val="none"/>
              </w:rPr>
              <w:t>mg/kg</w:t>
            </w:r>
          </w:p>
          <w:p w14:paraId="505FB52A">
            <w:pPr>
              <w:pStyle w:val="72"/>
              <w:rPr>
                <w:rFonts w:hint="default" w:ascii="Times New Roman" w:hAnsi="Times New Roman" w:cs="Times New Roman"/>
                <w:highlight w:val="none"/>
              </w:rPr>
            </w:pPr>
            <w:r>
              <w:rPr>
                <w:rFonts w:hint="default" w:ascii="Times New Roman" w:hAnsi="Times New Roman" w:cs="Times New Roman"/>
                <w:highlight w:val="none"/>
              </w:rPr>
              <w:t>镉</w:t>
            </w:r>
            <w:r>
              <w:rPr>
                <w:rFonts w:hint="eastAsia" w:ascii="Times New Roman" w:hAnsi="Times New Roman" w:cs="Times New Roman"/>
                <w:highlight w:val="none"/>
                <w:lang w:val="en-US" w:eastAsia="zh-CN"/>
              </w:rPr>
              <w:t xml:space="preserve">  0.11</w:t>
            </w:r>
            <w:r>
              <w:rPr>
                <w:rFonts w:hint="default" w:ascii="Times New Roman" w:hAnsi="Times New Roman" w:cs="Times New Roman"/>
                <w:highlight w:val="none"/>
              </w:rPr>
              <w:t>mg/kg</w:t>
            </w:r>
          </w:p>
          <w:p w14:paraId="02B5FC94">
            <w:pPr>
              <w:pStyle w:val="72"/>
              <w:rPr>
                <w:rFonts w:hint="default" w:ascii="Times New Roman" w:hAnsi="Times New Roman" w:cs="Times New Roman"/>
                <w:highlight w:val="none"/>
              </w:rPr>
            </w:pPr>
            <w:r>
              <w:rPr>
                <w:rFonts w:hint="default" w:ascii="Times New Roman" w:hAnsi="Times New Roman" w:cs="Times New Roman"/>
                <w:highlight w:val="none"/>
              </w:rPr>
              <w:t>铬</w:t>
            </w:r>
            <w:r>
              <w:rPr>
                <w:rFonts w:hint="default" w:ascii="Times New Roman" w:hAnsi="Times New Roman" w:cs="Times New Roman"/>
                <w:highlight w:val="none"/>
              </w:rPr>
              <w:tab/>
            </w:r>
            <w:r>
              <w:rPr>
                <w:rFonts w:hint="eastAsia" w:ascii="Times New Roman" w:hAnsi="Times New Roman" w:cs="Times New Roman"/>
                <w:highlight w:val="none"/>
                <w:lang w:val="en-US" w:eastAsia="zh-CN"/>
              </w:rPr>
              <w:t>59.2</w:t>
            </w:r>
            <w:r>
              <w:rPr>
                <w:rFonts w:hint="default" w:ascii="Times New Roman" w:hAnsi="Times New Roman" w:cs="Times New Roman"/>
                <w:highlight w:val="none"/>
              </w:rPr>
              <w:t>mg/kg</w:t>
            </w:r>
          </w:p>
          <w:p w14:paraId="1AA777F5">
            <w:pPr>
              <w:pStyle w:val="72"/>
              <w:rPr>
                <w:rFonts w:hint="default" w:ascii="Times New Roman" w:hAnsi="Times New Roman" w:cs="Times New Roman"/>
                <w:highlight w:val="none"/>
              </w:rPr>
            </w:pPr>
            <w:r>
              <w:rPr>
                <w:rFonts w:hint="default" w:ascii="Times New Roman" w:hAnsi="Times New Roman" w:cs="Times New Roman"/>
                <w:highlight w:val="none"/>
              </w:rPr>
              <w:t>铜</w:t>
            </w:r>
            <w:r>
              <w:rPr>
                <w:rFonts w:hint="default" w:ascii="Times New Roman" w:hAnsi="Times New Roman" w:cs="Times New Roman"/>
                <w:highlight w:val="none"/>
              </w:rPr>
              <w:tab/>
            </w:r>
            <w:r>
              <w:rPr>
                <w:rFonts w:hint="eastAsia" w:ascii="Times New Roman" w:hAnsi="Times New Roman" w:cs="Times New Roman"/>
                <w:highlight w:val="none"/>
                <w:lang w:val="en-US" w:eastAsia="zh-CN"/>
              </w:rPr>
              <w:t>34.7</w:t>
            </w:r>
            <w:r>
              <w:rPr>
                <w:rFonts w:hint="default" w:ascii="Times New Roman" w:hAnsi="Times New Roman" w:cs="Times New Roman"/>
                <w:highlight w:val="none"/>
              </w:rPr>
              <w:t>mg/kg</w:t>
            </w:r>
          </w:p>
          <w:p w14:paraId="19FA5AC1">
            <w:pPr>
              <w:pStyle w:val="72"/>
              <w:rPr>
                <w:rFonts w:hint="default" w:ascii="Times New Roman" w:hAnsi="Times New Roman" w:cs="Times New Roman"/>
                <w:highlight w:val="none"/>
              </w:rPr>
            </w:pPr>
            <w:r>
              <w:rPr>
                <w:rFonts w:hint="default" w:ascii="Times New Roman" w:hAnsi="Times New Roman" w:cs="Times New Roman"/>
                <w:highlight w:val="none"/>
              </w:rPr>
              <w:t>镍</w:t>
            </w:r>
            <w:r>
              <w:rPr>
                <w:rFonts w:hint="default" w:ascii="Times New Roman" w:hAnsi="Times New Roman" w:cs="Times New Roman"/>
                <w:highlight w:val="none"/>
              </w:rPr>
              <w:tab/>
            </w:r>
            <w:r>
              <w:rPr>
                <w:rFonts w:hint="eastAsia" w:ascii="Times New Roman" w:hAnsi="Times New Roman" w:cs="Times New Roman"/>
                <w:highlight w:val="none"/>
                <w:lang w:val="en-US" w:eastAsia="zh-CN"/>
              </w:rPr>
              <w:t>24.7</w:t>
            </w:r>
            <w:r>
              <w:rPr>
                <w:rFonts w:hint="default" w:ascii="Times New Roman" w:hAnsi="Times New Roman" w:cs="Times New Roman"/>
                <w:highlight w:val="none"/>
              </w:rPr>
              <w:t>mg/kg</w:t>
            </w:r>
          </w:p>
          <w:p w14:paraId="25B1C2B5">
            <w:pPr>
              <w:pStyle w:val="72"/>
              <w:rPr>
                <w:rFonts w:hint="default" w:ascii="Times New Roman" w:hAnsi="Times New Roman" w:cs="Times New Roman"/>
                <w:highlight w:val="none"/>
              </w:rPr>
            </w:pPr>
            <w:r>
              <w:rPr>
                <w:rFonts w:hint="default" w:ascii="Times New Roman" w:hAnsi="Times New Roman" w:cs="Times New Roman"/>
                <w:highlight w:val="none"/>
              </w:rPr>
              <w:t>锌</w:t>
            </w:r>
            <w:r>
              <w:rPr>
                <w:rFonts w:hint="default" w:ascii="Times New Roman" w:hAnsi="Times New Roman" w:cs="Times New Roman"/>
                <w:highlight w:val="none"/>
              </w:rPr>
              <w:tab/>
            </w:r>
            <w:r>
              <w:rPr>
                <w:rFonts w:hint="eastAsia" w:ascii="Times New Roman" w:hAnsi="Times New Roman" w:cs="Times New Roman"/>
                <w:highlight w:val="none"/>
                <w:lang w:val="en-US" w:eastAsia="zh-CN"/>
              </w:rPr>
              <w:t>161.1</w:t>
            </w:r>
            <w:r>
              <w:rPr>
                <w:rFonts w:hint="default" w:ascii="Times New Roman" w:hAnsi="Times New Roman" w:cs="Times New Roman"/>
                <w:highlight w:val="none"/>
              </w:rPr>
              <w:t>mg/kg</w:t>
            </w:r>
          </w:p>
        </w:tc>
      </w:tr>
      <w:bookmarkEnd w:id="98"/>
    </w:tbl>
    <w:p w14:paraId="1FE81065">
      <w:pPr>
        <w:pStyle w:val="57"/>
        <w:jc w:val="both"/>
        <w:rPr>
          <w:rFonts w:ascii="Times New Roman" w:hAnsi="Times New Roman"/>
        </w:rPr>
      </w:pPr>
    </w:p>
    <w:p w14:paraId="24C9AF76">
      <w:pPr>
        <w:pStyle w:val="3"/>
        <w:ind w:firstLine="640"/>
      </w:pPr>
      <w:bookmarkStart w:id="99" w:name="_Toc215692444"/>
      <w:bookmarkStart w:id="100" w:name="_Toc211790752"/>
      <w:bookmarkStart w:id="101" w:name="_Toc219050283"/>
      <w:r>
        <w:t>第三章问题识别诊断及修复可行性分析</w:t>
      </w:r>
      <w:bookmarkEnd w:id="99"/>
      <w:bookmarkEnd w:id="100"/>
      <w:bookmarkEnd w:id="101"/>
    </w:p>
    <w:p w14:paraId="685D0141">
      <w:pPr>
        <w:pStyle w:val="4"/>
        <w:ind w:firstLine="602"/>
        <w:rPr>
          <w:rFonts w:ascii="Times New Roman" w:hAnsi="Times New Roman"/>
        </w:rPr>
      </w:pPr>
      <w:bookmarkStart w:id="102" w:name="_Toc219050284"/>
      <w:bookmarkStart w:id="103" w:name="_Toc211790753"/>
      <w:bookmarkStart w:id="104" w:name="_Toc215692445"/>
      <w:r>
        <w:rPr>
          <w:rFonts w:ascii="Times New Roman" w:hAnsi="Times New Roman"/>
        </w:rPr>
        <w:t>一、问题识别与受损预测</w:t>
      </w:r>
      <w:bookmarkEnd w:id="102"/>
      <w:bookmarkEnd w:id="103"/>
      <w:bookmarkEnd w:id="104"/>
    </w:p>
    <w:p w14:paraId="1E6B7E96">
      <w:pPr>
        <w:ind w:firstLine="560"/>
        <w:rPr>
          <w:rFonts w:hint="eastAsia" w:ascii="宋体" w:hAnsi="宋体" w:cs="宋体"/>
          <w:szCs w:val="28"/>
        </w:rPr>
      </w:pPr>
      <w:r>
        <w:rPr>
          <w:szCs w:val="28"/>
        </w:rPr>
        <w:t>根据矿区地形地貌、地质构造条件、矿床开采条件、环境地质问题以及今后矿山建设可能引发或加剧的环境地质问题，综合考虑矿山未来开采可能对地质环境影响的程度，适当考虑地形起伏变化、分水岭分布情况及</w:t>
      </w:r>
      <w:r>
        <w:rPr>
          <w:rFonts w:hint="eastAsia"/>
          <w:szCs w:val="28"/>
        </w:rPr>
        <w:t>项目区</w:t>
      </w:r>
      <w:r>
        <w:rPr>
          <w:szCs w:val="28"/>
        </w:rPr>
        <w:t>范围，外扩</w:t>
      </w:r>
      <w:r>
        <w:rPr>
          <w:rFonts w:hint="eastAsia"/>
          <w:szCs w:val="28"/>
          <w:lang w:eastAsia="zh-CN"/>
        </w:rPr>
        <w:t>200m</w:t>
      </w:r>
      <w:r>
        <w:rPr>
          <w:szCs w:val="28"/>
        </w:rPr>
        <w:t>为边界圈定评估区范围，因此确定本次评估区面积为</w:t>
      </w:r>
      <w:r>
        <w:rPr>
          <w:rFonts w:hint="eastAsia"/>
          <w:szCs w:val="28"/>
          <w:lang w:eastAsia="zh-CN"/>
        </w:rPr>
        <w:t>47.0</w:t>
      </w:r>
      <w:r>
        <w:rPr>
          <w:szCs w:val="28"/>
        </w:rPr>
        <w:t>h</w:t>
      </w:r>
      <w:r>
        <w:rPr>
          <w:rFonts w:hint="eastAsia"/>
          <w:szCs w:val="28"/>
        </w:rPr>
        <w:t>m²</w:t>
      </w:r>
      <w:r>
        <w:rPr>
          <w:szCs w:val="28"/>
        </w:rPr>
        <w:t>。</w:t>
      </w:r>
      <w:r>
        <w:rPr>
          <w:rFonts w:hint="eastAsia"/>
          <w:szCs w:val="28"/>
        </w:rPr>
        <w:t>矿山地质环境影响评估级别根据评估区重要程度、矿山生产建设规模、矿山地质环境条件复杂程度综合确定。</w:t>
      </w:r>
    </w:p>
    <w:p w14:paraId="1CE40833">
      <w:pPr>
        <w:ind w:firstLine="562"/>
        <w:rPr>
          <w:rFonts w:cs="宋体"/>
          <w:b/>
          <w:bCs/>
          <w:szCs w:val="28"/>
        </w:rPr>
      </w:pPr>
      <w:r>
        <w:rPr>
          <w:rFonts w:hint="eastAsia" w:cs="宋体"/>
          <w:b/>
          <w:bCs/>
          <w:szCs w:val="28"/>
        </w:rPr>
        <w:t>1.评估区重要程度</w:t>
      </w:r>
    </w:p>
    <w:p w14:paraId="731B5FD8">
      <w:pPr>
        <w:ind w:firstLine="560"/>
        <w:rPr>
          <w:szCs w:val="28"/>
        </w:rPr>
      </w:pPr>
      <w:r>
        <w:rPr>
          <w:rFonts w:hint="eastAsia"/>
          <w:szCs w:val="28"/>
        </w:rPr>
        <w:t>评估区常驻人口</w:t>
      </w:r>
      <w:r>
        <w:rPr>
          <w:rFonts w:hint="eastAsia"/>
          <w:szCs w:val="28"/>
          <w:lang w:val="en-US" w:eastAsia="zh-CN"/>
        </w:rPr>
        <w:t>小</w:t>
      </w:r>
      <w:r>
        <w:rPr>
          <w:rFonts w:hint="eastAsia"/>
          <w:szCs w:val="28"/>
        </w:rPr>
        <w:t>于</w:t>
      </w:r>
      <w:r>
        <w:rPr>
          <w:rFonts w:hint="eastAsia"/>
          <w:szCs w:val="28"/>
          <w:lang w:val="en-US" w:eastAsia="zh-CN"/>
        </w:rPr>
        <w:t>2</w:t>
      </w:r>
      <w:r>
        <w:rPr>
          <w:rFonts w:hint="eastAsia"/>
          <w:szCs w:val="28"/>
        </w:rPr>
        <w:t>00人；分布有</w:t>
      </w:r>
      <w:r>
        <w:rPr>
          <w:rFonts w:hint="eastAsia"/>
          <w:szCs w:val="28"/>
          <w:lang w:val="en-US" w:eastAsia="zh-CN"/>
        </w:rPr>
        <w:t>无</w:t>
      </w:r>
      <w:r>
        <w:rPr>
          <w:rFonts w:hint="eastAsia"/>
          <w:szCs w:val="28"/>
        </w:rPr>
        <w:t>重要交通要道或建筑设施；远离各级自然保护区及旅游景区（点）；无较重要水源地；矿山建设破坏</w:t>
      </w:r>
      <w:r>
        <w:rPr>
          <w:rFonts w:hint="eastAsia"/>
          <w:szCs w:val="28"/>
          <w:lang w:val="en-US" w:eastAsia="zh-CN"/>
        </w:rPr>
        <w:t>乔木林地</w:t>
      </w:r>
      <w:r>
        <w:rPr>
          <w:rFonts w:hint="eastAsia"/>
          <w:szCs w:val="28"/>
        </w:rPr>
        <w:t>。评估区重要程度</w:t>
      </w:r>
      <w:r>
        <w:rPr>
          <w:rFonts w:hint="eastAsia"/>
          <w:szCs w:val="28"/>
          <w:lang w:eastAsia="zh-CN"/>
        </w:rPr>
        <w:t>属于较重要区</w:t>
      </w:r>
      <w:r>
        <w:rPr>
          <w:rFonts w:hint="eastAsia"/>
          <w:szCs w:val="28"/>
        </w:rPr>
        <w:t>（表3-1）。</w:t>
      </w:r>
    </w:p>
    <w:p w14:paraId="7C38E111">
      <w:pPr>
        <w:pStyle w:val="57"/>
        <w:rPr>
          <w:rFonts w:hint="eastAsia" w:eastAsia="宋体"/>
          <w:lang w:eastAsia="zh-CN"/>
        </w:rPr>
      </w:pPr>
      <w:r>
        <w:rPr>
          <w:rFonts w:hint="eastAsia"/>
        </w:rPr>
        <w:t>表3-1评估区重要程度分级表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4"/>
        <w:gridCol w:w="3357"/>
        <w:gridCol w:w="3135"/>
      </w:tblGrid>
      <w:tr w14:paraId="559C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1666" w:type="pct"/>
            <w:vAlign w:val="center"/>
          </w:tcPr>
          <w:p w14:paraId="2D1F5644">
            <w:pPr>
              <w:pStyle w:val="72"/>
              <w:jc w:val="center"/>
              <w:rPr>
                <w:rFonts w:hint="eastAsia"/>
              </w:rPr>
            </w:pPr>
            <w:r>
              <w:rPr>
                <w:rFonts w:hint="eastAsia"/>
              </w:rPr>
              <w:t>重要区</w:t>
            </w:r>
          </w:p>
        </w:tc>
        <w:tc>
          <w:tcPr>
            <w:tcW w:w="1724" w:type="pct"/>
            <w:vAlign w:val="center"/>
          </w:tcPr>
          <w:p w14:paraId="263D49BE">
            <w:pPr>
              <w:pStyle w:val="72"/>
              <w:jc w:val="center"/>
              <w:rPr>
                <w:rFonts w:hint="eastAsia"/>
              </w:rPr>
            </w:pPr>
            <w:r>
              <w:rPr>
                <w:rFonts w:hint="eastAsia"/>
                <w:highlight w:val="lightGray"/>
              </w:rPr>
              <w:t>较重要区</w:t>
            </w:r>
          </w:p>
        </w:tc>
        <w:tc>
          <w:tcPr>
            <w:tcW w:w="1610" w:type="pct"/>
            <w:tcBorders>
              <w:bottom w:val="single" w:color="auto" w:sz="4" w:space="0"/>
            </w:tcBorders>
            <w:vAlign w:val="center"/>
          </w:tcPr>
          <w:p w14:paraId="1842CC1A">
            <w:pPr>
              <w:pStyle w:val="72"/>
              <w:rPr>
                <w:rFonts w:hint="eastAsia"/>
              </w:rPr>
            </w:pPr>
            <w:r>
              <w:rPr>
                <w:rFonts w:hint="eastAsia"/>
              </w:rPr>
              <w:t>一般区</w:t>
            </w:r>
          </w:p>
        </w:tc>
      </w:tr>
      <w:tr w14:paraId="5845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666" w:type="pct"/>
            <w:vAlign w:val="center"/>
          </w:tcPr>
          <w:p w14:paraId="7962418E">
            <w:pPr>
              <w:pStyle w:val="72"/>
              <w:jc w:val="left"/>
              <w:rPr>
                <w:rFonts w:hint="eastAsia"/>
              </w:rPr>
            </w:pPr>
            <w:r>
              <w:rPr>
                <w:rFonts w:hint="eastAsia"/>
              </w:rPr>
              <w:t>1．分布有500人以上的居民集中居住区；</w:t>
            </w:r>
          </w:p>
        </w:tc>
        <w:tc>
          <w:tcPr>
            <w:tcW w:w="1724" w:type="pct"/>
            <w:tcBorders>
              <w:right w:val="single" w:color="auto" w:sz="4" w:space="0"/>
            </w:tcBorders>
            <w:vAlign w:val="center"/>
          </w:tcPr>
          <w:p w14:paraId="4979EB15">
            <w:pPr>
              <w:pStyle w:val="72"/>
              <w:jc w:val="left"/>
              <w:rPr>
                <w:rFonts w:hint="eastAsia"/>
              </w:rPr>
            </w:pPr>
            <w:r>
              <w:rPr>
                <w:rFonts w:hint="eastAsia"/>
              </w:rPr>
              <w:t>1．分布有200～500人的居民集中居住区；</w:t>
            </w:r>
          </w:p>
        </w:tc>
        <w:tc>
          <w:tcPr>
            <w:tcW w:w="1610" w:type="pct"/>
            <w:tcBorders>
              <w:top w:val="single" w:color="auto" w:sz="4" w:space="0"/>
              <w:left w:val="single" w:color="auto" w:sz="4" w:space="0"/>
              <w:bottom w:val="single" w:color="auto" w:sz="4" w:space="0"/>
              <w:right w:val="single" w:color="auto" w:sz="4" w:space="0"/>
            </w:tcBorders>
            <w:vAlign w:val="center"/>
          </w:tcPr>
          <w:p w14:paraId="653C6044">
            <w:pPr>
              <w:pStyle w:val="72"/>
              <w:jc w:val="left"/>
              <w:rPr>
                <w:rFonts w:hint="eastAsia"/>
                <w:highlight w:val="lightGray"/>
              </w:rPr>
            </w:pPr>
            <w:r>
              <w:rPr>
                <w:rFonts w:hint="eastAsia"/>
                <w:highlight w:val="lightGray"/>
              </w:rPr>
              <w:t>1．居民居住分散，居民集中居住区人口在200人以下；</w:t>
            </w:r>
          </w:p>
        </w:tc>
      </w:tr>
      <w:tr w14:paraId="62C5C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jc w:val="center"/>
        </w:trPr>
        <w:tc>
          <w:tcPr>
            <w:tcW w:w="1666" w:type="pct"/>
            <w:vAlign w:val="center"/>
          </w:tcPr>
          <w:p w14:paraId="0E1B3E79">
            <w:pPr>
              <w:pStyle w:val="72"/>
              <w:jc w:val="left"/>
              <w:rPr>
                <w:rFonts w:hint="eastAsia"/>
              </w:rPr>
            </w:pPr>
            <w:r>
              <w:rPr>
                <w:rFonts w:hint="eastAsia"/>
              </w:rPr>
              <w:t>2．分布有高速公路、一级公路、中型以上水利、电力工程或其他重要建筑设施；</w:t>
            </w:r>
          </w:p>
        </w:tc>
        <w:tc>
          <w:tcPr>
            <w:tcW w:w="1724" w:type="pct"/>
            <w:vAlign w:val="center"/>
          </w:tcPr>
          <w:p w14:paraId="463858CF">
            <w:pPr>
              <w:pStyle w:val="72"/>
              <w:jc w:val="left"/>
              <w:rPr>
                <w:rFonts w:hint="eastAsia"/>
              </w:rPr>
            </w:pPr>
            <w:r>
              <w:rPr>
                <w:rFonts w:hint="eastAsia"/>
              </w:rPr>
              <w:t>2．分布有二级公路、小型水利、电力工程或其他较重要建筑设施；</w:t>
            </w:r>
          </w:p>
        </w:tc>
        <w:tc>
          <w:tcPr>
            <w:tcW w:w="1610" w:type="pct"/>
            <w:tcBorders>
              <w:top w:val="single" w:color="auto" w:sz="4" w:space="0"/>
            </w:tcBorders>
            <w:vAlign w:val="center"/>
          </w:tcPr>
          <w:p w14:paraId="7AB3E785">
            <w:pPr>
              <w:pStyle w:val="72"/>
              <w:jc w:val="left"/>
              <w:rPr>
                <w:rFonts w:hint="eastAsia"/>
                <w:highlight w:val="lightGray"/>
              </w:rPr>
            </w:pPr>
            <w:r>
              <w:rPr>
                <w:rFonts w:hint="eastAsia"/>
                <w:highlight w:val="lightGray"/>
              </w:rPr>
              <w:t>2．无重要交通要道或建筑设施；</w:t>
            </w:r>
          </w:p>
        </w:tc>
      </w:tr>
      <w:tr w14:paraId="790B8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666" w:type="pct"/>
            <w:vAlign w:val="center"/>
          </w:tcPr>
          <w:p w14:paraId="59C3C5D2">
            <w:pPr>
              <w:pStyle w:val="72"/>
              <w:jc w:val="left"/>
              <w:rPr>
                <w:rFonts w:hint="eastAsia"/>
              </w:rPr>
            </w:pPr>
            <w:r>
              <w:rPr>
                <w:rFonts w:hint="eastAsia"/>
              </w:rPr>
              <w:t>3．矿区紧邻国家级自然保护区（含地质公园、风景名胜区等）或重要旅游景区（点）；</w:t>
            </w:r>
          </w:p>
        </w:tc>
        <w:tc>
          <w:tcPr>
            <w:tcW w:w="1724" w:type="pct"/>
            <w:vAlign w:val="center"/>
          </w:tcPr>
          <w:p w14:paraId="4688EB25">
            <w:pPr>
              <w:pStyle w:val="72"/>
              <w:jc w:val="left"/>
              <w:rPr>
                <w:rFonts w:hint="eastAsia"/>
              </w:rPr>
            </w:pPr>
            <w:r>
              <w:rPr>
                <w:rFonts w:hint="eastAsia"/>
              </w:rPr>
              <w:t>3．紧邻省级、县级自然保护区或较重要旅游景区（点）；</w:t>
            </w:r>
          </w:p>
        </w:tc>
        <w:tc>
          <w:tcPr>
            <w:tcW w:w="1610" w:type="pct"/>
            <w:vAlign w:val="center"/>
          </w:tcPr>
          <w:p w14:paraId="0DB1CCD3">
            <w:pPr>
              <w:pStyle w:val="72"/>
              <w:jc w:val="left"/>
              <w:rPr>
                <w:rFonts w:hint="eastAsia"/>
                <w:b/>
                <w:highlight w:val="red"/>
                <w:shd w:val="clear" w:color="FFFFFF" w:fill="D9D9D9"/>
              </w:rPr>
            </w:pPr>
            <w:r>
              <w:rPr>
                <w:rFonts w:hint="eastAsia"/>
                <w:highlight w:val="lightGray"/>
              </w:rPr>
              <w:t>3．远离各级自然保护区及旅游景区（点）；</w:t>
            </w:r>
          </w:p>
        </w:tc>
      </w:tr>
      <w:tr w14:paraId="73D3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jc w:val="center"/>
        </w:trPr>
        <w:tc>
          <w:tcPr>
            <w:tcW w:w="1666" w:type="pct"/>
            <w:vAlign w:val="center"/>
          </w:tcPr>
          <w:p w14:paraId="4963F8F1">
            <w:pPr>
              <w:pStyle w:val="72"/>
              <w:jc w:val="left"/>
              <w:rPr>
                <w:rFonts w:hint="eastAsia"/>
              </w:rPr>
            </w:pPr>
            <w:r>
              <w:rPr>
                <w:rFonts w:hint="eastAsia"/>
              </w:rPr>
              <w:t>4．有重要水源地；</w:t>
            </w:r>
          </w:p>
        </w:tc>
        <w:tc>
          <w:tcPr>
            <w:tcW w:w="1724" w:type="pct"/>
            <w:vAlign w:val="center"/>
          </w:tcPr>
          <w:p w14:paraId="1B520833">
            <w:pPr>
              <w:pStyle w:val="72"/>
              <w:jc w:val="left"/>
              <w:rPr>
                <w:rFonts w:hint="eastAsia"/>
                <w:shd w:val="clear" w:color="FFFFFF" w:fill="D9D9D9"/>
              </w:rPr>
            </w:pPr>
            <w:r>
              <w:rPr>
                <w:rFonts w:hint="eastAsia"/>
              </w:rPr>
              <w:t>4．有较重要水源地；</w:t>
            </w:r>
          </w:p>
        </w:tc>
        <w:tc>
          <w:tcPr>
            <w:tcW w:w="1610" w:type="pct"/>
            <w:vAlign w:val="center"/>
          </w:tcPr>
          <w:p w14:paraId="35114D6B">
            <w:pPr>
              <w:pStyle w:val="72"/>
              <w:jc w:val="left"/>
              <w:rPr>
                <w:rFonts w:hint="eastAsia"/>
                <w:b/>
                <w:highlight w:val="red"/>
                <w:shd w:val="clear" w:color="FFFFFF" w:fill="D9D9D9"/>
              </w:rPr>
            </w:pPr>
            <w:r>
              <w:rPr>
                <w:rFonts w:hint="eastAsia"/>
                <w:highlight w:val="lightGray"/>
              </w:rPr>
              <w:t>4．无较重要水源地；</w:t>
            </w:r>
          </w:p>
        </w:tc>
      </w:tr>
      <w:tr w14:paraId="0A83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1666" w:type="pct"/>
            <w:vAlign w:val="center"/>
          </w:tcPr>
          <w:p w14:paraId="1D9B9517">
            <w:pPr>
              <w:pStyle w:val="72"/>
              <w:jc w:val="left"/>
              <w:rPr>
                <w:rFonts w:hint="eastAsia"/>
              </w:rPr>
            </w:pPr>
            <w:r>
              <w:rPr>
                <w:rFonts w:hint="eastAsia"/>
              </w:rPr>
              <w:t>5．破坏耕地、园地。</w:t>
            </w:r>
          </w:p>
        </w:tc>
        <w:tc>
          <w:tcPr>
            <w:tcW w:w="1724" w:type="pct"/>
            <w:vAlign w:val="center"/>
          </w:tcPr>
          <w:p w14:paraId="74B357E9">
            <w:pPr>
              <w:pStyle w:val="72"/>
              <w:jc w:val="left"/>
              <w:rPr>
                <w:rFonts w:hint="eastAsia"/>
                <w:shd w:val="clear" w:color="FFFFFF" w:fill="D9D9D9"/>
              </w:rPr>
            </w:pPr>
            <w:r>
              <w:rPr>
                <w:rFonts w:hint="eastAsia"/>
                <w:highlight w:val="lightGray"/>
              </w:rPr>
              <w:t>5．破坏林地、</w:t>
            </w:r>
            <w:r>
              <w:rPr>
                <w:rFonts w:hint="eastAsia"/>
              </w:rPr>
              <w:t>草地。</w:t>
            </w:r>
          </w:p>
        </w:tc>
        <w:tc>
          <w:tcPr>
            <w:tcW w:w="1610" w:type="pct"/>
            <w:vAlign w:val="center"/>
          </w:tcPr>
          <w:p w14:paraId="1F408D91">
            <w:pPr>
              <w:pStyle w:val="72"/>
              <w:jc w:val="left"/>
              <w:rPr>
                <w:rFonts w:hint="eastAsia"/>
                <w:shd w:val="clear" w:color="FFFFFF" w:fill="D9D9D9"/>
              </w:rPr>
            </w:pPr>
            <w:r>
              <w:rPr>
                <w:rFonts w:hint="eastAsia"/>
              </w:rPr>
              <w:t>5．破坏其他类型土地。</w:t>
            </w:r>
          </w:p>
        </w:tc>
      </w:tr>
      <w:tr w14:paraId="091D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5000" w:type="pct"/>
            <w:gridSpan w:val="3"/>
            <w:vAlign w:val="center"/>
          </w:tcPr>
          <w:p w14:paraId="7A9033BB">
            <w:pPr>
              <w:pStyle w:val="72"/>
              <w:rPr>
                <w:rFonts w:hint="eastAsia"/>
              </w:rPr>
            </w:pPr>
            <w:r>
              <w:rPr>
                <w:rFonts w:hint="eastAsia"/>
              </w:rPr>
              <w:t>注：评估区重要程度分级确定采取上一级别优先的原则，只要有一条符合者即为该级别。</w:t>
            </w:r>
          </w:p>
        </w:tc>
      </w:tr>
    </w:tbl>
    <w:p w14:paraId="4ACB2B58">
      <w:pPr>
        <w:ind w:firstLine="562"/>
        <w:rPr>
          <w:b/>
          <w:bCs/>
        </w:rPr>
      </w:pPr>
      <w:r>
        <w:rPr>
          <w:rFonts w:hint="eastAsia"/>
          <w:b/>
          <w:bCs/>
        </w:rPr>
        <w:t>2.矿山生产建设规模</w:t>
      </w:r>
    </w:p>
    <w:p w14:paraId="3E3BA376">
      <w:pPr>
        <w:ind w:firstLine="560"/>
      </w:pPr>
      <w:r>
        <w:rPr>
          <w:rFonts w:hint="eastAsia"/>
        </w:rPr>
        <w:t>矿山变更生产规模为</w:t>
      </w:r>
      <w:r>
        <w:rPr>
          <w:rFonts w:hint="eastAsia"/>
          <w:lang w:eastAsia="zh-CN"/>
        </w:rPr>
        <w:t>5万</w:t>
      </w:r>
      <w:r>
        <w:rPr>
          <w:rFonts w:hint="eastAsia"/>
        </w:rPr>
        <w:t>吨/年，开采方式为地下开采，根据《矿山地质环境保护与恢复治理方案编制规范》附录D，其生产建设规模划分</w:t>
      </w:r>
      <w:r>
        <w:rPr>
          <w:rFonts w:hint="eastAsia"/>
          <w:lang w:eastAsia="zh-CN"/>
        </w:rPr>
        <w:t>为中型</w:t>
      </w:r>
      <w:r>
        <w:rPr>
          <w:rFonts w:hint="eastAsia"/>
        </w:rPr>
        <w:t>（表3-2）。</w:t>
      </w:r>
    </w:p>
    <w:p w14:paraId="2009AA0D">
      <w:pPr>
        <w:pStyle w:val="57"/>
        <w:rPr>
          <w:rFonts w:hint="eastAsia" w:eastAsia="宋体"/>
          <w:lang w:eastAsia="zh-CN"/>
        </w:rPr>
      </w:pPr>
      <w:r>
        <w:rPr>
          <w:rFonts w:hint="eastAsia"/>
        </w:rPr>
        <w:t>表3-2矿山生产建设规模分类一览表（节选）</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0"/>
        <w:gridCol w:w="1470"/>
        <w:gridCol w:w="1604"/>
        <w:gridCol w:w="1770"/>
        <w:gridCol w:w="1437"/>
        <w:gridCol w:w="1235"/>
      </w:tblGrid>
      <w:tr w14:paraId="497E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blHeader/>
          <w:jc w:val="center"/>
        </w:trPr>
        <w:tc>
          <w:tcPr>
            <w:tcW w:w="1140" w:type="pct"/>
            <w:vMerge w:val="restart"/>
            <w:vAlign w:val="center"/>
          </w:tcPr>
          <w:p w14:paraId="2DCD82E0">
            <w:pPr>
              <w:pStyle w:val="72"/>
              <w:rPr>
                <w:rFonts w:hint="default" w:ascii="Times New Roman" w:hAnsi="Times New Roman" w:cs="Times New Roman"/>
              </w:rPr>
            </w:pPr>
            <w:r>
              <w:rPr>
                <w:rFonts w:hint="default" w:ascii="Times New Roman" w:hAnsi="Times New Roman" w:cs="Times New Roman"/>
              </w:rPr>
              <w:t>矿种类别</w:t>
            </w:r>
          </w:p>
        </w:tc>
        <w:tc>
          <w:tcPr>
            <w:tcW w:w="755" w:type="pct"/>
            <w:vMerge w:val="restart"/>
            <w:vAlign w:val="center"/>
          </w:tcPr>
          <w:p w14:paraId="40229029">
            <w:pPr>
              <w:pStyle w:val="72"/>
              <w:rPr>
                <w:rFonts w:hint="default" w:ascii="Times New Roman" w:hAnsi="Times New Roman" w:cs="Times New Roman"/>
              </w:rPr>
            </w:pPr>
            <w:r>
              <w:rPr>
                <w:rFonts w:hint="default" w:ascii="Times New Roman" w:hAnsi="Times New Roman" w:cs="Times New Roman"/>
              </w:rPr>
              <w:t>计量单位</w:t>
            </w:r>
          </w:p>
        </w:tc>
        <w:tc>
          <w:tcPr>
            <w:tcW w:w="2471" w:type="pct"/>
            <w:gridSpan w:val="3"/>
            <w:vAlign w:val="center"/>
          </w:tcPr>
          <w:p w14:paraId="090144FF">
            <w:pPr>
              <w:pStyle w:val="72"/>
              <w:rPr>
                <w:rFonts w:hint="default" w:ascii="Times New Roman" w:hAnsi="Times New Roman" w:cs="Times New Roman"/>
              </w:rPr>
            </w:pPr>
            <w:r>
              <w:rPr>
                <w:rFonts w:hint="default" w:ascii="Times New Roman" w:hAnsi="Times New Roman" w:cs="Times New Roman"/>
              </w:rPr>
              <w:t>年生产量</w:t>
            </w:r>
          </w:p>
        </w:tc>
        <w:tc>
          <w:tcPr>
            <w:tcW w:w="634" w:type="pct"/>
            <w:vMerge w:val="restart"/>
            <w:vAlign w:val="center"/>
          </w:tcPr>
          <w:p w14:paraId="10C0A4C9">
            <w:pPr>
              <w:pStyle w:val="72"/>
              <w:rPr>
                <w:rFonts w:hint="default" w:ascii="Times New Roman" w:hAnsi="Times New Roman" w:cs="Times New Roman"/>
              </w:rPr>
            </w:pPr>
            <w:r>
              <w:rPr>
                <w:rFonts w:hint="default" w:ascii="Times New Roman" w:hAnsi="Times New Roman" w:cs="Times New Roman"/>
              </w:rPr>
              <w:t>备注</w:t>
            </w:r>
          </w:p>
        </w:tc>
      </w:tr>
      <w:tr w14:paraId="6FF7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blHeader/>
          <w:jc w:val="center"/>
        </w:trPr>
        <w:tc>
          <w:tcPr>
            <w:tcW w:w="1140" w:type="pct"/>
            <w:vMerge w:val="continue"/>
            <w:vAlign w:val="center"/>
          </w:tcPr>
          <w:p w14:paraId="10E9EAEA">
            <w:pPr>
              <w:pStyle w:val="72"/>
              <w:rPr>
                <w:rFonts w:hint="default" w:ascii="Times New Roman" w:hAnsi="Times New Roman" w:cs="Times New Roman"/>
              </w:rPr>
            </w:pPr>
          </w:p>
        </w:tc>
        <w:tc>
          <w:tcPr>
            <w:tcW w:w="755" w:type="pct"/>
            <w:vMerge w:val="continue"/>
            <w:vAlign w:val="center"/>
          </w:tcPr>
          <w:p w14:paraId="78E5DC36">
            <w:pPr>
              <w:pStyle w:val="72"/>
              <w:rPr>
                <w:rFonts w:hint="default" w:ascii="Times New Roman" w:hAnsi="Times New Roman" w:cs="Times New Roman"/>
              </w:rPr>
            </w:pPr>
          </w:p>
        </w:tc>
        <w:tc>
          <w:tcPr>
            <w:tcW w:w="824" w:type="pct"/>
            <w:vAlign w:val="center"/>
          </w:tcPr>
          <w:p w14:paraId="253DEF37">
            <w:pPr>
              <w:pStyle w:val="72"/>
              <w:rPr>
                <w:rFonts w:hint="default" w:ascii="Times New Roman" w:hAnsi="Times New Roman" w:cs="Times New Roman"/>
              </w:rPr>
            </w:pPr>
            <w:r>
              <w:rPr>
                <w:rFonts w:hint="default" w:ascii="Times New Roman" w:hAnsi="Times New Roman" w:cs="Times New Roman"/>
              </w:rPr>
              <w:t>大型</w:t>
            </w:r>
          </w:p>
        </w:tc>
        <w:tc>
          <w:tcPr>
            <w:tcW w:w="909" w:type="pct"/>
            <w:vAlign w:val="center"/>
          </w:tcPr>
          <w:p w14:paraId="540EE486">
            <w:pPr>
              <w:pStyle w:val="72"/>
              <w:rPr>
                <w:rFonts w:hint="default" w:ascii="Times New Roman" w:hAnsi="Times New Roman" w:cs="Times New Roman"/>
                <w:highlight w:val="lightGray"/>
              </w:rPr>
            </w:pPr>
            <w:r>
              <w:rPr>
                <w:rFonts w:hint="default" w:ascii="Times New Roman" w:hAnsi="Times New Roman" w:cs="Times New Roman"/>
                <w:highlight w:val="lightGray"/>
              </w:rPr>
              <w:t>中型</w:t>
            </w:r>
          </w:p>
        </w:tc>
        <w:tc>
          <w:tcPr>
            <w:tcW w:w="738" w:type="pct"/>
            <w:vAlign w:val="center"/>
          </w:tcPr>
          <w:p w14:paraId="5A61D6D3">
            <w:pPr>
              <w:pStyle w:val="72"/>
              <w:rPr>
                <w:rFonts w:hint="default" w:ascii="Times New Roman" w:hAnsi="Times New Roman" w:cs="Times New Roman"/>
              </w:rPr>
            </w:pPr>
            <w:r>
              <w:rPr>
                <w:rFonts w:hint="default" w:ascii="Times New Roman" w:hAnsi="Times New Roman" w:cs="Times New Roman"/>
              </w:rPr>
              <w:t>小型</w:t>
            </w:r>
          </w:p>
        </w:tc>
        <w:tc>
          <w:tcPr>
            <w:tcW w:w="634" w:type="pct"/>
            <w:vMerge w:val="continue"/>
            <w:vAlign w:val="center"/>
          </w:tcPr>
          <w:p w14:paraId="767B36F0">
            <w:pPr>
              <w:pStyle w:val="72"/>
              <w:rPr>
                <w:rFonts w:hint="default" w:ascii="Times New Roman" w:hAnsi="Times New Roman" w:cs="Times New Roman"/>
              </w:rPr>
            </w:pPr>
          </w:p>
        </w:tc>
      </w:tr>
      <w:tr w14:paraId="642A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blHeader/>
          <w:jc w:val="center"/>
        </w:trPr>
        <w:tc>
          <w:tcPr>
            <w:tcW w:w="1140" w:type="pct"/>
            <w:vAlign w:val="center"/>
          </w:tcPr>
          <w:p w14:paraId="0775D727">
            <w:pPr>
              <w:pStyle w:val="72"/>
              <w:rPr>
                <w:rFonts w:hint="default" w:ascii="Times New Roman" w:hAnsi="Times New Roman" w:cs="Times New Roman"/>
              </w:rPr>
            </w:pPr>
            <w:r>
              <w:rPr>
                <w:rFonts w:hint="default" w:ascii="Times New Roman" w:hAnsi="Times New Roman" w:cs="Times New Roman"/>
                <w:lang w:eastAsia="zh-CN"/>
              </w:rPr>
              <w:t>滑石</w:t>
            </w:r>
            <w:r>
              <w:rPr>
                <w:rFonts w:hint="default" w:ascii="Times New Roman" w:hAnsi="Times New Roman" w:cs="Times New Roman"/>
              </w:rPr>
              <w:t>（地下开采）</w:t>
            </w:r>
          </w:p>
        </w:tc>
        <w:tc>
          <w:tcPr>
            <w:tcW w:w="755" w:type="pct"/>
            <w:vAlign w:val="center"/>
          </w:tcPr>
          <w:p w14:paraId="4ECB9D5A">
            <w:pPr>
              <w:pStyle w:val="72"/>
              <w:rPr>
                <w:rFonts w:hint="default" w:ascii="Times New Roman" w:hAnsi="Times New Roman" w:cs="Times New Roman"/>
              </w:rPr>
            </w:pPr>
            <w:r>
              <w:rPr>
                <w:rFonts w:hint="default" w:ascii="Times New Roman" w:hAnsi="Times New Roman" w:cs="Times New Roman"/>
              </w:rPr>
              <w:t>万吨</w:t>
            </w:r>
          </w:p>
        </w:tc>
        <w:tc>
          <w:tcPr>
            <w:tcW w:w="1577" w:type="dxa"/>
            <w:vAlign w:val="center"/>
          </w:tcPr>
          <w:p w14:paraId="746069A6">
            <w:pPr>
              <w:spacing w:line="240" w:lineRule="auto"/>
              <w:ind w:firstLine="400" w:firstLineChars="200"/>
              <w:jc w:val="left"/>
              <w:rPr>
                <w:rFonts w:hint="default" w:ascii="Times New Roman" w:hAnsi="Times New Roman" w:cs="Times New Roman"/>
                <w:highlight w:val="lightGray"/>
              </w:rPr>
            </w:pPr>
            <w:r>
              <w:rPr>
                <w:rFonts w:hint="default" w:ascii="Times New Roman" w:hAnsi="Times New Roman" w:cs="Times New Roman"/>
                <w:sz w:val="20"/>
                <w:szCs w:val="20"/>
              </w:rPr>
              <w:t>≥10</w:t>
            </w:r>
          </w:p>
        </w:tc>
        <w:tc>
          <w:tcPr>
            <w:tcW w:w="1740" w:type="dxa"/>
            <w:vAlign w:val="center"/>
          </w:tcPr>
          <w:p w14:paraId="31C1EAFC">
            <w:pPr>
              <w:pStyle w:val="72"/>
              <w:rPr>
                <w:rFonts w:hint="default" w:ascii="Times New Roman" w:hAnsi="Times New Roman" w:cs="Times New Roman"/>
                <w:highlight w:val="lightGray"/>
              </w:rPr>
            </w:pPr>
            <w:r>
              <w:rPr>
                <w:rFonts w:hint="default" w:ascii="Times New Roman" w:hAnsi="Times New Roman" w:cs="Times New Roman"/>
                <w:highlight w:val="lightGray"/>
              </w:rPr>
              <w:t>10-5</w:t>
            </w:r>
          </w:p>
        </w:tc>
        <w:tc>
          <w:tcPr>
            <w:tcW w:w="1413" w:type="dxa"/>
            <w:vAlign w:val="center"/>
          </w:tcPr>
          <w:p w14:paraId="77608BC0">
            <w:pPr>
              <w:pStyle w:val="72"/>
              <w:rPr>
                <w:rFonts w:hint="default" w:ascii="Times New Roman" w:hAnsi="Times New Roman" w:cs="Times New Roman"/>
              </w:rPr>
            </w:pPr>
            <w:r>
              <w:rPr>
                <w:rFonts w:hint="default" w:ascii="Times New Roman" w:hAnsi="Times New Roman" w:cs="Times New Roman"/>
              </w:rPr>
              <w:t>&lt;5</w:t>
            </w:r>
          </w:p>
        </w:tc>
        <w:tc>
          <w:tcPr>
            <w:tcW w:w="1213" w:type="dxa"/>
            <w:vAlign w:val="center"/>
          </w:tcPr>
          <w:p w14:paraId="4DDE4C85">
            <w:pPr>
              <w:spacing w:line="240" w:lineRule="auto"/>
              <w:ind w:firstLine="400" w:firstLineChars="200"/>
              <w:jc w:val="left"/>
              <w:rPr>
                <w:rFonts w:hint="default" w:ascii="Times New Roman" w:hAnsi="Times New Roman" w:eastAsia="仿宋" w:cs="Times New Roman"/>
                <w:lang w:eastAsia="zh-CN"/>
              </w:rPr>
            </w:pPr>
            <w:r>
              <w:rPr>
                <w:rFonts w:hint="default" w:ascii="Times New Roman" w:hAnsi="Times New Roman" w:cs="Times New Roman"/>
                <w:sz w:val="20"/>
                <w:szCs w:val="20"/>
              </w:rPr>
              <w:t>矿石</w:t>
            </w:r>
          </w:p>
        </w:tc>
      </w:tr>
    </w:tbl>
    <w:p w14:paraId="4A149B69">
      <w:pPr>
        <w:ind w:firstLine="562"/>
        <w:rPr>
          <w:b/>
          <w:bCs/>
        </w:rPr>
      </w:pPr>
      <w:r>
        <w:rPr>
          <w:rFonts w:hint="eastAsia"/>
          <w:b/>
          <w:bCs/>
        </w:rPr>
        <w:t>3.矿山地质环境复杂程度</w:t>
      </w:r>
    </w:p>
    <w:p w14:paraId="139AD8D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pPr>
      <w:r>
        <w:rPr>
          <w:rFonts w:hint="eastAsia"/>
        </w:rPr>
        <w:t>（1）矿区水文地质条件</w:t>
      </w:r>
      <w:r>
        <w:rPr>
          <w:rFonts w:hint="eastAsia"/>
          <w:lang w:val="en-US" w:eastAsia="zh-CN"/>
        </w:rPr>
        <w:t>为中等</w:t>
      </w:r>
      <w:r>
        <w:rPr>
          <w:rFonts w:hint="eastAsia"/>
        </w:rPr>
        <w:t>，</w:t>
      </w:r>
      <w:r>
        <w:rPr>
          <w:rFonts w:hint="eastAsia"/>
          <w:lang w:val="en-US" w:eastAsia="zh-CN"/>
        </w:rPr>
        <w:t>矿体位于地下水位或一下，</w:t>
      </w:r>
      <w:r>
        <w:rPr>
          <w:rFonts w:hint="eastAsia"/>
          <w:color w:val="000000"/>
          <w:szCs w:val="28"/>
          <w:lang w:eastAsia="zh-CN"/>
        </w:rPr>
        <w:t>矿山</w:t>
      </w:r>
      <w:r>
        <w:rPr>
          <w:rFonts w:hint="eastAsia"/>
          <w:color w:val="000000"/>
          <w:szCs w:val="28"/>
        </w:rPr>
        <w:t>正常涌水量为</w:t>
      </w:r>
      <w:r>
        <w:rPr>
          <w:rFonts w:hint="eastAsia"/>
          <w:color w:val="000000"/>
          <w:szCs w:val="28"/>
          <w:lang w:val="en-US" w:eastAsia="zh-CN"/>
        </w:rPr>
        <w:t>206.81</w:t>
      </w:r>
      <w:r>
        <w:rPr>
          <w:color w:val="000000"/>
          <w:szCs w:val="28"/>
        </w:rPr>
        <w:t>m</w:t>
      </w:r>
      <w:r>
        <w:rPr>
          <w:color w:val="000000"/>
          <w:szCs w:val="28"/>
          <w:vertAlign w:val="superscript"/>
        </w:rPr>
        <w:t>3</w:t>
      </w:r>
      <w:r>
        <w:rPr>
          <w:color w:val="000000"/>
          <w:szCs w:val="28"/>
        </w:rPr>
        <w:t>/</w:t>
      </w:r>
      <w:r>
        <w:rPr>
          <w:rFonts w:hint="eastAsia"/>
          <w:color w:val="000000"/>
          <w:szCs w:val="28"/>
        </w:rPr>
        <w:t>d。</w:t>
      </w:r>
    </w:p>
    <w:p w14:paraId="44E409A3">
      <w:pPr>
        <w:keepNext w:val="0"/>
        <w:keepLines w:val="0"/>
        <w:pageBreakBefore w:val="0"/>
        <w:widowControl w:val="0"/>
        <w:kinsoku/>
        <w:wordWrap/>
        <w:overflowPunct/>
        <w:topLinePunct w:val="0"/>
        <w:autoSpaceDE/>
        <w:autoSpaceDN/>
        <w:bidi w:val="0"/>
        <w:adjustRightInd w:val="0"/>
        <w:snapToGrid w:val="0"/>
        <w:spacing w:before="288" w:line="360" w:lineRule="auto"/>
        <w:ind w:firstLine="564"/>
        <w:textAlignment w:val="auto"/>
        <w:rPr>
          <w:rFonts w:ascii="宋体" w:hAnsi="宋体" w:eastAsia="宋体" w:cs="宋体"/>
          <w:sz w:val="28"/>
          <w:szCs w:val="28"/>
        </w:rPr>
      </w:pPr>
      <w:r>
        <w:rPr>
          <w:rFonts w:hint="eastAsia"/>
        </w:rPr>
        <w:t>（2）本</w:t>
      </w:r>
      <w:r>
        <w:rPr>
          <w:rFonts w:hint="eastAsia"/>
          <w:lang w:eastAsia="zh-CN"/>
        </w:rPr>
        <w:t>矿山</w:t>
      </w:r>
      <w:r>
        <w:rPr>
          <w:rFonts w:ascii="宋体" w:hAnsi="宋体" w:eastAsia="宋体" w:cs="宋体"/>
          <w:spacing w:val="-1"/>
          <w:sz w:val="28"/>
          <w:szCs w:val="28"/>
        </w:rPr>
        <w:t>该矿床矿体顶底板及围岩为变粒岩、浅粒岩，岩石力学强度高，岩体完</w:t>
      </w:r>
      <w:r>
        <w:rPr>
          <w:rFonts w:ascii="宋体" w:hAnsi="宋体" w:eastAsia="宋体" w:cs="宋体"/>
          <w:spacing w:val="-3"/>
          <w:sz w:val="28"/>
          <w:szCs w:val="28"/>
        </w:rPr>
        <w:t>整-较完整，矿体顶底板及井巷稳固性较好。但</w:t>
      </w:r>
      <w:r>
        <w:rPr>
          <w:rFonts w:ascii="宋体" w:hAnsi="宋体" w:eastAsia="宋体" w:cs="宋体"/>
          <w:spacing w:val="-4"/>
          <w:sz w:val="28"/>
          <w:szCs w:val="28"/>
        </w:rPr>
        <w:t>强风化带、构造破碎带岩石破碎，</w:t>
      </w:r>
      <w:r>
        <w:rPr>
          <w:rFonts w:ascii="宋体" w:hAnsi="宋体" w:eastAsia="宋体" w:cs="宋体"/>
          <w:spacing w:val="-2"/>
          <w:sz w:val="28"/>
          <w:szCs w:val="28"/>
        </w:rPr>
        <w:t>裂隙发育，稳定性较差，井巷必需进行支护。</w:t>
      </w:r>
    </w:p>
    <w:p w14:paraId="10F56073">
      <w:pPr>
        <w:ind w:firstLine="560"/>
      </w:pPr>
      <w:r>
        <w:rPr>
          <w:rFonts w:hint="eastAsia"/>
        </w:rPr>
        <w:t>（3）地质构造中等，矿层(体)和矿床围岩岩层产状变化</w:t>
      </w:r>
      <w:r>
        <w:rPr>
          <w:rFonts w:hint="eastAsia"/>
          <w:lang w:val="en-US" w:eastAsia="zh-CN"/>
        </w:rPr>
        <w:t>较小</w:t>
      </w:r>
      <w:r>
        <w:rPr>
          <w:rFonts w:hint="eastAsia"/>
        </w:rPr>
        <w:t>，断裂构造</w:t>
      </w:r>
      <w:r>
        <w:rPr>
          <w:rFonts w:hint="eastAsia"/>
          <w:lang w:val="en-US" w:eastAsia="zh-CN"/>
        </w:rPr>
        <w:t>不</w:t>
      </w:r>
      <w:r>
        <w:rPr>
          <w:rFonts w:hint="eastAsia"/>
        </w:rPr>
        <w:t>发育。</w:t>
      </w:r>
    </w:p>
    <w:p w14:paraId="4AF15A2B">
      <w:pPr>
        <w:ind w:firstLine="560"/>
      </w:pPr>
      <w:r>
        <w:rPr>
          <w:rFonts w:hint="eastAsia"/>
        </w:rPr>
        <w:t>（4）现状矿山地质环境问题的类型较少，危害较小。采空区面积大。</w:t>
      </w:r>
    </w:p>
    <w:p w14:paraId="3081D3AD">
      <w:pPr>
        <w:ind w:firstLine="560"/>
      </w:pPr>
      <w:r>
        <w:rPr>
          <w:rFonts w:hint="eastAsia"/>
        </w:rPr>
        <w:t>（5）地貌单元类型单一，微地貌形态简单，地形起伏变化平缓，有利于自然排水，地形坡度一般小于20°-35°，相对高差小，地质环境条件复杂程度</w:t>
      </w:r>
      <w:r>
        <w:rPr>
          <w:rFonts w:hint="eastAsia"/>
          <w:lang w:eastAsia="zh-CN"/>
        </w:rPr>
        <w:t>属于中等</w:t>
      </w:r>
      <w:r>
        <w:rPr>
          <w:rFonts w:hint="eastAsia"/>
        </w:rPr>
        <w:t>。分级原则见表3-3。</w:t>
      </w:r>
    </w:p>
    <w:p w14:paraId="39A81734">
      <w:pPr>
        <w:pStyle w:val="57"/>
        <w:rPr>
          <w:rFonts w:hint="eastAsia"/>
        </w:rPr>
      </w:pPr>
      <w:r>
        <w:rPr>
          <w:rFonts w:hint="eastAsia"/>
        </w:rPr>
        <w:t>表3－3井工开采矿山地质环境条件复杂程度分级表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3"/>
        <w:gridCol w:w="3904"/>
        <w:gridCol w:w="2549"/>
      </w:tblGrid>
      <w:tr w14:paraId="6FEE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86" w:type="pct"/>
            <w:vAlign w:val="center"/>
          </w:tcPr>
          <w:p w14:paraId="008EEA61">
            <w:pPr>
              <w:pStyle w:val="72"/>
              <w:jc w:val="center"/>
              <w:rPr>
                <w:rFonts w:hint="eastAsia"/>
              </w:rPr>
            </w:pPr>
            <w:r>
              <w:rPr>
                <w:rFonts w:hint="eastAsia"/>
              </w:rPr>
              <w:t>复杂</w:t>
            </w:r>
          </w:p>
        </w:tc>
        <w:tc>
          <w:tcPr>
            <w:tcW w:w="2005" w:type="pct"/>
            <w:vAlign w:val="center"/>
          </w:tcPr>
          <w:p w14:paraId="05C23F78">
            <w:pPr>
              <w:pStyle w:val="72"/>
              <w:rPr>
                <w:rFonts w:hint="eastAsia"/>
              </w:rPr>
            </w:pPr>
            <w:r>
              <w:rPr>
                <w:rFonts w:hint="eastAsia"/>
                <w:highlight w:val="lightGray"/>
              </w:rPr>
              <w:t>中等</w:t>
            </w:r>
          </w:p>
        </w:tc>
        <w:tc>
          <w:tcPr>
            <w:tcW w:w="1309" w:type="pct"/>
            <w:vAlign w:val="center"/>
          </w:tcPr>
          <w:p w14:paraId="080982DD">
            <w:pPr>
              <w:pStyle w:val="72"/>
              <w:rPr>
                <w:rFonts w:hint="eastAsia"/>
              </w:rPr>
            </w:pPr>
            <w:r>
              <w:rPr>
                <w:rFonts w:hint="eastAsia"/>
              </w:rPr>
              <w:t>简单</w:t>
            </w:r>
          </w:p>
        </w:tc>
      </w:tr>
      <w:tr w14:paraId="01B63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1686" w:type="pct"/>
            <w:vAlign w:val="center"/>
          </w:tcPr>
          <w:p w14:paraId="1B809D5E">
            <w:pPr>
              <w:pStyle w:val="72"/>
              <w:jc w:val="left"/>
              <w:rPr>
                <w:rFonts w:hint="eastAsia"/>
              </w:rPr>
            </w:pPr>
            <w:r>
              <w:rPr>
                <w:rFonts w:hint="eastAsia"/>
              </w:rPr>
              <w:t>1．主要矿层（体）位于地下水位以下，矿坑进水边界条件复杂，充水水源多，充水含水层和构造破碎带、岩溶裂隙发育带等富水性强，补给条件好，与区域强含水层、地下水集中径流带或地表水联系密切，老窿（窑）水威胁大，矿坑正常涌水量大于10000m</w:t>
            </w:r>
            <w:r>
              <w:rPr>
                <w:rFonts w:hint="eastAsia"/>
                <w:vertAlign w:val="superscript"/>
              </w:rPr>
              <w:t>3</w:t>
            </w:r>
            <w:r>
              <w:rPr>
                <w:rFonts w:hint="eastAsia"/>
              </w:rPr>
              <w:t>/d，地下采矿和疏干排水容易造成区域含水层破坏。</w:t>
            </w:r>
          </w:p>
        </w:tc>
        <w:tc>
          <w:tcPr>
            <w:tcW w:w="2005" w:type="pct"/>
            <w:vAlign w:val="center"/>
          </w:tcPr>
          <w:p w14:paraId="3021D27A">
            <w:pPr>
              <w:pStyle w:val="72"/>
              <w:jc w:val="left"/>
              <w:rPr>
                <w:rFonts w:hint="eastAsia"/>
                <w:highlight w:val="lightGray"/>
              </w:rPr>
            </w:pPr>
            <w:r>
              <w:rPr>
                <w:rFonts w:hint="eastAsia"/>
                <w:highlight w:val="lightGray"/>
              </w:rPr>
              <w:t>1．主要矿层（体）位于地下水位附近或以下，矿坑进水边界条件中等，充水含水层和构造破碎带、岩溶裂隙发育带等富水性中等，补给条件较好，与区域强含水层、地下水集中径流带或地表水有一定联系，老窿（窑）水威胁中等，矿坑正常涌水量3000-10000m</w:t>
            </w:r>
            <w:r>
              <w:rPr>
                <w:rFonts w:hint="eastAsia"/>
                <w:highlight w:val="lightGray"/>
                <w:vertAlign w:val="superscript"/>
              </w:rPr>
              <w:t>3</w:t>
            </w:r>
            <w:r>
              <w:rPr>
                <w:rFonts w:hint="eastAsia"/>
                <w:highlight w:val="lightGray"/>
              </w:rPr>
              <w:t>/d，地下采矿和疏干排水较容易造成矿区周围主要充水含水层破坏。</w:t>
            </w:r>
          </w:p>
        </w:tc>
        <w:tc>
          <w:tcPr>
            <w:tcW w:w="1309" w:type="pct"/>
            <w:vAlign w:val="center"/>
          </w:tcPr>
          <w:p w14:paraId="1C94560F">
            <w:pPr>
              <w:pStyle w:val="72"/>
              <w:jc w:val="left"/>
              <w:rPr>
                <w:rFonts w:hint="eastAsia"/>
              </w:rPr>
            </w:pPr>
            <w:r>
              <w:rPr>
                <w:rFonts w:hint="eastAsia"/>
              </w:rPr>
              <w:t>1．主要矿层（体）位于地下水位以上，矿坑进水边界条件简单，充水含水层富水性差，补给条件差，与区域强含水层、地下水集中径流带或地表水联系不密切，矿坑正常涌水量小于3000m</w:t>
            </w:r>
            <w:r>
              <w:rPr>
                <w:rFonts w:hint="eastAsia"/>
                <w:vertAlign w:val="superscript"/>
              </w:rPr>
              <w:t>3</w:t>
            </w:r>
            <w:r>
              <w:rPr>
                <w:rFonts w:hint="eastAsia"/>
              </w:rPr>
              <w:t>/d，地下采矿和疏干排水导致矿区周围主要充水含水层破坏可能性小。</w:t>
            </w:r>
          </w:p>
        </w:tc>
      </w:tr>
      <w:tr w14:paraId="54AB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jc w:val="center"/>
        </w:trPr>
        <w:tc>
          <w:tcPr>
            <w:tcW w:w="1686" w:type="pct"/>
            <w:vAlign w:val="center"/>
          </w:tcPr>
          <w:p w14:paraId="46AAB852">
            <w:pPr>
              <w:pStyle w:val="72"/>
              <w:jc w:val="left"/>
              <w:rPr>
                <w:rFonts w:hint="eastAsia"/>
                <w:highlight w:val="none"/>
              </w:rPr>
            </w:pPr>
            <w:r>
              <w:rPr>
                <w:rFonts w:hint="eastAsia"/>
                <w:highlight w:val="none"/>
              </w:rPr>
              <w:t>2．矿床围岩岩体结构以碎裂结构、散体结构为主，软弱岩层或松散岩层发育，蚀变带、岩溶裂隙带发育，岩石风化强烈，地表残坡积层、基岩风化破碎带厚度大于10m，矿层（体）顶底板和矿床围岩稳固性差，矿山工程场地地基稳定性差。</w:t>
            </w:r>
          </w:p>
        </w:tc>
        <w:tc>
          <w:tcPr>
            <w:tcW w:w="2005" w:type="pct"/>
            <w:vAlign w:val="center"/>
          </w:tcPr>
          <w:p w14:paraId="1E6DF497">
            <w:pPr>
              <w:pStyle w:val="72"/>
              <w:jc w:val="left"/>
              <w:rPr>
                <w:rFonts w:hint="eastAsia"/>
                <w:highlight w:val="none"/>
              </w:rPr>
            </w:pPr>
            <w:r>
              <w:rPr>
                <w:rFonts w:hint="eastAsia"/>
                <w:highlight w:val="none"/>
              </w:rPr>
              <w:t>2．矿床围岩岩体结构以薄-厚层状结构为主，蚀变带、岩溶裂隙带发育中等，局部有软弱岩层，岩石风化中等，地表残坡积层、基岩风化破碎带厚度5-10m，矿层（体）顶底板和矿床围岩稳固中等，矿山工程场地地基稳定中等。</w:t>
            </w:r>
          </w:p>
        </w:tc>
        <w:tc>
          <w:tcPr>
            <w:tcW w:w="1309" w:type="pct"/>
            <w:vAlign w:val="center"/>
          </w:tcPr>
          <w:p w14:paraId="7B4D0451">
            <w:pPr>
              <w:pStyle w:val="72"/>
              <w:jc w:val="left"/>
              <w:rPr>
                <w:rFonts w:hint="eastAsia"/>
              </w:rPr>
            </w:pPr>
            <w:r>
              <w:rPr>
                <w:rFonts w:hint="eastAsia"/>
                <w:highlight w:val="lightGray"/>
              </w:rPr>
              <w:t>2．矿床围岩岩体结构以巨厚状-块状整体结构为主，蚀变作用弱，岩溶裂隙带不发育，岩石风化弱，地表残坡积层、基岩风化破碎带厚度小于5m，矿层（体）顶底板和矿床围岩稳固性好，矿山工程场地地基稳定性好</w:t>
            </w:r>
            <w:r>
              <w:rPr>
                <w:rFonts w:hint="eastAsia"/>
              </w:rPr>
              <w:t>。</w:t>
            </w:r>
          </w:p>
        </w:tc>
      </w:tr>
      <w:tr w14:paraId="2F44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1686" w:type="pct"/>
            <w:vAlign w:val="center"/>
          </w:tcPr>
          <w:p w14:paraId="55077744">
            <w:pPr>
              <w:pStyle w:val="72"/>
              <w:jc w:val="left"/>
              <w:rPr>
                <w:rFonts w:hint="eastAsia"/>
                <w:highlight w:val="none"/>
              </w:rPr>
            </w:pPr>
            <w:r>
              <w:rPr>
                <w:rFonts w:hint="eastAsia"/>
                <w:highlight w:val="none"/>
              </w:rPr>
              <w:t>3．地质构造复杂，矿层（体）和矿床围岩岩层产状变化大，断裂构造发育或有活动断裂，导水断裂切割矿层（体）围岩、覆岩和主要含水层（带），导水性强，对井下采矿安全影响巨大。</w:t>
            </w:r>
          </w:p>
        </w:tc>
        <w:tc>
          <w:tcPr>
            <w:tcW w:w="2005" w:type="pct"/>
            <w:vAlign w:val="center"/>
          </w:tcPr>
          <w:p w14:paraId="1A775D72">
            <w:pPr>
              <w:pStyle w:val="72"/>
              <w:jc w:val="left"/>
              <w:rPr>
                <w:rFonts w:hint="eastAsia"/>
                <w:highlight w:val="none"/>
              </w:rPr>
            </w:pPr>
            <w:r>
              <w:rPr>
                <w:rFonts w:hint="eastAsia"/>
                <w:highlight w:val="none"/>
              </w:rPr>
              <w:t>3．地质构造较复杂，矿层（体）和矿床围岩岩层产状变化较大，断裂构造较发育，并切割矿层（体）围岩、覆岩和主要含水层（带），导水断裂带的导水性较差，对井下采矿安全影响较大。</w:t>
            </w:r>
          </w:p>
        </w:tc>
        <w:tc>
          <w:tcPr>
            <w:tcW w:w="1309" w:type="pct"/>
            <w:vAlign w:val="center"/>
          </w:tcPr>
          <w:p w14:paraId="7048ADE9">
            <w:pPr>
              <w:pStyle w:val="72"/>
              <w:jc w:val="left"/>
              <w:rPr>
                <w:rFonts w:hint="eastAsia"/>
              </w:rPr>
            </w:pPr>
            <w:r>
              <w:rPr>
                <w:rFonts w:hint="eastAsia"/>
                <w:highlight w:val="lightGray"/>
              </w:rPr>
              <w:t>3．地质构造简单，矿层（体）和矿床围岩岩层产状变化小，断裂构造不发育，断裂未切割矿层（体）和围岩覆岩，断裂带对采矿活动影响小。</w:t>
            </w:r>
          </w:p>
        </w:tc>
      </w:tr>
      <w:tr w14:paraId="6E11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686" w:type="pct"/>
            <w:vAlign w:val="center"/>
          </w:tcPr>
          <w:p w14:paraId="7A7F1FFF">
            <w:pPr>
              <w:pStyle w:val="72"/>
              <w:jc w:val="left"/>
              <w:rPr>
                <w:rFonts w:hint="eastAsia"/>
                <w:highlight w:val="lightGray"/>
              </w:rPr>
            </w:pPr>
            <w:r>
              <w:rPr>
                <w:rFonts w:hint="eastAsia"/>
              </w:rPr>
              <w:t>4．现状条件下原生地质灾害发育，或矿山地质环境问题的类型多，危害大。</w:t>
            </w:r>
          </w:p>
        </w:tc>
        <w:tc>
          <w:tcPr>
            <w:tcW w:w="2005" w:type="pct"/>
            <w:vAlign w:val="center"/>
          </w:tcPr>
          <w:p w14:paraId="79FB60E2">
            <w:pPr>
              <w:pStyle w:val="72"/>
              <w:jc w:val="left"/>
              <w:rPr>
                <w:rFonts w:hint="eastAsia"/>
              </w:rPr>
            </w:pPr>
            <w:r>
              <w:rPr>
                <w:rFonts w:hint="eastAsia"/>
              </w:rPr>
              <w:t>4．现状条件下矿山地质环境问题的类型较多，危害较大。</w:t>
            </w:r>
          </w:p>
        </w:tc>
        <w:tc>
          <w:tcPr>
            <w:tcW w:w="1309" w:type="pct"/>
            <w:vAlign w:val="center"/>
          </w:tcPr>
          <w:p w14:paraId="3BC0C9FE">
            <w:pPr>
              <w:pStyle w:val="72"/>
              <w:jc w:val="left"/>
              <w:rPr>
                <w:rFonts w:hint="eastAsia"/>
              </w:rPr>
            </w:pPr>
            <w:r>
              <w:rPr>
                <w:rFonts w:hint="eastAsia"/>
                <w:highlight w:val="lightGray"/>
              </w:rPr>
              <w:t>4．现状条件下矿山地质环境问题的类型较少，危害小。</w:t>
            </w:r>
          </w:p>
        </w:tc>
      </w:tr>
      <w:tr w14:paraId="630F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686" w:type="pct"/>
            <w:vAlign w:val="center"/>
          </w:tcPr>
          <w:p w14:paraId="41C6F4EE">
            <w:pPr>
              <w:pStyle w:val="72"/>
              <w:jc w:val="left"/>
              <w:rPr>
                <w:rFonts w:hint="eastAsia"/>
                <w:highlight w:val="lightGray"/>
              </w:rPr>
            </w:pPr>
            <w:r>
              <w:rPr>
                <w:rFonts w:hint="eastAsia"/>
              </w:rPr>
              <w:t>5．采空区面积和空间大，多次重复开采及残采，采空区未得到有效处理，采动影响强烈。</w:t>
            </w:r>
          </w:p>
        </w:tc>
        <w:tc>
          <w:tcPr>
            <w:tcW w:w="2005" w:type="pct"/>
            <w:vAlign w:val="center"/>
          </w:tcPr>
          <w:p w14:paraId="08AF2CCD">
            <w:pPr>
              <w:pStyle w:val="72"/>
              <w:jc w:val="left"/>
              <w:rPr>
                <w:rFonts w:hint="eastAsia"/>
              </w:rPr>
            </w:pPr>
            <w:r>
              <w:rPr>
                <w:rFonts w:hint="eastAsia"/>
                <w:highlight w:val="lightGray"/>
              </w:rPr>
              <w:t>5．采空区面积和空间较大，重复开采较少，采空区部分得到处理，采动影响较强烈。</w:t>
            </w:r>
          </w:p>
        </w:tc>
        <w:tc>
          <w:tcPr>
            <w:tcW w:w="1309" w:type="pct"/>
            <w:vAlign w:val="center"/>
          </w:tcPr>
          <w:p w14:paraId="43565BE3">
            <w:pPr>
              <w:pStyle w:val="72"/>
              <w:jc w:val="left"/>
              <w:rPr>
                <w:rFonts w:hint="eastAsia"/>
              </w:rPr>
            </w:pPr>
            <w:r>
              <w:rPr>
                <w:rFonts w:hint="eastAsia"/>
                <w:highlight w:val="lightGray"/>
              </w:rPr>
              <w:t>5．采空区面积和空间小，无重复开采，采空区得到有效处理，采动影响较轻。</w:t>
            </w:r>
          </w:p>
        </w:tc>
      </w:tr>
      <w:tr w14:paraId="7A8D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686" w:type="pct"/>
            <w:vAlign w:val="center"/>
          </w:tcPr>
          <w:p w14:paraId="726EF944">
            <w:pPr>
              <w:pStyle w:val="72"/>
              <w:jc w:val="left"/>
              <w:rPr>
                <w:rFonts w:hint="eastAsia"/>
              </w:rPr>
            </w:pPr>
            <w:r>
              <w:rPr>
                <w:rFonts w:hint="eastAsia"/>
              </w:rPr>
              <w:t>6．地貌单元类型多，微地貌形态复杂，地形起伏变化大，不利于自然排水，地形坡度一般大于35°，相对高差大，地面倾向与岩层倾向基本一致。</w:t>
            </w:r>
          </w:p>
        </w:tc>
        <w:tc>
          <w:tcPr>
            <w:tcW w:w="2005" w:type="pct"/>
            <w:vAlign w:val="center"/>
          </w:tcPr>
          <w:p w14:paraId="265DAAB4">
            <w:pPr>
              <w:pStyle w:val="72"/>
              <w:jc w:val="left"/>
              <w:rPr>
                <w:rFonts w:hint="eastAsia"/>
              </w:rPr>
            </w:pPr>
            <w:r>
              <w:rPr>
                <w:rFonts w:hint="eastAsia"/>
                <w:highlight w:val="lightGray"/>
              </w:rPr>
              <w:t>6．地貌单元类型较多，微地貌形态较复杂，地形起伏变化中等，不利于自然排水，地形坡度一般为20°-35°，相对高差较大，地面倾向与岩层倾向多为斜交。</w:t>
            </w:r>
          </w:p>
        </w:tc>
        <w:tc>
          <w:tcPr>
            <w:tcW w:w="1309" w:type="pct"/>
            <w:vAlign w:val="center"/>
          </w:tcPr>
          <w:p w14:paraId="726A7EC0">
            <w:pPr>
              <w:pStyle w:val="72"/>
              <w:jc w:val="left"/>
              <w:rPr>
                <w:rFonts w:hint="eastAsia"/>
              </w:rPr>
            </w:pPr>
            <w:r>
              <w:rPr>
                <w:rFonts w:hint="eastAsia"/>
              </w:rPr>
              <w:t>6．地貌单元类型单一，微地貌形态简单，地形起伏变化平缓，有利于自然排水，地形坡度一般小于20°，相对高差小，地面倾向与岩层倾向多为反交。</w:t>
            </w:r>
          </w:p>
        </w:tc>
      </w:tr>
      <w:tr w14:paraId="3D11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000" w:type="pct"/>
            <w:gridSpan w:val="3"/>
            <w:vAlign w:val="center"/>
          </w:tcPr>
          <w:p w14:paraId="1F313027">
            <w:pPr>
              <w:pStyle w:val="72"/>
              <w:rPr>
                <w:rFonts w:hint="eastAsia"/>
                <w:szCs w:val="21"/>
              </w:rPr>
            </w:pPr>
            <w:r>
              <w:rPr>
                <w:rFonts w:hint="eastAsia"/>
                <w:szCs w:val="21"/>
              </w:rPr>
              <w:t>注：采取就上原则。前6条中只要有一条满足某一级别，应定为该级别。</w:t>
            </w:r>
          </w:p>
        </w:tc>
      </w:tr>
    </w:tbl>
    <w:p w14:paraId="505631D2">
      <w:pPr>
        <w:ind w:firstLine="560"/>
      </w:pPr>
      <w:r>
        <w:rPr>
          <w:rFonts w:hint="eastAsia"/>
        </w:rPr>
        <w:t>根据相关规定（表3-4），将矿山地质环境影响评估级别确定</w:t>
      </w:r>
      <w:r>
        <w:rPr>
          <w:rFonts w:hint="eastAsia"/>
          <w:lang w:eastAsia="zh-CN"/>
        </w:rPr>
        <w:t>为二级</w:t>
      </w:r>
      <w:r>
        <w:rPr>
          <w:rFonts w:hint="eastAsia"/>
        </w:rPr>
        <w:t>。</w:t>
      </w:r>
    </w:p>
    <w:p w14:paraId="15C212FE">
      <w:pPr>
        <w:pStyle w:val="57"/>
        <w:rPr>
          <w:rFonts w:hint="eastAsia" w:eastAsia="宋体"/>
          <w:lang w:eastAsia="zh-CN"/>
        </w:rPr>
      </w:pPr>
      <w:r>
        <w:rPr>
          <w:rFonts w:hint="eastAsia"/>
        </w:rPr>
        <w:t>表3-4矿山地质环境影响评估精度分级表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263"/>
        <w:gridCol w:w="1764"/>
        <w:gridCol w:w="1764"/>
        <w:gridCol w:w="1766"/>
      </w:tblGrid>
      <w:tr w14:paraId="592D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119" w:type="pct"/>
            <w:vMerge w:val="restart"/>
            <w:vAlign w:val="center"/>
          </w:tcPr>
          <w:p w14:paraId="515F5B9C">
            <w:pPr>
              <w:pStyle w:val="72"/>
              <w:rPr>
                <w:rFonts w:hint="eastAsia"/>
              </w:rPr>
            </w:pPr>
            <w:r>
              <w:rPr>
                <w:rFonts w:hint="eastAsia"/>
              </w:rPr>
              <w:t>评估区重要程度</w:t>
            </w:r>
          </w:p>
        </w:tc>
        <w:tc>
          <w:tcPr>
            <w:tcW w:w="1162" w:type="pct"/>
            <w:vMerge w:val="restart"/>
            <w:vAlign w:val="center"/>
          </w:tcPr>
          <w:p w14:paraId="524A587F">
            <w:pPr>
              <w:pStyle w:val="72"/>
              <w:rPr>
                <w:rFonts w:hint="eastAsia"/>
              </w:rPr>
            </w:pPr>
            <w:r>
              <w:rPr>
                <w:rFonts w:hint="eastAsia"/>
              </w:rPr>
              <w:t>矿山生产建设规模</w:t>
            </w:r>
          </w:p>
        </w:tc>
        <w:tc>
          <w:tcPr>
            <w:tcW w:w="2719" w:type="pct"/>
            <w:gridSpan w:val="3"/>
            <w:vAlign w:val="center"/>
          </w:tcPr>
          <w:p w14:paraId="0931DE66">
            <w:pPr>
              <w:pStyle w:val="72"/>
              <w:rPr>
                <w:rFonts w:hint="eastAsia"/>
              </w:rPr>
            </w:pPr>
            <w:r>
              <w:rPr>
                <w:rFonts w:hint="eastAsia"/>
              </w:rPr>
              <w:t>地质环境条件复杂程度</w:t>
            </w:r>
          </w:p>
        </w:tc>
      </w:tr>
      <w:tr w14:paraId="50E8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exact"/>
        </w:trPr>
        <w:tc>
          <w:tcPr>
            <w:tcW w:w="1119" w:type="pct"/>
            <w:vMerge w:val="continue"/>
            <w:vAlign w:val="center"/>
          </w:tcPr>
          <w:p w14:paraId="49A6ABB6">
            <w:pPr>
              <w:pStyle w:val="72"/>
              <w:rPr>
                <w:rFonts w:hint="eastAsia"/>
              </w:rPr>
            </w:pPr>
          </w:p>
        </w:tc>
        <w:tc>
          <w:tcPr>
            <w:tcW w:w="1162" w:type="pct"/>
            <w:vMerge w:val="continue"/>
            <w:vAlign w:val="center"/>
          </w:tcPr>
          <w:p w14:paraId="1A164973">
            <w:pPr>
              <w:pStyle w:val="72"/>
              <w:rPr>
                <w:rFonts w:hint="eastAsia"/>
              </w:rPr>
            </w:pPr>
          </w:p>
        </w:tc>
        <w:tc>
          <w:tcPr>
            <w:tcW w:w="906" w:type="pct"/>
            <w:vAlign w:val="center"/>
          </w:tcPr>
          <w:p w14:paraId="640C7C91">
            <w:pPr>
              <w:pStyle w:val="72"/>
              <w:rPr>
                <w:rFonts w:hint="eastAsia"/>
              </w:rPr>
            </w:pPr>
            <w:r>
              <w:rPr>
                <w:rFonts w:hint="eastAsia"/>
              </w:rPr>
              <w:t>复杂</w:t>
            </w:r>
          </w:p>
        </w:tc>
        <w:tc>
          <w:tcPr>
            <w:tcW w:w="906" w:type="pct"/>
            <w:vAlign w:val="center"/>
          </w:tcPr>
          <w:p w14:paraId="4E13C4EE">
            <w:pPr>
              <w:pStyle w:val="72"/>
              <w:rPr>
                <w:rFonts w:hint="eastAsia"/>
              </w:rPr>
            </w:pPr>
            <w:r>
              <w:rPr>
                <w:rFonts w:hint="eastAsia"/>
                <w:highlight w:val="lightGray"/>
              </w:rPr>
              <w:t>中等</w:t>
            </w:r>
          </w:p>
        </w:tc>
        <w:tc>
          <w:tcPr>
            <w:tcW w:w="906" w:type="pct"/>
            <w:vAlign w:val="center"/>
          </w:tcPr>
          <w:p w14:paraId="6776BAC5">
            <w:pPr>
              <w:pStyle w:val="72"/>
              <w:rPr>
                <w:rFonts w:hint="eastAsia"/>
              </w:rPr>
            </w:pPr>
            <w:r>
              <w:rPr>
                <w:rFonts w:hint="eastAsia"/>
              </w:rPr>
              <w:t>简单</w:t>
            </w:r>
          </w:p>
        </w:tc>
      </w:tr>
      <w:tr w14:paraId="255E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119" w:type="pct"/>
            <w:vMerge w:val="restart"/>
            <w:vAlign w:val="center"/>
          </w:tcPr>
          <w:p w14:paraId="71A2C0B8">
            <w:pPr>
              <w:pStyle w:val="72"/>
              <w:rPr>
                <w:rFonts w:hint="eastAsia"/>
              </w:rPr>
            </w:pPr>
            <w:r>
              <w:rPr>
                <w:rFonts w:hint="eastAsia"/>
              </w:rPr>
              <w:t>重要区</w:t>
            </w:r>
          </w:p>
        </w:tc>
        <w:tc>
          <w:tcPr>
            <w:tcW w:w="1162" w:type="pct"/>
            <w:vAlign w:val="center"/>
          </w:tcPr>
          <w:p w14:paraId="0BC853CD">
            <w:pPr>
              <w:pStyle w:val="72"/>
              <w:rPr>
                <w:rFonts w:hint="eastAsia"/>
              </w:rPr>
            </w:pPr>
            <w:r>
              <w:rPr>
                <w:rFonts w:hint="eastAsia"/>
              </w:rPr>
              <w:t>大型</w:t>
            </w:r>
          </w:p>
        </w:tc>
        <w:tc>
          <w:tcPr>
            <w:tcW w:w="906" w:type="pct"/>
            <w:vAlign w:val="center"/>
          </w:tcPr>
          <w:p w14:paraId="1F4383D1">
            <w:pPr>
              <w:pStyle w:val="72"/>
              <w:rPr>
                <w:rFonts w:hint="eastAsia"/>
              </w:rPr>
            </w:pPr>
            <w:r>
              <w:rPr>
                <w:rFonts w:hint="eastAsia"/>
              </w:rPr>
              <w:t>一级</w:t>
            </w:r>
          </w:p>
        </w:tc>
        <w:tc>
          <w:tcPr>
            <w:tcW w:w="906" w:type="pct"/>
            <w:vAlign w:val="center"/>
          </w:tcPr>
          <w:p w14:paraId="7C24A012">
            <w:pPr>
              <w:pStyle w:val="72"/>
              <w:rPr>
                <w:rFonts w:hint="eastAsia"/>
              </w:rPr>
            </w:pPr>
            <w:r>
              <w:rPr>
                <w:rFonts w:hint="eastAsia"/>
              </w:rPr>
              <w:t>一级</w:t>
            </w:r>
          </w:p>
        </w:tc>
        <w:tc>
          <w:tcPr>
            <w:tcW w:w="906" w:type="pct"/>
            <w:vAlign w:val="center"/>
          </w:tcPr>
          <w:p w14:paraId="241DC6C1">
            <w:pPr>
              <w:pStyle w:val="72"/>
              <w:rPr>
                <w:rFonts w:hint="eastAsia"/>
              </w:rPr>
            </w:pPr>
            <w:r>
              <w:rPr>
                <w:rFonts w:hint="eastAsia"/>
              </w:rPr>
              <w:t>一级</w:t>
            </w:r>
          </w:p>
        </w:tc>
      </w:tr>
      <w:tr w14:paraId="62B3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119" w:type="pct"/>
            <w:vMerge w:val="continue"/>
            <w:vAlign w:val="center"/>
          </w:tcPr>
          <w:p w14:paraId="3B97FB6B">
            <w:pPr>
              <w:pStyle w:val="72"/>
              <w:rPr>
                <w:rFonts w:hint="eastAsia"/>
              </w:rPr>
            </w:pPr>
          </w:p>
        </w:tc>
        <w:tc>
          <w:tcPr>
            <w:tcW w:w="1162" w:type="pct"/>
            <w:vAlign w:val="center"/>
          </w:tcPr>
          <w:p w14:paraId="509512C2">
            <w:pPr>
              <w:pStyle w:val="72"/>
              <w:rPr>
                <w:rFonts w:hint="eastAsia"/>
              </w:rPr>
            </w:pPr>
            <w:r>
              <w:rPr>
                <w:rFonts w:hint="eastAsia"/>
              </w:rPr>
              <w:t>中型</w:t>
            </w:r>
          </w:p>
        </w:tc>
        <w:tc>
          <w:tcPr>
            <w:tcW w:w="906" w:type="pct"/>
            <w:vAlign w:val="center"/>
          </w:tcPr>
          <w:p w14:paraId="01FD82FC">
            <w:pPr>
              <w:pStyle w:val="72"/>
              <w:rPr>
                <w:rFonts w:hint="eastAsia"/>
              </w:rPr>
            </w:pPr>
            <w:r>
              <w:rPr>
                <w:rFonts w:hint="eastAsia"/>
              </w:rPr>
              <w:t>一级</w:t>
            </w:r>
          </w:p>
        </w:tc>
        <w:tc>
          <w:tcPr>
            <w:tcW w:w="906" w:type="pct"/>
            <w:vAlign w:val="center"/>
          </w:tcPr>
          <w:p w14:paraId="75969D3D">
            <w:pPr>
              <w:pStyle w:val="72"/>
              <w:rPr>
                <w:rFonts w:hint="eastAsia"/>
              </w:rPr>
            </w:pPr>
            <w:r>
              <w:rPr>
                <w:rFonts w:hint="eastAsia"/>
              </w:rPr>
              <w:t>一级</w:t>
            </w:r>
          </w:p>
        </w:tc>
        <w:tc>
          <w:tcPr>
            <w:tcW w:w="906" w:type="pct"/>
            <w:vAlign w:val="center"/>
          </w:tcPr>
          <w:p w14:paraId="2E1B26FF">
            <w:pPr>
              <w:pStyle w:val="72"/>
              <w:rPr>
                <w:rFonts w:hint="eastAsia"/>
              </w:rPr>
            </w:pPr>
            <w:r>
              <w:rPr>
                <w:rFonts w:hint="eastAsia"/>
              </w:rPr>
              <w:t>一级</w:t>
            </w:r>
          </w:p>
        </w:tc>
      </w:tr>
      <w:tr w14:paraId="416D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119" w:type="pct"/>
            <w:vMerge w:val="continue"/>
            <w:vAlign w:val="center"/>
          </w:tcPr>
          <w:p w14:paraId="2920035B">
            <w:pPr>
              <w:pStyle w:val="72"/>
              <w:rPr>
                <w:rFonts w:hint="eastAsia"/>
              </w:rPr>
            </w:pPr>
          </w:p>
        </w:tc>
        <w:tc>
          <w:tcPr>
            <w:tcW w:w="1162" w:type="pct"/>
            <w:vAlign w:val="center"/>
          </w:tcPr>
          <w:p w14:paraId="4C2D8B81">
            <w:pPr>
              <w:pStyle w:val="72"/>
              <w:rPr>
                <w:rFonts w:hint="eastAsia"/>
              </w:rPr>
            </w:pPr>
            <w:r>
              <w:rPr>
                <w:rFonts w:hint="eastAsia"/>
              </w:rPr>
              <w:t>小型</w:t>
            </w:r>
          </w:p>
        </w:tc>
        <w:tc>
          <w:tcPr>
            <w:tcW w:w="906" w:type="pct"/>
            <w:vAlign w:val="center"/>
          </w:tcPr>
          <w:p w14:paraId="0A4DBEB7">
            <w:pPr>
              <w:pStyle w:val="72"/>
              <w:rPr>
                <w:rFonts w:hint="eastAsia"/>
              </w:rPr>
            </w:pPr>
            <w:r>
              <w:rPr>
                <w:rFonts w:hint="eastAsia"/>
              </w:rPr>
              <w:t>一级</w:t>
            </w:r>
          </w:p>
        </w:tc>
        <w:tc>
          <w:tcPr>
            <w:tcW w:w="906" w:type="pct"/>
            <w:vAlign w:val="center"/>
          </w:tcPr>
          <w:p w14:paraId="639A26B4">
            <w:pPr>
              <w:pStyle w:val="72"/>
              <w:rPr>
                <w:rFonts w:hint="eastAsia"/>
              </w:rPr>
            </w:pPr>
            <w:r>
              <w:rPr>
                <w:rFonts w:hint="eastAsia"/>
              </w:rPr>
              <w:t>一级</w:t>
            </w:r>
          </w:p>
        </w:tc>
        <w:tc>
          <w:tcPr>
            <w:tcW w:w="906" w:type="pct"/>
            <w:vAlign w:val="center"/>
          </w:tcPr>
          <w:p w14:paraId="2BCBB862">
            <w:pPr>
              <w:pStyle w:val="72"/>
              <w:rPr>
                <w:rFonts w:hint="eastAsia"/>
              </w:rPr>
            </w:pPr>
            <w:r>
              <w:rPr>
                <w:rFonts w:hint="eastAsia"/>
              </w:rPr>
              <w:t>二级</w:t>
            </w:r>
          </w:p>
        </w:tc>
      </w:tr>
      <w:tr w14:paraId="72D1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119" w:type="pct"/>
            <w:vMerge w:val="restart"/>
            <w:vAlign w:val="center"/>
          </w:tcPr>
          <w:p w14:paraId="1BC1836A">
            <w:pPr>
              <w:pStyle w:val="72"/>
              <w:rPr>
                <w:rFonts w:hint="eastAsia"/>
              </w:rPr>
            </w:pPr>
            <w:r>
              <w:rPr>
                <w:rFonts w:hint="eastAsia"/>
                <w:highlight w:val="lightGray"/>
              </w:rPr>
              <w:t>较重要区</w:t>
            </w:r>
          </w:p>
        </w:tc>
        <w:tc>
          <w:tcPr>
            <w:tcW w:w="1162" w:type="pct"/>
            <w:vAlign w:val="center"/>
          </w:tcPr>
          <w:p w14:paraId="69DB4868">
            <w:pPr>
              <w:pStyle w:val="72"/>
              <w:rPr>
                <w:rFonts w:hint="eastAsia"/>
              </w:rPr>
            </w:pPr>
            <w:r>
              <w:rPr>
                <w:rFonts w:hint="eastAsia"/>
              </w:rPr>
              <w:t>大型</w:t>
            </w:r>
          </w:p>
        </w:tc>
        <w:tc>
          <w:tcPr>
            <w:tcW w:w="906" w:type="pct"/>
            <w:vAlign w:val="center"/>
          </w:tcPr>
          <w:p w14:paraId="1C75A1E3">
            <w:pPr>
              <w:pStyle w:val="72"/>
              <w:rPr>
                <w:rFonts w:hint="eastAsia"/>
              </w:rPr>
            </w:pPr>
            <w:r>
              <w:rPr>
                <w:rFonts w:hint="eastAsia"/>
              </w:rPr>
              <w:t>一级</w:t>
            </w:r>
          </w:p>
        </w:tc>
        <w:tc>
          <w:tcPr>
            <w:tcW w:w="906" w:type="pct"/>
            <w:vAlign w:val="center"/>
          </w:tcPr>
          <w:p w14:paraId="67D04EB7">
            <w:pPr>
              <w:pStyle w:val="72"/>
              <w:rPr>
                <w:rFonts w:hint="eastAsia"/>
              </w:rPr>
            </w:pPr>
            <w:r>
              <w:rPr>
                <w:rFonts w:hint="eastAsia"/>
              </w:rPr>
              <w:t>一级</w:t>
            </w:r>
          </w:p>
        </w:tc>
        <w:tc>
          <w:tcPr>
            <w:tcW w:w="906" w:type="pct"/>
            <w:vAlign w:val="center"/>
          </w:tcPr>
          <w:p w14:paraId="3D68A6BC">
            <w:pPr>
              <w:pStyle w:val="72"/>
              <w:rPr>
                <w:rFonts w:hint="eastAsia"/>
              </w:rPr>
            </w:pPr>
            <w:r>
              <w:rPr>
                <w:rFonts w:hint="eastAsia"/>
              </w:rPr>
              <w:t>一级</w:t>
            </w:r>
          </w:p>
        </w:tc>
      </w:tr>
      <w:tr w14:paraId="3845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119" w:type="pct"/>
            <w:vMerge w:val="continue"/>
            <w:vAlign w:val="center"/>
          </w:tcPr>
          <w:p w14:paraId="63C9520F">
            <w:pPr>
              <w:pStyle w:val="72"/>
              <w:rPr>
                <w:rFonts w:hint="eastAsia"/>
              </w:rPr>
            </w:pPr>
          </w:p>
        </w:tc>
        <w:tc>
          <w:tcPr>
            <w:tcW w:w="1162" w:type="pct"/>
            <w:vAlign w:val="center"/>
          </w:tcPr>
          <w:p w14:paraId="3D5DE563">
            <w:pPr>
              <w:pStyle w:val="72"/>
              <w:rPr>
                <w:rFonts w:hint="eastAsia"/>
              </w:rPr>
            </w:pPr>
            <w:r>
              <w:rPr>
                <w:rFonts w:hint="eastAsia"/>
              </w:rPr>
              <w:t>中型</w:t>
            </w:r>
          </w:p>
        </w:tc>
        <w:tc>
          <w:tcPr>
            <w:tcW w:w="906" w:type="pct"/>
            <w:vAlign w:val="center"/>
          </w:tcPr>
          <w:p w14:paraId="5635DBEF">
            <w:pPr>
              <w:pStyle w:val="72"/>
              <w:rPr>
                <w:rFonts w:hint="eastAsia"/>
              </w:rPr>
            </w:pPr>
            <w:r>
              <w:rPr>
                <w:rFonts w:hint="eastAsia"/>
              </w:rPr>
              <w:t>一级</w:t>
            </w:r>
          </w:p>
        </w:tc>
        <w:tc>
          <w:tcPr>
            <w:tcW w:w="906" w:type="pct"/>
            <w:vAlign w:val="center"/>
          </w:tcPr>
          <w:p w14:paraId="6B4338E9">
            <w:pPr>
              <w:pStyle w:val="72"/>
              <w:rPr>
                <w:rFonts w:hint="eastAsia"/>
              </w:rPr>
            </w:pPr>
            <w:r>
              <w:rPr>
                <w:rFonts w:hint="eastAsia"/>
                <w:highlight w:val="lightGray"/>
              </w:rPr>
              <w:t>二级</w:t>
            </w:r>
          </w:p>
        </w:tc>
        <w:tc>
          <w:tcPr>
            <w:tcW w:w="906" w:type="pct"/>
            <w:vAlign w:val="center"/>
          </w:tcPr>
          <w:p w14:paraId="0CEB41BA">
            <w:pPr>
              <w:pStyle w:val="72"/>
              <w:rPr>
                <w:rFonts w:hint="eastAsia"/>
              </w:rPr>
            </w:pPr>
            <w:r>
              <w:rPr>
                <w:rFonts w:hint="eastAsia"/>
              </w:rPr>
              <w:t>二级</w:t>
            </w:r>
          </w:p>
        </w:tc>
      </w:tr>
      <w:tr w14:paraId="4A72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119" w:type="pct"/>
            <w:vMerge w:val="continue"/>
            <w:vAlign w:val="center"/>
          </w:tcPr>
          <w:p w14:paraId="51AD09E4">
            <w:pPr>
              <w:pStyle w:val="72"/>
              <w:rPr>
                <w:rFonts w:hint="eastAsia"/>
              </w:rPr>
            </w:pPr>
          </w:p>
        </w:tc>
        <w:tc>
          <w:tcPr>
            <w:tcW w:w="1162" w:type="pct"/>
            <w:vAlign w:val="center"/>
          </w:tcPr>
          <w:p w14:paraId="76615ECB">
            <w:pPr>
              <w:pStyle w:val="72"/>
              <w:rPr>
                <w:rFonts w:hint="eastAsia"/>
              </w:rPr>
            </w:pPr>
            <w:r>
              <w:rPr>
                <w:rFonts w:hint="eastAsia"/>
              </w:rPr>
              <w:t>小型</w:t>
            </w:r>
          </w:p>
        </w:tc>
        <w:tc>
          <w:tcPr>
            <w:tcW w:w="906" w:type="pct"/>
            <w:vAlign w:val="center"/>
          </w:tcPr>
          <w:p w14:paraId="107E9254">
            <w:pPr>
              <w:pStyle w:val="72"/>
              <w:rPr>
                <w:rFonts w:hint="eastAsia"/>
              </w:rPr>
            </w:pPr>
            <w:r>
              <w:rPr>
                <w:rFonts w:hint="eastAsia"/>
              </w:rPr>
              <w:t>一级</w:t>
            </w:r>
          </w:p>
        </w:tc>
        <w:tc>
          <w:tcPr>
            <w:tcW w:w="906" w:type="pct"/>
            <w:vAlign w:val="center"/>
          </w:tcPr>
          <w:p w14:paraId="62C0484D">
            <w:pPr>
              <w:pStyle w:val="72"/>
              <w:rPr>
                <w:rFonts w:hint="eastAsia"/>
              </w:rPr>
            </w:pPr>
            <w:r>
              <w:rPr>
                <w:rFonts w:hint="eastAsia"/>
              </w:rPr>
              <w:t>二级</w:t>
            </w:r>
          </w:p>
        </w:tc>
        <w:tc>
          <w:tcPr>
            <w:tcW w:w="906" w:type="pct"/>
            <w:vAlign w:val="center"/>
          </w:tcPr>
          <w:p w14:paraId="05A29D20">
            <w:pPr>
              <w:pStyle w:val="72"/>
              <w:rPr>
                <w:rFonts w:hint="eastAsia"/>
              </w:rPr>
            </w:pPr>
            <w:r>
              <w:rPr>
                <w:rFonts w:hint="eastAsia"/>
              </w:rPr>
              <w:t>三级</w:t>
            </w:r>
          </w:p>
        </w:tc>
      </w:tr>
      <w:tr w14:paraId="6C92B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119" w:type="pct"/>
            <w:vMerge w:val="restart"/>
            <w:vAlign w:val="center"/>
          </w:tcPr>
          <w:p w14:paraId="25666FEE">
            <w:pPr>
              <w:pStyle w:val="72"/>
              <w:rPr>
                <w:rFonts w:hint="eastAsia"/>
              </w:rPr>
            </w:pPr>
            <w:r>
              <w:rPr>
                <w:rFonts w:hint="eastAsia"/>
              </w:rPr>
              <w:t>一般区</w:t>
            </w:r>
          </w:p>
        </w:tc>
        <w:tc>
          <w:tcPr>
            <w:tcW w:w="1162" w:type="pct"/>
            <w:vAlign w:val="center"/>
          </w:tcPr>
          <w:p w14:paraId="65E0D580">
            <w:pPr>
              <w:pStyle w:val="72"/>
              <w:rPr>
                <w:rFonts w:hint="eastAsia"/>
              </w:rPr>
            </w:pPr>
            <w:r>
              <w:rPr>
                <w:rFonts w:hint="eastAsia"/>
              </w:rPr>
              <w:t>大型</w:t>
            </w:r>
          </w:p>
        </w:tc>
        <w:tc>
          <w:tcPr>
            <w:tcW w:w="906" w:type="pct"/>
            <w:vAlign w:val="center"/>
          </w:tcPr>
          <w:p w14:paraId="7D6B79BF">
            <w:pPr>
              <w:pStyle w:val="72"/>
              <w:rPr>
                <w:rFonts w:hint="eastAsia"/>
              </w:rPr>
            </w:pPr>
            <w:r>
              <w:rPr>
                <w:rFonts w:hint="eastAsia"/>
              </w:rPr>
              <w:t>一级</w:t>
            </w:r>
          </w:p>
        </w:tc>
        <w:tc>
          <w:tcPr>
            <w:tcW w:w="906" w:type="pct"/>
            <w:vAlign w:val="center"/>
          </w:tcPr>
          <w:p w14:paraId="1F2A83F5">
            <w:pPr>
              <w:pStyle w:val="72"/>
              <w:rPr>
                <w:rFonts w:hint="eastAsia"/>
              </w:rPr>
            </w:pPr>
            <w:r>
              <w:rPr>
                <w:rFonts w:hint="eastAsia"/>
              </w:rPr>
              <w:t>二级</w:t>
            </w:r>
          </w:p>
        </w:tc>
        <w:tc>
          <w:tcPr>
            <w:tcW w:w="906" w:type="pct"/>
            <w:vAlign w:val="center"/>
          </w:tcPr>
          <w:p w14:paraId="3D151350">
            <w:pPr>
              <w:pStyle w:val="72"/>
              <w:rPr>
                <w:rFonts w:hint="eastAsia"/>
              </w:rPr>
            </w:pPr>
            <w:r>
              <w:rPr>
                <w:rFonts w:hint="eastAsia"/>
              </w:rPr>
              <w:t>二级</w:t>
            </w:r>
          </w:p>
        </w:tc>
      </w:tr>
      <w:tr w14:paraId="745E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119" w:type="pct"/>
            <w:vMerge w:val="continue"/>
            <w:vAlign w:val="center"/>
          </w:tcPr>
          <w:p w14:paraId="54A5F76D">
            <w:pPr>
              <w:pStyle w:val="72"/>
              <w:rPr>
                <w:rFonts w:hint="eastAsia"/>
              </w:rPr>
            </w:pPr>
          </w:p>
        </w:tc>
        <w:tc>
          <w:tcPr>
            <w:tcW w:w="1162" w:type="pct"/>
            <w:vAlign w:val="center"/>
          </w:tcPr>
          <w:p w14:paraId="7E11EB55">
            <w:pPr>
              <w:pStyle w:val="72"/>
              <w:rPr>
                <w:rFonts w:hint="eastAsia"/>
              </w:rPr>
            </w:pPr>
            <w:r>
              <w:rPr>
                <w:rFonts w:hint="eastAsia"/>
              </w:rPr>
              <w:t>中型</w:t>
            </w:r>
          </w:p>
        </w:tc>
        <w:tc>
          <w:tcPr>
            <w:tcW w:w="906" w:type="pct"/>
            <w:vAlign w:val="center"/>
          </w:tcPr>
          <w:p w14:paraId="107E1AD0">
            <w:pPr>
              <w:pStyle w:val="72"/>
              <w:rPr>
                <w:rFonts w:hint="eastAsia"/>
              </w:rPr>
            </w:pPr>
            <w:r>
              <w:rPr>
                <w:rFonts w:hint="eastAsia"/>
              </w:rPr>
              <w:t>一级</w:t>
            </w:r>
          </w:p>
        </w:tc>
        <w:tc>
          <w:tcPr>
            <w:tcW w:w="906" w:type="pct"/>
            <w:vAlign w:val="center"/>
          </w:tcPr>
          <w:p w14:paraId="50D745A6">
            <w:pPr>
              <w:pStyle w:val="72"/>
              <w:rPr>
                <w:rFonts w:hint="eastAsia"/>
              </w:rPr>
            </w:pPr>
            <w:r>
              <w:rPr>
                <w:rFonts w:hint="eastAsia"/>
              </w:rPr>
              <w:t>二级</w:t>
            </w:r>
          </w:p>
        </w:tc>
        <w:tc>
          <w:tcPr>
            <w:tcW w:w="906" w:type="pct"/>
            <w:vAlign w:val="center"/>
          </w:tcPr>
          <w:p w14:paraId="6D97D1F6">
            <w:pPr>
              <w:pStyle w:val="72"/>
              <w:rPr>
                <w:rFonts w:hint="eastAsia"/>
              </w:rPr>
            </w:pPr>
            <w:r>
              <w:rPr>
                <w:rFonts w:hint="eastAsia"/>
              </w:rPr>
              <w:t>三级</w:t>
            </w:r>
          </w:p>
        </w:tc>
      </w:tr>
      <w:tr w14:paraId="2F7A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119" w:type="pct"/>
            <w:vMerge w:val="continue"/>
            <w:vAlign w:val="center"/>
          </w:tcPr>
          <w:p w14:paraId="6FA0020C">
            <w:pPr>
              <w:pStyle w:val="72"/>
              <w:rPr>
                <w:rFonts w:hint="eastAsia"/>
              </w:rPr>
            </w:pPr>
          </w:p>
        </w:tc>
        <w:tc>
          <w:tcPr>
            <w:tcW w:w="1162" w:type="pct"/>
            <w:vAlign w:val="center"/>
          </w:tcPr>
          <w:p w14:paraId="687B7DB8">
            <w:pPr>
              <w:pStyle w:val="72"/>
              <w:rPr>
                <w:rFonts w:hint="eastAsia"/>
              </w:rPr>
            </w:pPr>
            <w:r>
              <w:rPr>
                <w:rFonts w:hint="eastAsia"/>
              </w:rPr>
              <w:t>小型</w:t>
            </w:r>
          </w:p>
        </w:tc>
        <w:tc>
          <w:tcPr>
            <w:tcW w:w="906" w:type="pct"/>
            <w:vAlign w:val="center"/>
          </w:tcPr>
          <w:p w14:paraId="6492E351">
            <w:pPr>
              <w:pStyle w:val="72"/>
              <w:rPr>
                <w:rFonts w:hint="eastAsia"/>
              </w:rPr>
            </w:pPr>
            <w:r>
              <w:rPr>
                <w:rFonts w:hint="eastAsia"/>
              </w:rPr>
              <w:t>二级</w:t>
            </w:r>
          </w:p>
        </w:tc>
        <w:tc>
          <w:tcPr>
            <w:tcW w:w="906" w:type="pct"/>
            <w:vAlign w:val="center"/>
          </w:tcPr>
          <w:p w14:paraId="722794B5">
            <w:pPr>
              <w:pStyle w:val="72"/>
              <w:rPr>
                <w:rFonts w:hint="eastAsia"/>
              </w:rPr>
            </w:pPr>
            <w:r>
              <w:rPr>
                <w:rFonts w:hint="eastAsia"/>
              </w:rPr>
              <w:t>三级</w:t>
            </w:r>
          </w:p>
        </w:tc>
        <w:tc>
          <w:tcPr>
            <w:tcW w:w="906" w:type="pct"/>
            <w:vAlign w:val="center"/>
          </w:tcPr>
          <w:p w14:paraId="7380CE60">
            <w:pPr>
              <w:pStyle w:val="72"/>
              <w:rPr>
                <w:rFonts w:hint="eastAsia"/>
              </w:rPr>
            </w:pPr>
            <w:r>
              <w:rPr>
                <w:rFonts w:hint="eastAsia"/>
              </w:rPr>
              <w:t>三级</w:t>
            </w:r>
          </w:p>
        </w:tc>
      </w:tr>
    </w:tbl>
    <w:p w14:paraId="37445651">
      <w:pPr>
        <w:pStyle w:val="5"/>
        <w:ind w:firstLine="562"/>
      </w:pPr>
      <w:bookmarkStart w:id="105" w:name="_Toc211790754"/>
      <w:r>
        <w:t>（一）现状问题</w:t>
      </w:r>
      <w:bookmarkEnd w:id="105"/>
    </w:p>
    <w:p w14:paraId="53B02F47">
      <w:pPr>
        <w:ind w:firstLine="560"/>
      </w:pPr>
      <w:r>
        <w:t>本次矿山场地的地质稳定性、含水层破坏、地形地貌景观破坏、土地资源破坏等问题分析按照《矿山地质环境保护与恢复治理方案编制规范》DT/Z0223执行。</w:t>
      </w:r>
    </w:p>
    <w:p w14:paraId="29128612">
      <w:pPr>
        <w:ind w:firstLine="562"/>
        <w:rPr>
          <w:b/>
          <w:bCs/>
        </w:rPr>
      </w:pPr>
      <w:r>
        <w:rPr>
          <w:b/>
          <w:bCs/>
        </w:rPr>
        <w:t>1.矿山场地的地质稳定性现状分析</w:t>
      </w:r>
    </w:p>
    <w:p w14:paraId="46AE1AC2">
      <w:pPr>
        <w:pStyle w:val="57"/>
        <w:rPr>
          <w:rFonts w:ascii="Times New Roman" w:hAnsi="Times New Roman"/>
        </w:rPr>
      </w:pPr>
      <w:r>
        <w:rPr>
          <w:rFonts w:ascii="Times New Roman" w:hAnsi="Times New Roman"/>
        </w:rPr>
        <w:t>表3-</w:t>
      </w:r>
      <w:r>
        <w:rPr>
          <w:rFonts w:hint="eastAsia" w:ascii="Times New Roman" w:hAnsi="Times New Roman"/>
        </w:rPr>
        <w:t>5</w:t>
      </w:r>
      <w:r>
        <w:rPr>
          <w:rFonts w:ascii="Times New Roman" w:hAnsi="Times New Roman"/>
        </w:rPr>
        <w:t>地质灾害影响评估指标表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8426"/>
      </w:tblGrid>
      <w:tr w14:paraId="0F56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2045637D">
            <w:pPr>
              <w:pStyle w:val="72"/>
              <w:rPr>
                <w:rFonts w:ascii="Times New Roman" w:hAnsi="Times New Roman"/>
              </w:rPr>
            </w:pPr>
            <w:r>
              <w:rPr>
                <w:rFonts w:ascii="Times New Roman" w:hAnsi="Times New Roman"/>
              </w:rPr>
              <w:t>影响程度</w:t>
            </w:r>
          </w:p>
        </w:tc>
        <w:tc>
          <w:tcPr>
            <w:tcW w:w="4327" w:type="pct"/>
            <w:vAlign w:val="center"/>
          </w:tcPr>
          <w:p w14:paraId="2106722D">
            <w:pPr>
              <w:pStyle w:val="72"/>
              <w:rPr>
                <w:rFonts w:ascii="Times New Roman" w:hAnsi="Times New Roman"/>
              </w:rPr>
            </w:pPr>
            <w:r>
              <w:rPr>
                <w:rFonts w:ascii="Times New Roman" w:hAnsi="Times New Roman"/>
              </w:rPr>
              <w:t>地质灾害影响评估指标</w:t>
            </w:r>
          </w:p>
        </w:tc>
      </w:tr>
      <w:tr w14:paraId="6B72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158BF92D">
            <w:pPr>
              <w:pStyle w:val="72"/>
              <w:rPr>
                <w:rFonts w:ascii="Times New Roman" w:hAnsi="Times New Roman"/>
              </w:rPr>
            </w:pPr>
            <w:r>
              <w:rPr>
                <w:rFonts w:ascii="Times New Roman" w:hAnsi="Times New Roman"/>
              </w:rPr>
              <w:t>严重</w:t>
            </w:r>
          </w:p>
        </w:tc>
        <w:tc>
          <w:tcPr>
            <w:tcW w:w="4327" w:type="pct"/>
            <w:vAlign w:val="center"/>
          </w:tcPr>
          <w:p w14:paraId="35E2F24A">
            <w:pPr>
              <w:pStyle w:val="72"/>
              <w:jc w:val="left"/>
              <w:rPr>
                <w:rFonts w:ascii="Times New Roman" w:hAnsi="Times New Roman"/>
              </w:rPr>
            </w:pPr>
            <w:r>
              <w:rPr>
                <w:rFonts w:ascii="Cambria Math" w:hAnsi="Cambria Math" w:cs="Cambria Math"/>
              </w:rPr>
              <w:t>①</w:t>
            </w:r>
            <w:r>
              <w:rPr>
                <w:rFonts w:ascii="Times New Roman" w:hAnsi="Times New Roman"/>
              </w:rPr>
              <w:t>地质灾害规模大，发生的可能性大；</w:t>
            </w:r>
          </w:p>
          <w:p w14:paraId="5E75CA89">
            <w:pPr>
              <w:pStyle w:val="72"/>
              <w:jc w:val="left"/>
              <w:rPr>
                <w:rFonts w:ascii="Times New Roman" w:hAnsi="Times New Roman"/>
              </w:rPr>
            </w:pPr>
            <w:r>
              <w:rPr>
                <w:rFonts w:ascii="Cambria Math" w:hAnsi="Cambria Math" w:cs="Cambria Math"/>
              </w:rPr>
              <w:t>②</w:t>
            </w:r>
            <w:r>
              <w:rPr>
                <w:rFonts w:ascii="Times New Roman" w:hAnsi="Times New Roman"/>
              </w:rPr>
              <w:t>影响城市、乡镇、重要行政村、重要交通干线、重要工程设施及各类保护区安全；</w:t>
            </w:r>
          </w:p>
          <w:p w14:paraId="67E7D8D0">
            <w:pPr>
              <w:pStyle w:val="72"/>
              <w:jc w:val="left"/>
              <w:rPr>
                <w:rFonts w:ascii="Times New Roman" w:hAnsi="Times New Roman"/>
              </w:rPr>
            </w:pPr>
            <w:r>
              <w:rPr>
                <w:rFonts w:ascii="Cambria Math" w:hAnsi="Cambria Math" w:cs="Cambria Math"/>
              </w:rPr>
              <w:t>③</w:t>
            </w:r>
            <w:r>
              <w:rPr>
                <w:rFonts w:ascii="Times New Roman" w:hAnsi="Times New Roman"/>
              </w:rPr>
              <w:t>造成或可能造成直接经济损失大于500万元；</w:t>
            </w:r>
          </w:p>
          <w:p w14:paraId="447584BF">
            <w:pPr>
              <w:pStyle w:val="72"/>
              <w:jc w:val="left"/>
              <w:rPr>
                <w:rFonts w:ascii="Times New Roman" w:hAnsi="Times New Roman"/>
              </w:rPr>
            </w:pPr>
            <w:r>
              <w:rPr>
                <w:rFonts w:ascii="Cambria Math" w:hAnsi="Cambria Math" w:cs="Cambria Math"/>
              </w:rPr>
              <w:t>④</w:t>
            </w:r>
            <w:r>
              <w:rPr>
                <w:rFonts w:ascii="Times New Roman" w:hAnsi="Times New Roman"/>
              </w:rPr>
              <w:t>受威胁人数大于100人。</w:t>
            </w:r>
          </w:p>
        </w:tc>
      </w:tr>
      <w:tr w14:paraId="2E674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1D769708">
            <w:pPr>
              <w:pStyle w:val="72"/>
              <w:rPr>
                <w:rFonts w:ascii="Times New Roman" w:hAnsi="Times New Roman"/>
              </w:rPr>
            </w:pPr>
            <w:r>
              <w:rPr>
                <w:rFonts w:ascii="Times New Roman" w:hAnsi="Times New Roman"/>
              </w:rPr>
              <w:t>较严重</w:t>
            </w:r>
          </w:p>
        </w:tc>
        <w:tc>
          <w:tcPr>
            <w:tcW w:w="4327" w:type="pct"/>
            <w:vAlign w:val="center"/>
          </w:tcPr>
          <w:p w14:paraId="698CDA8E">
            <w:pPr>
              <w:pStyle w:val="72"/>
              <w:jc w:val="left"/>
              <w:rPr>
                <w:rFonts w:ascii="Times New Roman" w:hAnsi="Times New Roman"/>
              </w:rPr>
            </w:pPr>
            <w:r>
              <w:rPr>
                <w:rFonts w:ascii="Cambria Math" w:hAnsi="Cambria Math" w:cs="Cambria Math"/>
              </w:rPr>
              <w:t>①</w:t>
            </w:r>
            <w:r>
              <w:rPr>
                <w:rFonts w:ascii="Times New Roman" w:hAnsi="Times New Roman"/>
              </w:rPr>
              <w:t>地质灾害规模中等，发生的可能性较大；</w:t>
            </w:r>
          </w:p>
          <w:p w14:paraId="5BA972D2">
            <w:pPr>
              <w:pStyle w:val="72"/>
              <w:jc w:val="left"/>
              <w:rPr>
                <w:rFonts w:ascii="Times New Roman" w:hAnsi="Times New Roman"/>
              </w:rPr>
            </w:pPr>
            <w:r>
              <w:rPr>
                <w:rFonts w:ascii="Cambria Math" w:hAnsi="Cambria Math" w:cs="Cambria Math"/>
              </w:rPr>
              <w:t>②</w:t>
            </w:r>
            <w:r>
              <w:rPr>
                <w:rFonts w:ascii="Times New Roman" w:hAnsi="Times New Roman"/>
              </w:rPr>
              <w:t>影响到村庄、居民聚居区、一般交通线和较重要工程设施安全；</w:t>
            </w:r>
          </w:p>
          <w:p w14:paraId="0EA6B816">
            <w:pPr>
              <w:pStyle w:val="72"/>
              <w:jc w:val="left"/>
              <w:rPr>
                <w:rFonts w:ascii="Times New Roman" w:hAnsi="Times New Roman"/>
              </w:rPr>
            </w:pPr>
            <w:r>
              <w:rPr>
                <w:rFonts w:ascii="Cambria Math" w:hAnsi="Cambria Math" w:cs="Cambria Math"/>
              </w:rPr>
              <w:t>③</w:t>
            </w:r>
            <w:r>
              <w:rPr>
                <w:rFonts w:ascii="Times New Roman" w:hAnsi="Times New Roman"/>
              </w:rPr>
              <w:t>造成或可能造成直接经济损失100</w:t>
            </w:r>
            <w:r>
              <w:rPr>
                <w:rFonts w:hint="eastAsia" w:ascii="Times New Roman" w:hAnsi="Times New Roman"/>
              </w:rPr>
              <w:t>万元</w:t>
            </w:r>
            <w:r>
              <w:rPr>
                <w:rFonts w:ascii="Times New Roman" w:hAnsi="Times New Roman"/>
              </w:rPr>
              <w:t>～500万元；</w:t>
            </w:r>
          </w:p>
          <w:p w14:paraId="2CF0D6A5">
            <w:pPr>
              <w:pStyle w:val="72"/>
              <w:jc w:val="left"/>
              <w:rPr>
                <w:rFonts w:ascii="Times New Roman" w:hAnsi="Times New Roman"/>
              </w:rPr>
            </w:pPr>
            <w:r>
              <w:rPr>
                <w:rFonts w:ascii="Cambria Math" w:hAnsi="Cambria Math" w:cs="Cambria Math"/>
              </w:rPr>
              <w:t>④</w:t>
            </w:r>
            <w:r>
              <w:rPr>
                <w:rFonts w:ascii="Times New Roman" w:hAnsi="Times New Roman"/>
              </w:rPr>
              <w:t>受威胁人数10～100人。</w:t>
            </w:r>
          </w:p>
        </w:tc>
      </w:tr>
      <w:tr w14:paraId="1683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4B82C54B">
            <w:pPr>
              <w:pStyle w:val="72"/>
              <w:rPr>
                <w:rFonts w:ascii="Times New Roman" w:hAnsi="Times New Roman"/>
              </w:rPr>
            </w:pPr>
            <w:r>
              <w:rPr>
                <w:rFonts w:ascii="Times New Roman" w:hAnsi="Times New Roman"/>
              </w:rPr>
              <w:t>较轻</w:t>
            </w:r>
          </w:p>
        </w:tc>
        <w:tc>
          <w:tcPr>
            <w:tcW w:w="4327" w:type="pct"/>
            <w:vAlign w:val="center"/>
          </w:tcPr>
          <w:p w14:paraId="72D7BEB6">
            <w:pPr>
              <w:pStyle w:val="72"/>
              <w:jc w:val="left"/>
              <w:rPr>
                <w:rFonts w:ascii="Times New Roman" w:hAnsi="Times New Roman"/>
              </w:rPr>
            </w:pPr>
            <w:r>
              <w:rPr>
                <w:rFonts w:ascii="Cambria Math" w:hAnsi="Cambria Math" w:cs="Cambria Math"/>
              </w:rPr>
              <w:t>①</w:t>
            </w:r>
            <w:r>
              <w:rPr>
                <w:rFonts w:ascii="Times New Roman" w:hAnsi="Times New Roman"/>
              </w:rPr>
              <w:t>地质灾害规模小，发生的可能性小；</w:t>
            </w:r>
          </w:p>
          <w:p w14:paraId="59BC3E9B">
            <w:pPr>
              <w:pStyle w:val="72"/>
              <w:jc w:val="left"/>
              <w:rPr>
                <w:rFonts w:ascii="Times New Roman" w:hAnsi="Times New Roman"/>
              </w:rPr>
            </w:pPr>
            <w:r>
              <w:rPr>
                <w:rFonts w:ascii="Cambria Math" w:hAnsi="Cambria Math" w:cs="Cambria Math"/>
              </w:rPr>
              <w:t>②</w:t>
            </w:r>
            <w:r>
              <w:rPr>
                <w:rFonts w:ascii="Times New Roman" w:hAnsi="Times New Roman"/>
              </w:rPr>
              <w:t>影响到分散性居民、一般性小规模建筑及设备；</w:t>
            </w:r>
          </w:p>
          <w:p w14:paraId="25BAAF21">
            <w:pPr>
              <w:pStyle w:val="72"/>
              <w:jc w:val="left"/>
              <w:rPr>
                <w:rFonts w:ascii="Times New Roman" w:hAnsi="Times New Roman"/>
              </w:rPr>
            </w:pPr>
            <w:r>
              <w:rPr>
                <w:rFonts w:ascii="Cambria Math" w:hAnsi="Cambria Math" w:cs="Cambria Math"/>
              </w:rPr>
              <w:t>③</w:t>
            </w:r>
            <w:r>
              <w:rPr>
                <w:rFonts w:ascii="Times New Roman" w:hAnsi="Times New Roman"/>
              </w:rPr>
              <w:t>造成或可能造成直接经济损失小于100万元；</w:t>
            </w:r>
          </w:p>
          <w:p w14:paraId="05DD5145">
            <w:pPr>
              <w:pStyle w:val="72"/>
              <w:jc w:val="left"/>
              <w:rPr>
                <w:rFonts w:ascii="Times New Roman" w:hAnsi="Times New Roman"/>
              </w:rPr>
            </w:pPr>
            <w:r>
              <w:rPr>
                <w:rFonts w:ascii="Cambria Math" w:hAnsi="Cambria Math" w:cs="Cambria Math"/>
              </w:rPr>
              <w:t>④</w:t>
            </w:r>
            <w:r>
              <w:rPr>
                <w:rFonts w:ascii="Times New Roman" w:hAnsi="Times New Roman"/>
              </w:rPr>
              <w:t>受威胁人数小于10人。</w:t>
            </w:r>
          </w:p>
        </w:tc>
      </w:tr>
    </w:tbl>
    <w:p w14:paraId="4C09A71E">
      <w:pPr>
        <w:ind w:firstLine="560"/>
      </w:pPr>
      <w:r>
        <w:t>本次通过对评估区内矿山的主要地段地质环境问题进行充分调查，矿区主要地质灾害类型为</w:t>
      </w:r>
      <w:r>
        <w:rPr>
          <w:rFonts w:hint="eastAsia"/>
        </w:rPr>
        <w:t>地面塌陷</w:t>
      </w:r>
      <w:r>
        <w:rPr>
          <w:rFonts w:hint="eastAsia"/>
          <w:lang w:val="en-US" w:eastAsia="zh-CN"/>
        </w:rPr>
        <w:t>和地裂缝</w:t>
      </w:r>
      <w:r>
        <w:t>。</w:t>
      </w:r>
    </w:p>
    <w:p w14:paraId="78CAAA3C">
      <w:pPr>
        <w:ind w:firstLine="560"/>
      </w:pPr>
      <w:r>
        <w:rPr>
          <w:rFonts w:hint="eastAsia"/>
        </w:rPr>
        <w:t>根据矿山介绍及查阅相关资料，根据野外实地调查，评估区内未发现崩塌、滑坡、泥石流、地裂缝等地质灾害分布，</w:t>
      </w:r>
      <w:r>
        <w:rPr>
          <w:rFonts w:hint="eastAsia"/>
          <w:lang w:val="en-US" w:eastAsia="zh-CN"/>
        </w:rPr>
        <w:t>采用上行开采顺序，紫霞而上分终端开采，终端内采用自远而近后退式开采，采至嘴上部分汇丰中段结束开采后，采取废石复充及低浓度水泥砂浆灌注方式，有效控制地表岩移，不会造成地表塌陷。使用房柱法采矿的矿体厚度薄，埋藏深度大。不会造成地表塌陷。</w:t>
      </w:r>
      <w:r>
        <w:rPr>
          <w:rFonts w:hint="eastAsia"/>
        </w:rPr>
        <w:t>未见其他地面塌陷地质灾害，地质灾害危险性小。</w:t>
      </w:r>
    </w:p>
    <w:p w14:paraId="0BE3F754">
      <w:pPr>
        <w:ind w:firstLine="562"/>
        <w:rPr>
          <w:b/>
          <w:bCs/>
          <w:szCs w:val="28"/>
        </w:rPr>
      </w:pPr>
      <w:r>
        <w:rPr>
          <w:b/>
          <w:bCs/>
          <w:szCs w:val="28"/>
        </w:rPr>
        <w:t>2.</w:t>
      </w:r>
      <w:bookmarkStart w:id="106" w:name="_Hlk202637756"/>
      <w:r>
        <w:rPr>
          <w:b/>
          <w:bCs/>
          <w:szCs w:val="28"/>
        </w:rPr>
        <w:t>矿区含水层</w:t>
      </w:r>
      <w:bookmarkEnd w:id="106"/>
      <w:r>
        <w:rPr>
          <w:b/>
          <w:bCs/>
          <w:szCs w:val="28"/>
        </w:rPr>
        <w:t>破坏现状分析</w:t>
      </w:r>
    </w:p>
    <w:p w14:paraId="4393F6E8">
      <w:pPr>
        <w:pStyle w:val="57"/>
        <w:rPr>
          <w:rFonts w:ascii="Times New Roman" w:hAnsi="Times New Roman"/>
        </w:rPr>
      </w:pPr>
      <w:r>
        <w:rPr>
          <w:rFonts w:ascii="Times New Roman" w:hAnsi="Times New Roman"/>
        </w:rPr>
        <w:t>表3-</w:t>
      </w:r>
      <w:r>
        <w:rPr>
          <w:rFonts w:hint="eastAsia" w:ascii="Times New Roman" w:hAnsi="Times New Roman"/>
        </w:rPr>
        <w:t>6</w:t>
      </w:r>
      <w:r>
        <w:rPr>
          <w:rFonts w:ascii="Times New Roman" w:hAnsi="Times New Roman"/>
        </w:rPr>
        <w:t>含水层影响评估指标表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8426"/>
      </w:tblGrid>
      <w:tr w14:paraId="6546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1E73EE43">
            <w:pPr>
              <w:pStyle w:val="72"/>
              <w:rPr>
                <w:rFonts w:ascii="Times New Roman" w:hAnsi="Times New Roman"/>
              </w:rPr>
            </w:pPr>
            <w:r>
              <w:rPr>
                <w:rFonts w:ascii="Times New Roman" w:hAnsi="Times New Roman"/>
              </w:rPr>
              <w:t>影响程度</w:t>
            </w:r>
          </w:p>
        </w:tc>
        <w:tc>
          <w:tcPr>
            <w:tcW w:w="4327" w:type="pct"/>
            <w:vAlign w:val="center"/>
          </w:tcPr>
          <w:p w14:paraId="60883ADB">
            <w:pPr>
              <w:pStyle w:val="72"/>
              <w:rPr>
                <w:rFonts w:ascii="Times New Roman" w:hAnsi="Times New Roman"/>
              </w:rPr>
            </w:pPr>
            <w:r>
              <w:rPr>
                <w:rFonts w:ascii="Times New Roman" w:hAnsi="Times New Roman"/>
              </w:rPr>
              <w:t>含水层影响评估指标</w:t>
            </w:r>
          </w:p>
        </w:tc>
      </w:tr>
      <w:tr w14:paraId="0AA0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6AD06AB1">
            <w:pPr>
              <w:pStyle w:val="72"/>
              <w:rPr>
                <w:rFonts w:ascii="Times New Roman" w:hAnsi="Times New Roman"/>
              </w:rPr>
            </w:pPr>
            <w:r>
              <w:rPr>
                <w:rFonts w:ascii="Times New Roman" w:hAnsi="Times New Roman"/>
              </w:rPr>
              <w:t>严重</w:t>
            </w:r>
          </w:p>
        </w:tc>
        <w:tc>
          <w:tcPr>
            <w:tcW w:w="4327" w:type="pct"/>
            <w:vAlign w:val="center"/>
          </w:tcPr>
          <w:p w14:paraId="5899F9BE">
            <w:pPr>
              <w:pStyle w:val="72"/>
              <w:jc w:val="left"/>
              <w:rPr>
                <w:rFonts w:ascii="Times New Roman" w:hAnsi="Times New Roman"/>
              </w:rPr>
            </w:pPr>
            <w:r>
              <w:rPr>
                <w:rFonts w:ascii="Cambria Math" w:hAnsi="Cambria Math" w:eastAsia="宋体" w:cs="Cambria Math"/>
              </w:rPr>
              <w:t>①</w:t>
            </w:r>
            <w:r>
              <w:rPr>
                <w:rFonts w:ascii="Times New Roman" w:hAnsi="Times New Roman"/>
              </w:rPr>
              <w:t>矿床充水主要含水层结构破坏，产生导水通道；</w:t>
            </w:r>
          </w:p>
          <w:p w14:paraId="260EC82A">
            <w:pPr>
              <w:pStyle w:val="72"/>
              <w:jc w:val="left"/>
              <w:rPr>
                <w:rFonts w:ascii="Times New Roman" w:hAnsi="Times New Roman"/>
              </w:rPr>
            </w:pPr>
            <w:r>
              <w:rPr>
                <w:rFonts w:ascii="Cambria Math" w:hAnsi="Cambria Math" w:eastAsia="宋体" w:cs="Cambria Math"/>
              </w:rPr>
              <w:t>②</w:t>
            </w:r>
            <w:r>
              <w:rPr>
                <w:rFonts w:hint="eastAsia" w:ascii="Times New Roman" w:hAnsi="Times New Roman"/>
                <w:lang w:eastAsia="zh-CN"/>
              </w:rPr>
              <w:t>矿山</w:t>
            </w:r>
            <w:r>
              <w:rPr>
                <w:rFonts w:ascii="Times New Roman" w:hAnsi="Times New Roman"/>
              </w:rPr>
              <w:t>正常涌水量大于10000</w:t>
            </w:r>
            <w:r>
              <w:rPr>
                <w:rFonts w:hint="eastAsia" w:ascii="Times New Roman" w:hAnsi="Times New Roman"/>
              </w:rPr>
              <w:t>m³</w:t>
            </w:r>
            <w:r>
              <w:rPr>
                <w:rFonts w:ascii="Times New Roman" w:hAnsi="Times New Roman"/>
              </w:rPr>
              <w:t>/d；</w:t>
            </w:r>
          </w:p>
          <w:p w14:paraId="2021BA71">
            <w:pPr>
              <w:pStyle w:val="72"/>
              <w:jc w:val="left"/>
              <w:rPr>
                <w:rFonts w:ascii="Times New Roman" w:hAnsi="Times New Roman"/>
              </w:rPr>
            </w:pPr>
            <w:r>
              <w:rPr>
                <w:rFonts w:ascii="Cambria Math" w:hAnsi="Cambria Math" w:eastAsia="宋体" w:cs="Cambria Math"/>
              </w:rPr>
              <w:t>③</w:t>
            </w:r>
            <w:r>
              <w:rPr>
                <w:rFonts w:ascii="Times New Roman" w:hAnsi="Times New Roman"/>
              </w:rPr>
              <w:t>区域地下水水位下降；</w:t>
            </w:r>
          </w:p>
          <w:p w14:paraId="48FA49F5">
            <w:pPr>
              <w:pStyle w:val="72"/>
              <w:jc w:val="left"/>
              <w:rPr>
                <w:rFonts w:ascii="Times New Roman" w:hAnsi="Times New Roman"/>
              </w:rPr>
            </w:pPr>
            <w:r>
              <w:rPr>
                <w:rFonts w:ascii="Cambria Math" w:hAnsi="Cambria Math" w:eastAsia="宋体" w:cs="Cambria Math"/>
              </w:rPr>
              <w:t>④</w:t>
            </w:r>
            <w:r>
              <w:rPr>
                <w:rFonts w:ascii="Times New Roman" w:hAnsi="Times New Roman"/>
              </w:rPr>
              <w:t>矿区周围主要含水层（带）水位大幅下降，或呈疏干状态，地表水体漏失严重；</w:t>
            </w:r>
          </w:p>
          <w:p w14:paraId="44F40BBA">
            <w:pPr>
              <w:pStyle w:val="72"/>
              <w:jc w:val="left"/>
              <w:rPr>
                <w:rFonts w:ascii="Times New Roman" w:hAnsi="Times New Roman"/>
              </w:rPr>
            </w:pPr>
            <w:r>
              <w:rPr>
                <w:rFonts w:ascii="Cambria Math" w:hAnsi="Cambria Math" w:eastAsia="宋体" w:cs="Cambria Math"/>
              </w:rPr>
              <w:t>⑤</w:t>
            </w:r>
            <w:r>
              <w:rPr>
                <w:rFonts w:ascii="Times New Roman" w:hAnsi="Times New Roman"/>
              </w:rPr>
              <w:t>不同含水层（组）串通水质恶化；</w:t>
            </w:r>
          </w:p>
          <w:p w14:paraId="6172C299">
            <w:pPr>
              <w:pStyle w:val="72"/>
              <w:jc w:val="left"/>
              <w:rPr>
                <w:rFonts w:ascii="Times New Roman" w:hAnsi="Times New Roman"/>
              </w:rPr>
            </w:pPr>
            <w:r>
              <w:rPr>
                <w:rFonts w:ascii="Cambria Math" w:hAnsi="Cambria Math" w:eastAsia="宋体" w:cs="Cambria Math"/>
              </w:rPr>
              <w:t>⑥</w:t>
            </w:r>
            <w:r>
              <w:rPr>
                <w:rFonts w:ascii="Times New Roman" w:hAnsi="Times New Roman"/>
              </w:rPr>
              <w:t>影响集中水源地供水，矿区及周围生产、生活供水困难。</w:t>
            </w:r>
          </w:p>
        </w:tc>
      </w:tr>
      <w:tr w14:paraId="251B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43CC1D72">
            <w:pPr>
              <w:pStyle w:val="72"/>
              <w:rPr>
                <w:rFonts w:ascii="Times New Roman" w:hAnsi="Times New Roman"/>
              </w:rPr>
            </w:pPr>
            <w:r>
              <w:rPr>
                <w:rFonts w:ascii="Times New Roman" w:hAnsi="Times New Roman"/>
              </w:rPr>
              <w:t>较严重</w:t>
            </w:r>
          </w:p>
        </w:tc>
        <w:tc>
          <w:tcPr>
            <w:tcW w:w="4327" w:type="pct"/>
            <w:vAlign w:val="center"/>
          </w:tcPr>
          <w:p w14:paraId="0892793B">
            <w:pPr>
              <w:pStyle w:val="72"/>
              <w:jc w:val="left"/>
              <w:rPr>
                <w:rFonts w:ascii="Times New Roman" w:hAnsi="Times New Roman"/>
              </w:rPr>
            </w:pPr>
            <w:r>
              <w:rPr>
                <w:rFonts w:ascii="Cambria Math" w:hAnsi="Cambria Math" w:eastAsia="宋体" w:cs="Cambria Math"/>
              </w:rPr>
              <w:t>①</w:t>
            </w:r>
            <w:r>
              <w:rPr>
                <w:rFonts w:hint="eastAsia" w:ascii="Times New Roman" w:hAnsi="Times New Roman"/>
                <w:lang w:eastAsia="zh-CN"/>
              </w:rPr>
              <w:t>矿山</w:t>
            </w:r>
            <w:r>
              <w:rPr>
                <w:rFonts w:ascii="Times New Roman" w:hAnsi="Times New Roman"/>
              </w:rPr>
              <w:t>正常涌水量3000～10000</w:t>
            </w:r>
            <w:r>
              <w:rPr>
                <w:rFonts w:hint="eastAsia" w:ascii="Times New Roman" w:hAnsi="Times New Roman"/>
              </w:rPr>
              <w:t>m³</w:t>
            </w:r>
            <w:r>
              <w:rPr>
                <w:rFonts w:ascii="Times New Roman" w:hAnsi="Times New Roman"/>
              </w:rPr>
              <w:t>/d；</w:t>
            </w:r>
          </w:p>
          <w:p w14:paraId="7641859A">
            <w:pPr>
              <w:pStyle w:val="72"/>
              <w:jc w:val="left"/>
              <w:rPr>
                <w:rFonts w:ascii="Times New Roman" w:hAnsi="Times New Roman"/>
              </w:rPr>
            </w:pPr>
            <w:r>
              <w:rPr>
                <w:rFonts w:ascii="Cambria Math" w:hAnsi="Cambria Math" w:eastAsia="宋体" w:cs="Cambria Math"/>
              </w:rPr>
              <w:t>②</w:t>
            </w:r>
            <w:r>
              <w:rPr>
                <w:rFonts w:ascii="Times New Roman" w:hAnsi="Times New Roman"/>
              </w:rPr>
              <w:t>矿区及周围主要含水层（带）水位下降幅度较大，地下水呈半疏干状态；</w:t>
            </w:r>
          </w:p>
          <w:p w14:paraId="4AAF557D">
            <w:pPr>
              <w:pStyle w:val="72"/>
              <w:jc w:val="left"/>
              <w:rPr>
                <w:rFonts w:ascii="Times New Roman" w:hAnsi="Times New Roman"/>
              </w:rPr>
            </w:pPr>
            <w:r>
              <w:rPr>
                <w:rFonts w:ascii="Cambria Math" w:hAnsi="Cambria Math" w:eastAsia="宋体" w:cs="Cambria Math"/>
              </w:rPr>
              <w:t>③</w:t>
            </w:r>
            <w:r>
              <w:rPr>
                <w:rFonts w:ascii="Times New Roman" w:hAnsi="Times New Roman"/>
              </w:rPr>
              <w:t>矿区及周围地表水体漏失较严重；</w:t>
            </w:r>
          </w:p>
          <w:p w14:paraId="436F6FA8">
            <w:pPr>
              <w:pStyle w:val="72"/>
              <w:jc w:val="left"/>
              <w:rPr>
                <w:rFonts w:ascii="Times New Roman" w:hAnsi="Times New Roman"/>
              </w:rPr>
            </w:pPr>
            <w:r>
              <w:rPr>
                <w:rFonts w:ascii="Cambria Math" w:hAnsi="Cambria Math" w:eastAsia="宋体" w:cs="Cambria Math"/>
              </w:rPr>
              <w:t>④</w:t>
            </w:r>
            <w:r>
              <w:rPr>
                <w:rFonts w:ascii="Times New Roman" w:hAnsi="Times New Roman"/>
              </w:rPr>
              <w:t>影响矿区及周围部分生产生活供水。</w:t>
            </w:r>
          </w:p>
        </w:tc>
      </w:tr>
      <w:tr w14:paraId="5A2F2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24313EBF">
            <w:pPr>
              <w:pStyle w:val="72"/>
              <w:rPr>
                <w:rFonts w:ascii="Times New Roman" w:hAnsi="Times New Roman"/>
              </w:rPr>
            </w:pPr>
            <w:r>
              <w:rPr>
                <w:rFonts w:ascii="Times New Roman" w:hAnsi="Times New Roman"/>
              </w:rPr>
              <w:t>较轻</w:t>
            </w:r>
          </w:p>
        </w:tc>
        <w:tc>
          <w:tcPr>
            <w:tcW w:w="4327" w:type="pct"/>
            <w:vAlign w:val="center"/>
          </w:tcPr>
          <w:p w14:paraId="1040F903">
            <w:pPr>
              <w:pStyle w:val="72"/>
              <w:jc w:val="left"/>
              <w:rPr>
                <w:rFonts w:ascii="Times New Roman" w:hAnsi="Times New Roman"/>
              </w:rPr>
            </w:pPr>
            <w:r>
              <w:rPr>
                <w:rFonts w:ascii="Cambria Math" w:hAnsi="Cambria Math" w:eastAsia="宋体" w:cs="Cambria Math"/>
              </w:rPr>
              <w:t>①</w:t>
            </w:r>
            <w:r>
              <w:rPr>
                <w:rFonts w:hint="eastAsia" w:ascii="Times New Roman" w:hAnsi="Times New Roman"/>
                <w:lang w:eastAsia="zh-CN"/>
              </w:rPr>
              <w:t>矿山</w:t>
            </w:r>
            <w:r>
              <w:rPr>
                <w:rFonts w:ascii="Times New Roman" w:hAnsi="Times New Roman"/>
              </w:rPr>
              <w:t>正常涌水量小于3000</w:t>
            </w:r>
            <w:r>
              <w:rPr>
                <w:rFonts w:hint="eastAsia" w:ascii="Times New Roman" w:hAnsi="Times New Roman"/>
              </w:rPr>
              <w:t>m³</w:t>
            </w:r>
            <w:r>
              <w:rPr>
                <w:rFonts w:ascii="Times New Roman" w:hAnsi="Times New Roman"/>
              </w:rPr>
              <w:t>/d；</w:t>
            </w:r>
          </w:p>
          <w:p w14:paraId="279D907A">
            <w:pPr>
              <w:pStyle w:val="72"/>
              <w:jc w:val="left"/>
              <w:rPr>
                <w:rFonts w:ascii="Times New Roman" w:hAnsi="Times New Roman"/>
              </w:rPr>
            </w:pPr>
            <w:r>
              <w:rPr>
                <w:rFonts w:ascii="Cambria Math" w:hAnsi="Cambria Math" w:eastAsia="宋体" w:cs="Cambria Math"/>
              </w:rPr>
              <w:t>②</w:t>
            </w:r>
            <w:r>
              <w:rPr>
                <w:rFonts w:ascii="Times New Roman" w:hAnsi="Times New Roman"/>
              </w:rPr>
              <w:t>矿区及周围含水层水位下降幅度小；</w:t>
            </w:r>
          </w:p>
          <w:p w14:paraId="62BC6E7C">
            <w:pPr>
              <w:pStyle w:val="72"/>
              <w:jc w:val="left"/>
              <w:rPr>
                <w:rFonts w:ascii="Times New Roman" w:hAnsi="Times New Roman"/>
              </w:rPr>
            </w:pPr>
            <w:r>
              <w:rPr>
                <w:rFonts w:ascii="Cambria Math" w:hAnsi="Cambria Math" w:eastAsia="宋体" w:cs="Cambria Math"/>
              </w:rPr>
              <w:t>③</w:t>
            </w:r>
            <w:r>
              <w:rPr>
                <w:rFonts w:ascii="Times New Roman" w:hAnsi="Times New Roman"/>
              </w:rPr>
              <w:t>矿区及周围地表水体未漏失；</w:t>
            </w:r>
          </w:p>
          <w:p w14:paraId="71E786E7">
            <w:pPr>
              <w:pStyle w:val="72"/>
              <w:jc w:val="left"/>
              <w:rPr>
                <w:rFonts w:ascii="Times New Roman" w:hAnsi="Times New Roman"/>
              </w:rPr>
            </w:pPr>
            <w:r>
              <w:rPr>
                <w:rFonts w:ascii="Cambria Math" w:hAnsi="Cambria Math" w:eastAsia="宋体" w:cs="Cambria Math"/>
              </w:rPr>
              <w:t>④</w:t>
            </w:r>
            <w:r>
              <w:rPr>
                <w:rFonts w:ascii="Times New Roman" w:hAnsi="Times New Roman"/>
              </w:rPr>
              <w:t>未影响到矿区及周围生产生活供水。</w:t>
            </w:r>
          </w:p>
        </w:tc>
      </w:tr>
    </w:tbl>
    <w:p w14:paraId="191214C3">
      <w:pPr>
        <w:widowControl/>
        <w:ind w:firstLine="560"/>
        <w:rPr>
          <w:rFonts w:hint="eastAsia" w:ascii="宋体" w:hAnsi="宋体" w:cs="宋体"/>
          <w:szCs w:val="28"/>
        </w:rPr>
      </w:pPr>
      <w:r>
        <w:rPr>
          <w:rFonts w:hint="eastAsia" w:ascii="宋体" w:hAnsi="宋体" w:cs="宋体"/>
          <w:szCs w:val="28"/>
        </w:rPr>
        <w:t>（1）对含水层结构的影响</w:t>
      </w:r>
    </w:p>
    <w:p w14:paraId="65B3357C">
      <w:pPr>
        <w:ind w:firstLine="560"/>
        <w:rPr>
          <w:rFonts w:hint="eastAsia" w:ascii="宋体" w:hAnsi="宋体" w:cs="宋体"/>
          <w:szCs w:val="28"/>
        </w:rPr>
      </w:pPr>
      <w:r>
        <w:rPr>
          <w:rFonts w:hint="eastAsia" w:ascii="宋体" w:hAnsi="宋体" w:cs="宋体"/>
          <w:szCs w:val="28"/>
        </w:rPr>
        <w:t>矿山地下水含水层主要为</w:t>
      </w:r>
      <w:r>
        <w:rPr>
          <w:rFonts w:hint="eastAsia"/>
        </w:rPr>
        <w:t>砂砾石孔隙水含水层、基岩风化裂隙水含水层</w:t>
      </w:r>
      <w:r>
        <w:rPr>
          <w:rFonts w:hint="eastAsia" w:ascii="宋体" w:hAnsi="宋体" w:cs="宋体"/>
          <w:szCs w:val="28"/>
        </w:rPr>
        <w:t>。</w:t>
      </w:r>
      <w:r>
        <w:rPr>
          <w:rFonts w:hint="eastAsia" w:cs="宋体"/>
          <w:color w:val="000000"/>
        </w:rPr>
        <w:t>该矿区隔水层有</w:t>
      </w:r>
      <w:r>
        <w:rPr>
          <w:rFonts w:hint="eastAsia"/>
        </w:rPr>
        <w:t>侏罗系林子头组隔水层、二叠系上石盒子组、二叠系山西组和石炭系太原组隔水层</w:t>
      </w:r>
      <w:r>
        <w:rPr>
          <w:rFonts w:hint="eastAsia" w:cs="宋体"/>
          <w:color w:val="000000"/>
        </w:rPr>
        <w:t>、</w:t>
      </w:r>
      <w:r>
        <w:rPr>
          <w:rFonts w:hint="eastAsia"/>
        </w:rPr>
        <w:t>石炭系本溪组隔水层</w:t>
      </w:r>
      <w:r>
        <w:rPr>
          <w:rFonts w:hint="eastAsia" w:cs="宋体"/>
        </w:rPr>
        <w:t>及</w:t>
      </w:r>
      <w:r>
        <w:rPr>
          <w:rFonts w:hint="eastAsia"/>
        </w:rPr>
        <w:t>火成岩隔水层</w:t>
      </w:r>
      <w:r>
        <w:rPr>
          <w:rFonts w:hint="eastAsia" w:cs="宋体"/>
          <w:color w:val="000000"/>
        </w:rPr>
        <w:t>。</w:t>
      </w:r>
      <w:r>
        <w:rPr>
          <w:rFonts w:hint="eastAsia" w:ascii="宋体" w:hAnsi="宋体"/>
          <w:szCs w:val="28"/>
        </w:rPr>
        <w:t>由于第四系含水层，基岩风化裂隙含水层和奥陶系灰岩岩溶含水层与含</w:t>
      </w:r>
      <w:r>
        <w:rPr>
          <w:rFonts w:hint="eastAsia" w:ascii="宋体" w:hAnsi="宋体"/>
          <w:szCs w:val="28"/>
          <w:lang w:eastAsia="zh-CN"/>
        </w:rPr>
        <w:t>滑石</w:t>
      </w:r>
      <w:r>
        <w:rPr>
          <w:rFonts w:hint="eastAsia" w:ascii="宋体" w:hAnsi="宋体"/>
          <w:szCs w:val="28"/>
        </w:rPr>
        <w:t>地层间均有隔水层分布，在开采初期，正常开采条件下上述三个含水层不能直接向</w:t>
      </w:r>
      <w:r>
        <w:rPr>
          <w:rFonts w:hint="eastAsia" w:ascii="宋体" w:hAnsi="宋体"/>
          <w:szCs w:val="28"/>
          <w:lang w:eastAsia="zh-CN"/>
        </w:rPr>
        <w:t>矿山</w:t>
      </w:r>
      <w:r>
        <w:rPr>
          <w:rFonts w:hint="eastAsia" w:ascii="宋体" w:hAnsi="宋体"/>
          <w:szCs w:val="28"/>
        </w:rPr>
        <w:t>充水，地下水的补给，迳流和排泄条件不会发生改变。但当</w:t>
      </w:r>
      <w:r>
        <w:rPr>
          <w:rFonts w:hint="eastAsia" w:ascii="宋体" w:hAnsi="宋体"/>
          <w:szCs w:val="28"/>
          <w:lang w:eastAsia="zh-CN"/>
        </w:rPr>
        <w:t>矿山</w:t>
      </w:r>
      <w:r>
        <w:rPr>
          <w:rFonts w:hint="eastAsia" w:ascii="宋体" w:hAnsi="宋体"/>
          <w:szCs w:val="28"/>
        </w:rPr>
        <w:t>开采揭穿导水断层时，岩溶水将直接向</w:t>
      </w:r>
      <w:r>
        <w:rPr>
          <w:rFonts w:hint="eastAsia" w:ascii="宋体" w:hAnsi="宋体"/>
          <w:szCs w:val="28"/>
          <w:lang w:eastAsia="zh-CN"/>
        </w:rPr>
        <w:t>矿山</w:t>
      </w:r>
      <w:r>
        <w:rPr>
          <w:rFonts w:hint="eastAsia" w:ascii="宋体" w:hAnsi="宋体"/>
          <w:szCs w:val="28"/>
        </w:rPr>
        <w:t>排泄，</w:t>
      </w:r>
      <w:r>
        <w:rPr>
          <w:rFonts w:hint="eastAsia" w:ascii="宋体" w:hAnsi="宋体" w:cs="宋体"/>
          <w:szCs w:val="28"/>
        </w:rPr>
        <w:t>矿山</w:t>
      </w:r>
      <w:r>
        <w:rPr>
          <w:rFonts w:ascii="宋体" w:hAnsi="宋体" w:cs="宋体"/>
          <w:szCs w:val="28"/>
        </w:rPr>
        <w:t>开采</w:t>
      </w:r>
      <w:r>
        <w:rPr>
          <w:rFonts w:hint="eastAsia" w:ascii="宋体" w:hAnsi="宋体" w:cs="宋体"/>
          <w:szCs w:val="28"/>
        </w:rPr>
        <w:t>对含水层结构的影响应为较严重。</w:t>
      </w:r>
    </w:p>
    <w:p w14:paraId="2717BC2D">
      <w:pPr>
        <w:widowControl/>
        <w:ind w:firstLine="560"/>
        <w:rPr>
          <w:rFonts w:hint="eastAsia" w:ascii="宋体" w:hAnsi="宋体" w:cs="宋体"/>
          <w:szCs w:val="28"/>
        </w:rPr>
      </w:pPr>
      <w:r>
        <w:rPr>
          <w:rFonts w:hint="eastAsia" w:ascii="宋体" w:hAnsi="宋体" w:cs="宋体"/>
          <w:szCs w:val="28"/>
        </w:rPr>
        <w:t>（2）对矿区及附近水源的影响</w:t>
      </w:r>
    </w:p>
    <w:p w14:paraId="549AD3ED">
      <w:pPr>
        <w:widowControl/>
        <w:ind w:firstLine="560"/>
        <w:rPr>
          <w:rFonts w:hint="eastAsia" w:ascii="宋体" w:hAnsi="宋体" w:cs="宋体"/>
          <w:szCs w:val="28"/>
        </w:rPr>
      </w:pPr>
      <w:r>
        <w:rPr>
          <w:rFonts w:hint="eastAsia" w:ascii="宋体" w:hAnsi="宋体" w:cs="宋体"/>
          <w:szCs w:val="28"/>
        </w:rPr>
        <w:t>矿区及周边无重要水源地，居民用水为</w:t>
      </w:r>
      <w:r>
        <w:rPr>
          <w:rFonts w:hint="eastAsia" w:ascii="宋体" w:hAnsi="宋体" w:cs="宋体"/>
          <w:szCs w:val="28"/>
          <w:lang w:val="en-US" w:eastAsia="zh-CN"/>
        </w:rPr>
        <w:t>地下水</w:t>
      </w:r>
      <w:r>
        <w:rPr>
          <w:rFonts w:hint="eastAsia" w:ascii="宋体" w:hAnsi="宋体" w:cs="宋体"/>
          <w:szCs w:val="28"/>
        </w:rPr>
        <w:t>，采矿活动未对矿区及附近水源产生影响。</w:t>
      </w:r>
    </w:p>
    <w:p w14:paraId="52C1132C">
      <w:pPr>
        <w:widowControl/>
        <w:ind w:firstLine="560"/>
        <w:rPr>
          <w:rFonts w:hint="eastAsia" w:ascii="宋体" w:hAnsi="宋体" w:cs="宋体"/>
          <w:szCs w:val="28"/>
        </w:rPr>
      </w:pPr>
      <w:r>
        <w:rPr>
          <w:rFonts w:hint="eastAsia" w:ascii="宋体" w:hAnsi="宋体" w:cs="宋体"/>
          <w:szCs w:val="28"/>
        </w:rPr>
        <w:t>（3）对地下水水质的影响</w:t>
      </w:r>
    </w:p>
    <w:p w14:paraId="54096449">
      <w:pPr>
        <w:ind w:firstLine="560"/>
        <w:rPr>
          <w:rFonts w:hint="default" w:ascii="Times New Roman" w:hAnsi="Times New Roman" w:cs="Times New Roman"/>
          <w:szCs w:val="28"/>
        </w:rPr>
      </w:pPr>
      <w:r>
        <w:rPr>
          <w:rFonts w:hint="default" w:ascii="Times New Roman" w:hAnsi="Times New Roman" w:cs="Times New Roman"/>
          <w:szCs w:val="28"/>
        </w:rPr>
        <w:t>采矿过程不能改变岩石化学成分。采矿废水中含重金属污染物较低，仅有较多的悬浮物，经沉淀后可回用于生产。</w:t>
      </w:r>
      <w:r>
        <w:rPr>
          <w:rFonts w:hint="default" w:ascii="Times New Roman" w:hAnsi="Times New Roman" w:cs="Times New Roman"/>
          <w:szCs w:val="28"/>
          <w:lang w:eastAsia="zh-CN"/>
        </w:rPr>
        <w:t>矿山</w:t>
      </w:r>
      <w:r>
        <w:rPr>
          <w:rFonts w:hint="default" w:ascii="Times New Roman" w:hAnsi="Times New Roman" w:cs="Times New Roman"/>
          <w:szCs w:val="28"/>
        </w:rPr>
        <w:t>水排至地面后，经矿区内设有的沉淀池预沉调节池内自然沉积3～4小时，经混凝沉淀+过滤+消毒处理后的井下水，通过管路返回井下，作为井下生产机械、降尘、洒水用水供水水源。生活污水处理后一部分用于绿化、地面降尘及储</w:t>
      </w:r>
      <w:r>
        <w:rPr>
          <w:rFonts w:hint="default" w:ascii="Times New Roman" w:hAnsi="Times New Roman" w:cs="Times New Roman"/>
          <w:szCs w:val="28"/>
          <w:lang w:eastAsia="zh-CN"/>
        </w:rPr>
        <w:t>滑石</w:t>
      </w:r>
      <w:r>
        <w:rPr>
          <w:rFonts w:hint="default" w:ascii="Times New Roman" w:hAnsi="Times New Roman" w:cs="Times New Roman"/>
          <w:szCs w:val="28"/>
        </w:rPr>
        <w:t>场除尘洒水等，其余经地面管网排至场外。根据202</w:t>
      </w:r>
      <w:r>
        <w:rPr>
          <w:rFonts w:hint="default" w:ascii="Times New Roman" w:hAnsi="Times New Roman" w:cs="Times New Roman"/>
          <w:szCs w:val="28"/>
          <w:lang w:val="en-US" w:eastAsia="zh-CN"/>
        </w:rPr>
        <w:t>6</w:t>
      </w:r>
      <w:r>
        <w:rPr>
          <w:rFonts w:hint="default" w:ascii="Times New Roman" w:hAnsi="Times New Roman" w:cs="Times New Roman"/>
          <w:szCs w:val="28"/>
        </w:rPr>
        <w:t>年</w:t>
      </w:r>
      <w:r>
        <w:rPr>
          <w:rFonts w:hint="default" w:ascii="Times New Roman" w:hAnsi="Times New Roman" w:cs="Times New Roman"/>
          <w:szCs w:val="28"/>
          <w:lang w:val="en-US" w:eastAsia="zh-CN"/>
        </w:rPr>
        <w:t>1</w:t>
      </w:r>
      <w:r>
        <w:rPr>
          <w:rFonts w:hint="default" w:ascii="Times New Roman" w:hAnsi="Times New Roman" w:cs="Times New Roman"/>
          <w:szCs w:val="28"/>
        </w:rPr>
        <w:t>月地下水化验报告，矿区地下水未受污染。</w:t>
      </w:r>
    </w:p>
    <w:p w14:paraId="0759348B">
      <w:pPr>
        <w:widowControl/>
        <w:ind w:firstLine="560"/>
        <w:rPr>
          <w:rFonts w:hint="eastAsia" w:ascii="宋体" w:hAnsi="宋体" w:cs="宋体"/>
          <w:szCs w:val="28"/>
        </w:rPr>
      </w:pPr>
      <w:r>
        <w:rPr>
          <w:rFonts w:hint="eastAsia" w:ascii="宋体" w:hAnsi="宋体" w:cs="宋体"/>
          <w:szCs w:val="28"/>
        </w:rPr>
        <w:t>(4)对地下水水量的影响</w:t>
      </w:r>
    </w:p>
    <w:p w14:paraId="04415AD1">
      <w:pPr>
        <w:ind w:firstLine="560"/>
        <w:rPr>
          <w:rFonts w:hint="eastAsia" w:ascii="宋体" w:hAnsi="宋体" w:cs="宋体"/>
          <w:szCs w:val="28"/>
        </w:rPr>
      </w:pPr>
      <w:r>
        <w:rPr>
          <w:rFonts w:hint="eastAsia" w:ascii="宋体" w:hAnsi="宋体" w:cs="宋体"/>
          <w:szCs w:val="28"/>
          <w:lang w:val="en-US" w:eastAsia="zh-CN"/>
        </w:rPr>
        <w:t>矿山前期未进行开采，</w:t>
      </w:r>
      <w:r>
        <w:rPr>
          <w:rFonts w:hint="eastAsia" w:ascii="宋体" w:hAnsi="宋体" w:cs="宋体"/>
          <w:kern w:val="0"/>
          <w:szCs w:val="28"/>
        </w:rPr>
        <w:t>矿区排水疏干量</w:t>
      </w:r>
      <w:r>
        <w:rPr>
          <w:rFonts w:hint="eastAsia" w:ascii="宋体" w:hAnsi="宋体" w:cs="宋体"/>
          <w:kern w:val="0"/>
          <w:szCs w:val="28"/>
          <w:lang w:val="en-US" w:eastAsia="zh-CN"/>
        </w:rPr>
        <w:t>无</w:t>
      </w:r>
      <w:r>
        <w:rPr>
          <w:rFonts w:hint="eastAsia" w:ascii="宋体" w:hAnsi="宋体" w:cs="宋体"/>
          <w:kern w:val="0"/>
          <w:szCs w:val="28"/>
        </w:rPr>
        <w:t>，对地下含水层水资源产生影响和破坏</w:t>
      </w:r>
      <w:r>
        <w:rPr>
          <w:rFonts w:hint="eastAsia" w:ascii="宋体" w:hAnsi="宋体" w:cs="宋体"/>
          <w:kern w:val="0"/>
          <w:szCs w:val="28"/>
          <w:lang w:val="en-US" w:eastAsia="zh-CN"/>
        </w:rPr>
        <w:t>无</w:t>
      </w:r>
      <w:r>
        <w:rPr>
          <w:rFonts w:hint="eastAsia" w:ascii="宋体" w:hAnsi="宋体" w:cs="宋体"/>
          <w:szCs w:val="28"/>
        </w:rPr>
        <w:t>。</w:t>
      </w:r>
    </w:p>
    <w:p w14:paraId="5A45BEBE">
      <w:pPr>
        <w:ind w:firstLine="560"/>
        <w:rPr>
          <w:szCs w:val="28"/>
        </w:rPr>
      </w:pPr>
      <w:r>
        <w:rPr>
          <w:szCs w:val="28"/>
        </w:rPr>
        <w:t>综上所述，现状矿山生产</w:t>
      </w:r>
      <w:r>
        <w:rPr>
          <w:rFonts w:hint="eastAsia"/>
          <w:szCs w:val="28"/>
        </w:rPr>
        <w:t>对地下水资源影响程度</w:t>
      </w:r>
      <w:r>
        <w:rPr>
          <w:rFonts w:hint="eastAsia"/>
          <w:szCs w:val="28"/>
          <w:lang w:val="en-US" w:eastAsia="zh-CN"/>
        </w:rPr>
        <w:t>较轻</w:t>
      </w:r>
      <w:r>
        <w:rPr>
          <w:szCs w:val="28"/>
        </w:rPr>
        <w:t>。</w:t>
      </w:r>
    </w:p>
    <w:p w14:paraId="594FB6C1">
      <w:pPr>
        <w:ind w:firstLine="562"/>
        <w:rPr>
          <w:b/>
          <w:bCs/>
          <w:szCs w:val="28"/>
        </w:rPr>
      </w:pPr>
      <w:r>
        <w:rPr>
          <w:b/>
          <w:bCs/>
          <w:szCs w:val="28"/>
        </w:rPr>
        <w:t>3.</w:t>
      </w:r>
      <w:bookmarkStart w:id="107" w:name="OLE_LINK18"/>
      <w:r>
        <w:rPr>
          <w:b/>
          <w:bCs/>
          <w:szCs w:val="28"/>
        </w:rPr>
        <w:t>矿区地形地貌景观破坏现状分析</w:t>
      </w:r>
      <w:bookmarkEnd w:id="107"/>
    </w:p>
    <w:p w14:paraId="6222F868">
      <w:pPr>
        <w:pStyle w:val="57"/>
        <w:rPr>
          <w:rFonts w:ascii="Times New Roman" w:hAnsi="Times New Roman"/>
        </w:rPr>
      </w:pPr>
      <w:r>
        <w:rPr>
          <w:rFonts w:ascii="Times New Roman" w:hAnsi="Times New Roman"/>
        </w:rPr>
        <w:t>表3-</w:t>
      </w:r>
      <w:r>
        <w:rPr>
          <w:rFonts w:hint="eastAsia" w:ascii="Times New Roman" w:hAnsi="Times New Roman"/>
        </w:rPr>
        <w:t>7</w:t>
      </w:r>
      <w:r>
        <w:rPr>
          <w:rFonts w:ascii="Times New Roman" w:hAnsi="Times New Roman"/>
        </w:rPr>
        <w:t>地形地貌景观影响程度分级表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7861"/>
      </w:tblGrid>
      <w:tr w14:paraId="596F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Align w:val="center"/>
          </w:tcPr>
          <w:p w14:paraId="72A09601">
            <w:pPr>
              <w:pStyle w:val="72"/>
              <w:rPr>
                <w:rFonts w:ascii="Times New Roman" w:hAnsi="Times New Roman"/>
              </w:rPr>
            </w:pPr>
            <w:r>
              <w:rPr>
                <w:rFonts w:ascii="Times New Roman" w:hAnsi="Times New Roman"/>
              </w:rPr>
              <w:t>影响程度</w:t>
            </w:r>
          </w:p>
        </w:tc>
        <w:tc>
          <w:tcPr>
            <w:tcW w:w="7861" w:type="dxa"/>
            <w:vAlign w:val="center"/>
          </w:tcPr>
          <w:p w14:paraId="15A7979B">
            <w:pPr>
              <w:pStyle w:val="72"/>
              <w:rPr>
                <w:rFonts w:ascii="Times New Roman" w:hAnsi="Times New Roman"/>
              </w:rPr>
            </w:pPr>
            <w:r>
              <w:rPr>
                <w:rFonts w:ascii="Times New Roman" w:hAnsi="Times New Roman"/>
              </w:rPr>
              <w:t>地形地貌景观</w:t>
            </w:r>
          </w:p>
        </w:tc>
      </w:tr>
      <w:tr w14:paraId="521E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426" w:type="dxa"/>
            <w:vAlign w:val="center"/>
          </w:tcPr>
          <w:p w14:paraId="32930061">
            <w:pPr>
              <w:pStyle w:val="72"/>
              <w:rPr>
                <w:rFonts w:ascii="Times New Roman" w:hAnsi="Times New Roman"/>
              </w:rPr>
            </w:pPr>
            <w:r>
              <w:rPr>
                <w:rFonts w:ascii="Times New Roman" w:hAnsi="Times New Roman"/>
              </w:rPr>
              <w:t>严重</w:t>
            </w:r>
          </w:p>
        </w:tc>
        <w:tc>
          <w:tcPr>
            <w:tcW w:w="7861" w:type="dxa"/>
            <w:vAlign w:val="center"/>
          </w:tcPr>
          <w:p w14:paraId="4C825B22">
            <w:pPr>
              <w:pStyle w:val="72"/>
              <w:rPr>
                <w:rFonts w:ascii="Times New Roman" w:hAnsi="Times New Roman"/>
              </w:rPr>
            </w:pPr>
            <w:r>
              <w:rPr>
                <w:rFonts w:ascii="Times New Roman" w:hAnsi="Times New Roman"/>
              </w:rPr>
              <w:t>对原生的地形地貌景观影响和破坏程度大；对各类自然保护区、人文景观、风景</w:t>
            </w:r>
          </w:p>
          <w:p w14:paraId="3FEF15A5">
            <w:pPr>
              <w:pStyle w:val="72"/>
              <w:rPr>
                <w:rFonts w:ascii="Times New Roman" w:hAnsi="Times New Roman"/>
              </w:rPr>
            </w:pPr>
            <w:r>
              <w:rPr>
                <w:rFonts w:ascii="Times New Roman" w:hAnsi="Times New Roman"/>
              </w:rPr>
              <w:t>旅游区、城市周围、主要交通干线两侧可视范围内地形地貌景观影响严重。</w:t>
            </w:r>
          </w:p>
        </w:tc>
      </w:tr>
      <w:tr w14:paraId="07DE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Align w:val="center"/>
          </w:tcPr>
          <w:p w14:paraId="6E03957F">
            <w:pPr>
              <w:pStyle w:val="72"/>
              <w:rPr>
                <w:rFonts w:ascii="Times New Roman" w:hAnsi="Times New Roman"/>
              </w:rPr>
            </w:pPr>
            <w:r>
              <w:rPr>
                <w:rFonts w:ascii="Times New Roman" w:hAnsi="Times New Roman"/>
              </w:rPr>
              <w:t>较严重</w:t>
            </w:r>
          </w:p>
        </w:tc>
        <w:tc>
          <w:tcPr>
            <w:tcW w:w="7861" w:type="dxa"/>
            <w:vAlign w:val="center"/>
          </w:tcPr>
          <w:p w14:paraId="1A8B10EA">
            <w:pPr>
              <w:pStyle w:val="72"/>
              <w:rPr>
                <w:rFonts w:ascii="Times New Roman" w:hAnsi="Times New Roman"/>
              </w:rPr>
            </w:pPr>
            <w:r>
              <w:rPr>
                <w:rFonts w:ascii="Times New Roman" w:hAnsi="Times New Roman"/>
              </w:rPr>
              <w:t>对原生的地形地貌景观影响和破坏程度较大；对各类自然保护区、人文景观、风</w:t>
            </w:r>
          </w:p>
          <w:p w14:paraId="6414AA83">
            <w:pPr>
              <w:pStyle w:val="72"/>
              <w:rPr>
                <w:rFonts w:ascii="Times New Roman" w:hAnsi="Times New Roman"/>
              </w:rPr>
            </w:pPr>
            <w:r>
              <w:rPr>
                <w:rFonts w:ascii="Times New Roman" w:hAnsi="Times New Roman"/>
              </w:rPr>
              <w:t>景旅游区、城市周围、主要交通干线两侧可视范围内地形地貌景观影响较重。</w:t>
            </w:r>
          </w:p>
        </w:tc>
      </w:tr>
      <w:tr w14:paraId="2F33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Align w:val="center"/>
          </w:tcPr>
          <w:p w14:paraId="74FE4A16">
            <w:pPr>
              <w:pStyle w:val="72"/>
              <w:rPr>
                <w:rFonts w:ascii="Times New Roman" w:hAnsi="Times New Roman"/>
              </w:rPr>
            </w:pPr>
            <w:r>
              <w:rPr>
                <w:rFonts w:ascii="Times New Roman" w:hAnsi="Times New Roman"/>
              </w:rPr>
              <w:t>较轻</w:t>
            </w:r>
          </w:p>
        </w:tc>
        <w:tc>
          <w:tcPr>
            <w:tcW w:w="7861" w:type="dxa"/>
            <w:vAlign w:val="center"/>
          </w:tcPr>
          <w:p w14:paraId="5A6D1DA2">
            <w:pPr>
              <w:pStyle w:val="72"/>
              <w:rPr>
                <w:rFonts w:ascii="Times New Roman" w:hAnsi="Times New Roman"/>
              </w:rPr>
            </w:pPr>
            <w:r>
              <w:rPr>
                <w:rFonts w:ascii="Times New Roman" w:hAnsi="Times New Roman"/>
              </w:rPr>
              <w:t>对原生的地形地貌景观影响和破坏程度小；对各类自然保护区、人文景观、风景</w:t>
            </w:r>
          </w:p>
          <w:p w14:paraId="2716C292">
            <w:pPr>
              <w:pStyle w:val="72"/>
              <w:rPr>
                <w:rFonts w:ascii="Times New Roman" w:hAnsi="Times New Roman"/>
              </w:rPr>
            </w:pPr>
            <w:r>
              <w:rPr>
                <w:rFonts w:ascii="Times New Roman" w:hAnsi="Times New Roman"/>
              </w:rPr>
              <w:t>旅游区、城市周围、主要交通干线两侧可视范围内地形地貌景观影响较轻。</w:t>
            </w:r>
          </w:p>
        </w:tc>
      </w:tr>
      <w:tr w14:paraId="3E0B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87" w:type="dxa"/>
            <w:gridSpan w:val="2"/>
            <w:vAlign w:val="center"/>
          </w:tcPr>
          <w:p w14:paraId="5547C98C">
            <w:pPr>
              <w:pStyle w:val="72"/>
              <w:rPr>
                <w:rFonts w:ascii="Times New Roman" w:hAnsi="Times New Roman"/>
              </w:rPr>
            </w:pPr>
            <w:r>
              <w:rPr>
                <w:rFonts w:ascii="Times New Roman" w:hAnsi="Times New Roman"/>
              </w:rPr>
              <w:t>注：若综合评估，分级确定采取上一级别优先原则，只要有一项要素符合某一级别，就定为该级别。</w:t>
            </w:r>
          </w:p>
        </w:tc>
      </w:tr>
    </w:tbl>
    <w:p w14:paraId="67525DB5">
      <w:pPr>
        <w:ind w:firstLine="560"/>
        <w:rPr>
          <w:szCs w:val="28"/>
        </w:rPr>
      </w:pPr>
      <w:r>
        <w:rPr>
          <w:szCs w:val="28"/>
        </w:rPr>
        <w:t>根据现场调查，评估区周围无各类自然保护区、人文景观、风景旅游区</w:t>
      </w:r>
      <w:r>
        <w:rPr>
          <w:rFonts w:hint="eastAsia"/>
          <w:szCs w:val="28"/>
        </w:rPr>
        <w:t>，</w:t>
      </w:r>
      <w:r>
        <w:rPr>
          <w:rFonts w:hint="eastAsia"/>
          <w:szCs w:val="28"/>
          <w:lang w:eastAsia="zh-CN"/>
        </w:rPr>
        <w:t>集安市清河镇二道滑石矿</w:t>
      </w:r>
      <w:r>
        <w:rPr>
          <w:rFonts w:hint="eastAsia"/>
          <w:szCs w:val="28"/>
        </w:rPr>
        <w:t>矿区地处</w:t>
      </w:r>
      <w:r>
        <w:rPr>
          <w:rFonts w:hint="eastAsia"/>
          <w:szCs w:val="28"/>
          <w:lang w:eastAsia="zh-CN"/>
        </w:rPr>
        <w:t>集安市</w:t>
      </w:r>
      <w:r>
        <w:rPr>
          <w:rFonts w:hint="eastAsia"/>
          <w:szCs w:val="28"/>
        </w:rPr>
        <w:t>城市周围、主要交通干线两侧可视范围内，</w:t>
      </w:r>
      <w:r>
        <w:rPr>
          <w:szCs w:val="28"/>
        </w:rPr>
        <w:t>矿山活动主要体现在</w:t>
      </w:r>
      <w:r>
        <w:rPr>
          <w:rFonts w:hint="eastAsia"/>
          <w:szCs w:val="28"/>
        </w:rPr>
        <w:t>工业广场和</w:t>
      </w:r>
      <w:r>
        <w:rPr>
          <w:rFonts w:hint="eastAsia"/>
          <w:szCs w:val="28"/>
          <w:lang w:val="en-US" w:eastAsia="zh-CN"/>
        </w:rPr>
        <w:t>三处废弃平硐</w:t>
      </w:r>
      <w:r>
        <w:rPr>
          <w:szCs w:val="28"/>
        </w:rPr>
        <w:t>对原生的地形地貌影响和破坏。具体如下：</w:t>
      </w:r>
    </w:p>
    <w:p w14:paraId="48FD166A">
      <w:pPr>
        <w:ind w:firstLine="560"/>
        <w:rPr>
          <w:rFonts w:hint="eastAsia" w:ascii="宋体" w:hAnsi="宋体" w:cs="宋体"/>
          <w:szCs w:val="28"/>
        </w:rPr>
      </w:pPr>
      <w:r>
        <w:rPr>
          <w:rFonts w:hint="eastAsia" w:ascii="宋体" w:hAnsi="宋体" w:cs="宋体"/>
          <w:szCs w:val="28"/>
        </w:rPr>
        <w:t>（1）工业广场</w:t>
      </w:r>
    </w:p>
    <w:p w14:paraId="200B4E0B">
      <w:pPr>
        <w:ind w:firstLine="560"/>
      </w:pPr>
      <w:r>
        <w:rPr>
          <w:rFonts w:hint="eastAsia"/>
          <w:lang w:val="zh-CN"/>
        </w:rPr>
        <w:t>矿区主要工业布局为位于矿区北侧的工业广场，由</w:t>
      </w:r>
      <w:r>
        <w:rPr>
          <w:rFonts w:hint="eastAsia"/>
          <w:lang w:val="en-US" w:eastAsia="zh-CN"/>
        </w:rPr>
        <w:t>生产用房等地表附属建筑物</w:t>
      </w:r>
      <w:r>
        <w:rPr>
          <w:rFonts w:hint="eastAsia"/>
          <w:lang w:val="zh-CN"/>
        </w:rPr>
        <w:t>等几部分组成，总占地面积</w:t>
      </w:r>
      <w:r>
        <w:rPr>
          <w:rFonts w:hint="eastAsia"/>
          <w:lang w:val="en-US" w:eastAsia="zh-CN"/>
        </w:rPr>
        <w:t>0.3608</w:t>
      </w:r>
      <w:r>
        <w:rPr>
          <w:rFonts w:hint="eastAsia"/>
        </w:rPr>
        <w:t>hm</w:t>
      </w:r>
      <w:r>
        <w:rPr>
          <w:rFonts w:hint="eastAsia"/>
          <w:vertAlign w:val="superscript"/>
        </w:rPr>
        <w:t>2</w:t>
      </w:r>
      <w:r>
        <w:rPr>
          <w:rFonts w:hint="eastAsia"/>
        </w:rPr>
        <w:t>。</w:t>
      </w:r>
    </w:p>
    <w:p w14:paraId="6097CF83">
      <w:pPr>
        <w:ind w:firstLine="562"/>
      </w:pPr>
      <w:r>
        <w:rPr>
          <w:rFonts w:hint="eastAsia"/>
          <w:lang w:val="zh-CN"/>
        </w:rPr>
        <w:t>工业广场内临时建筑总占地面积</w:t>
      </w:r>
      <w:r>
        <w:rPr>
          <w:rFonts w:hint="eastAsia"/>
          <w:lang w:val="en-US" w:eastAsia="zh-CN"/>
        </w:rPr>
        <w:t>0.04</w:t>
      </w:r>
      <w:r>
        <w:rPr>
          <w:rFonts w:hint="eastAsia"/>
        </w:rPr>
        <w:t>hm</w:t>
      </w:r>
      <w:r>
        <w:rPr>
          <w:rFonts w:hint="eastAsia"/>
          <w:vertAlign w:val="superscript"/>
        </w:rPr>
        <w:t>2</w:t>
      </w:r>
      <w:r>
        <w:rPr>
          <w:rFonts w:hint="eastAsia"/>
          <w:lang w:val="zh-CN"/>
        </w:rPr>
        <w:t>，水泥浆砌砖建筑面积</w:t>
      </w:r>
      <w:r>
        <w:rPr>
          <w:rFonts w:hint="eastAsia"/>
          <w:lang w:val="en-US" w:eastAsia="zh-CN"/>
        </w:rPr>
        <w:t>0.4</w:t>
      </w:r>
      <w:r>
        <w:rPr>
          <w:rFonts w:hint="eastAsia"/>
        </w:rPr>
        <w:t>hm</w:t>
      </w:r>
      <w:r>
        <w:rPr>
          <w:rFonts w:hint="eastAsia"/>
          <w:vertAlign w:val="superscript"/>
        </w:rPr>
        <w:t>2</w:t>
      </w:r>
      <w:r>
        <w:rPr>
          <w:rFonts w:hint="eastAsia"/>
          <w:lang w:val="zh-CN"/>
        </w:rPr>
        <w:t>、包括二道滑石矿办公楼、宿舍</w:t>
      </w:r>
      <w:r>
        <w:rPr>
          <w:rFonts w:hint="eastAsia"/>
          <w:lang w:val="en-US" w:eastAsia="zh-CN"/>
        </w:rPr>
        <w:t>等</w:t>
      </w:r>
      <w:r>
        <w:rPr>
          <w:rFonts w:hint="eastAsia"/>
        </w:rPr>
        <w:t>。</w:t>
      </w:r>
    </w:p>
    <w:p w14:paraId="6CBDBBC2">
      <w:pPr>
        <w:ind w:firstLine="562"/>
      </w:pPr>
      <w:r>
        <w:rPr>
          <w:rFonts w:hint="eastAsia"/>
          <w:b/>
          <w:bCs/>
          <w:lang w:val="en-US" w:eastAsia="zh-CN"/>
        </w:rPr>
        <w:t>548m平硐</w:t>
      </w:r>
      <w:r>
        <w:rPr>
          <w:rFonts w:hint="eastAsia"/>
          <w:b/>
          <w:bCs/>
        </w:rPr>
        <w:t>：</w:t>
      </w:r>
      <w:r>
        <w:rPr>
          <w:rFonts w:hint="eastAsia"/>
        </w:rPr>
        <w:t>井筒</w:t>
      </w:r>
      <w:r>
        <w:rPr>
          <w:rFonts w:hint="eastAsia"/>
          <w:lang w:val="en-US" w:eastAsia="zh-CN"/>
        </w:rPr>
        <w:t>断面</w:t>
      </w:r>
      <w:r>
        <w:rPr>
          <w:rFonts w:hint="eastAsia"/>
        </w:rPr>
        <w:t>：</w:t>
      </w:r>
      <w:r>
        <w:rPr>
          <w:rFonts w:hint="eastAsia"/>
          <w:lang w:val="en-US" w:eastAsia="zh-CN"/>
        </w:rPr>
        <w:t>6</w:t>
      </w:r>
      <w:r>
        <w:rPr>
          <w:rFonts w:hint="eastAsia"/>
        </w:rPr>
        <w:t>m</w:t>
      </w:r>
      <w:r>
        <w:rPr>
          <w:rFonts w:hint="eastAsia"/>
          <w:vertAlign w:val="superscript"/>
        </w:rPr>
        <w:t>2</w:t>
      </w:r>
      <w:r>
        <w:rPr>
          <w:rFonts w:hint="eastAsia"/>
        </w:rPr>
        <w:t>，标高：+5</w:t>
      </w:r>
      <w:r>
        <w:rPr>
          <w:rFonts w:hint="eastAsia"/>
          <w:lang w:val="en-US" w:eastAsia="zh-CN"/>
        </w:rPr>
        <w:t>48</w:t>
      </w:r>
      <w:r>
        <w:rPr>
          <w:rFonts w:hint="eastAsia"/>
        </w:rPr>
        <w:t>m，占地面积</w:t>
      </w:r>
      <w:r>
        <w:rPr>
          <w:rFonts w:hint="eastAsia"/>
          <w:lang w:val="en-US" w:eastAsia="zh-CN"/>
        </w:rPr>
        <w:t>0</w:t>
      </w:r>
      <w:r>
        <w:rPr>
          <w:rFonts w:hint="eastAsia"/>
        </w:rPr>
        <w:t>hm</w:t>
      </w:r>
      <w:r>
        <w:rPr>
          <w:rFonts w:hint="eastAsia"/>
          <w:vertAlign w:val="superscript"/>
        </w:rPr>
        <w:t>2</w:t>
      </w:r>
      <w:r>
        <w:rPr>
          <w:rFonts w:hint="eastAsia"/>
        </w:rPr>
        <w:t>。</w:t>
      </w:r>
    </w:p>
    <w:p w14:paraId="6FF63548">
      <w:pPr>
        <w:ind w:firstLine="562"/>
      </w:pPr>
      <w:r>
        <w:rPr>
          <w:rFonts w:hint="eastAsia"/>
          <w:b/>
          <w:bCs/>
          <w:lang w:val="en-US" w:eastAsia="zh-CN"/>
        </w:rPr>
        <w:t>533m平硐</w:t>
      </w:r>
      <w:r>
        <w:rPr>
          <w:rFonts w:hint="eastAsia"/>
          <w:b/>
          <w:bCs/>
        </w:rPr>
        <w:t>：</w:t>
      </w:r>
      <w:r>
        <w:rPr>
          <w:rFonts w:hint="eastAsia"/>
        </w:rPr>
        <w:t>井筒</w:t>
      </w:r>
      <w:r>
        <w:rPr>
          <w:rFonts w:hint="eastAsia"/>
          <w:lang w:val="en-US" w:eastAsia="zh-CN"/>
        </w:rPr>
        <w:t>断面</w:t>
      </w:r>
      <w:r>
        <w:rPr>
          <w:rFonts w:hint="eastAsia"/>
        </w:rPr>
        <w:t>：</w:t>
      </w:r>
      <w:r>
        <w:rPr>
          <w:rFonts w:hint="eastAsia"/>
          <w:lang w:val="en-US" w:eastAsia="zh-CN"/>
        </w:rPr>
        <w:t>6</w:t>
      </w:r>
      <w:r>
        <w:rPr>
          <w:rFonts w:hint="eastAsia"/>
        </w:rPr>
        <w:t>m</w:t>
      </w:r>
      <w:r>
        <w:rPr>
          <w:rFonts w:hint="eastAsia"/>
          <w:vertAlign w:val="superscript"/>
        </w:rPr>
        <w:t>2</w:t>
      </w:r>
      <w:r>
        <w:rPr>
          <w:rFonts w:hint="eastAsia"/>
        </w:rPr>
        <w:t>，标高：+5</w:t>
      </w:r>
      <w:r>
        <w:rPr>
          <w:rFonts w:hint="eastAsia"/>
          <w:lang w:val="en-US" w:eastAsia="zh-CN"/>
        </w:rPr>
        <w:t>33</w:t>
      </w:r>
      <w:r>
        <w:rPr>
          <w:rFonts w:hint="eastAsia"/>
        </w:rPr>
        <w:t>m，占地面积</w:t>
      </w:r>
      <w:r>
        <w:rPr>
          <w:rFonts w:hint="eastAsia"/>
          <w:lang w:val="en-US" w:eastAsia="zh-CN"/>
        </w:rPr>
        <w:t>0</w:t>
      </w:r>
      <w:r>
        <w:rPr>
          <w:rFonts w:hint="eastAsia"/>
        </w:rPr>
        <w:t>hm</w:t>
      </w:r>
      <w:r>
        <w:rPr>
          <w:rFonts w:hint="eastAsia"/>
          <w:vertAlign w:val="superscript"/>
        </w:rPr>
        <w:t>2</w:t>
      </w:r>
      <w:r>
        <w:rPr>
          <w:rFonts w:hint="eastAsia"/>
        </w:rPr>
        <w:t>。</w:t>
      </w:r>
    </w:p>
    <w:p w14:paraId="5E54B2CD">
      <w:pPr>
        <w:ind w:firstLine="562"/>
      </w:pPr>
      <w:r>
        <w:rPr>
          <w:rFonts w:hint="eastAsia"/>
          <w:b/>
          <w:bCs/>
          <w:lang w:val="en-US" w:eastAsia="zh-CN"/>
        </w:rPr>
        <w:t>520m平硐</w:t>
      </w:r>
      <w:r>
        <w:rPr>
          <w:rFonts w:hint="eastAsia"/>
          <w:b/>
          <w:bCs/>
        </w:rPr>
        <w:t>：</w:t>
      </w:r>
      <w:r>
        <w:rPr>
          <w:rFonts w:hint="eastAsia"/>
        </w:rPr>
        <w:t>井筒</w:t>
      </w:r>
      <w:r>
        <w:rPr>
          <w:rFonts w:hint="eastAsia"/>
          <w:lang w:val="en-US" w:eastAsia="zh-CN"/>
        </w:rPr>
        <w:t>断面</w:t>
      </w:r>
      <w:r>
        <w:rPr>
          <w:rFonts w:hint="eastAsia"/>
        </w:rPr>
        <w:t>：</w:t>
      </w:r>
      <w:r>
        <w:rPr>
          <w:rFonts w:hint="eastAsia"/>
          <w:lang w:val="en-US" w:eastAsia="zh-CN"/>
        </w:rPr>
        <w:t>6</w:t>
      </w:r>
      <w:r>
        <w:rPr>
          <w:rFonts w:hint="eastAsia"/>
        </w:rPr>
        <w:t>m</w:t>
      </w:r>
      <w:r>
        <w:rPr>
          <w:rFonts w:hint="eastAsia"/>
          <w:vertAlign w:val="superscript"/>
        </w:rPr>
        <w:t>2</w:t>
      </w:r>
      <w:r>
        <w:rPr>
          <w:rFonts w:hint="eastAsia"/>
        </w:rPr>
        <w:t>，标高：+5</w:t>
      </w:r>
      <w:r>
        <w:rPr>
          <w:rFonts w:hint="eastAsia"/>
          <w:lang w:val="en-US" w:eastAsia="zh-CN"/>
        </w:rPr>
        <w:t>20</w:t>
      </w:r>
      <w:r>
        <w:rPr>
          <w:rFonts w:hint="eastAsia"/>
        </w:rPr>
        <w:t>m，占地面积</w:t>
      </w:r>
      <w:r>
        <w:rPr>
          <w:rFonts w:hint="eastAsia"/>
          <w:lang w:val="en-US" w:eastAsia="zh-CN"/>
        </w:rPr>
        <w:t>0</w:t>
      </w:r>
      <w:r>
        <w:rPr>
          <w:rFonts w:hint="eastAsia"/>
        </w:rPr>
        <w:t>hm</w:t>
      </w:r>
      <w:r>
        <w:rPr>
          <w:rFonts w:hint="eastAsia"/>
          <w:vertAlign w:val="superscript"/>
        </w:rPr>
        <w:t>2</w:t>
      </w:r>
      <w:r>
        <w:rPr>
          <w:rFonts w:hint="eastAsia"/>
        </w:rPr>
        <w:t>。</w:t>
      </w:r>
    </w:p>
    <w:p w14:paraId="2CFF75C2">
      <w:pPr>
        <w:ind w:firstLine="560"/>
        <w:rPr>
          <w:rFonts w:hint="eastAsia" w:ascii="宋体" w:hAnsi="宋体" w:cs="宋体"/>
          <w:szCs w:val="28"/>
        </w:rPr>
      </w:pPr>
      <w:r>
        <w:rPr>
          <w:rFonts w:hint="eastAsia" w:ascii="宋体" w:hAnsi="宋体" w:cs="宋体"/>
          <w:szCs w:val="28"/>
        </w:rPr>
        <w:t>根据上述可知，</w:t>
      </w:r>
      <w:r>
        <w:rPr>
          <w:rFonts w:hint="eastAsia" w:ascii="宋体" w:hAnsi="宋体" w:cs="宋体"/>
          <w:szCs w:val="28"/>
          <w:lang w:eastAsia="zh-CN"/>
        </w:rPr>
        <w:t>二道滑石矿</w:t>
      </w:r>
      <w:r>
        <w:rPr>
          <w:rFonts w:hint="eastAsia" w:ascii="宋体" w:hAnsi="宋体" w:cs="宋体"/>
          <w:szCs w:val="28"/>
        </w:rPr>
        <w:t>工业广场</w:t>
      </w:r>
      <w:r>
        <w:rPr>
          <w:rFonts w:hint="eastAsia" w:ascii="宋体" w:hAnsi="宋体" w:cs="宋体"/>
          <w:szCs w:val="28"/>
          <w:lang w:val="en-US" w:eastAsia="zh-CN"/>
        </w:rPr>
        <w:t>和三处废弃平硐对</w:t>
      </w:r>
      <w:r>
        <w:rPr>
          <w:rFonts w:hint="eastAsia" w:ascii="宋体" w:hAnsi="宋体" w:cs="宋体"/>
          <w:szCs w:val="28"/>
        </w:rPr>
        <w:t>地形地貌景观破坏严重，面积为</w:t>
      </w:r>
      <w:r>
        <w:rPr>
          <w:rFonts w:hint="eastAsia"/>
          <w:lang w:val="en-US" w:eastAsia="zh-CN"/>
        </w:rPr>
        <w:t>0.3608</w:t>
      </w:r>
      <w:r>
        <w:rPr>
          <w:rFonts w:hint="eastAsia"/>
        </w:rPr>
        <w:t>hm</w:t>
      </w:r>
      <w:r>
        <w:rPr>
          <w:rFonts w:hint="eastAsia"/>
          <w:vertAlign w:val="superscript"/>
        </w:rPr>
        <w:t>2</w:t>
      </w:r>
      <w:r>
        <w:rPr>
          <w:rFonts w:hint="eastAsia" w:ascii="宋体" w:hAnsi="宋体" w:cs="宋体"/>
          <w:szCs w:val="28"/>
        </w:rPr>
        <w:t>。</w:t>
      </w:r>
    </w:p>
    <w:p w14:paraId="325875F0">
      <w:pPr>
        <w:ind w:firstLine="560"/>
        <w:rPr>
          <w:color w:val="000000"/>
          <w:szCs w:val="28"/>
        </w:rPr>
      </w:pPr>
      <w:r>
        <w:rPr>
          <w:color w:val="000000"/>
          <w:szCs w:val="28"/>
        </w:rPr>
        <w:t>（</w:t>
      </w:r>
      <w:r>
        <w:rPr>
          <w:rFonts w:hint="eastAsia"/>
          <w:color w:val="000000"/>
          <w:szCs w:val="28"/>
        </w:rPr>
        <w:t>2</w:t>
      </w:r>
      <w:r>
        <w:rPr>
          <w:color w:val="000000"/>
          <w:szCs w:val="28"/>
        </w:rPr>
        <w:t>）其余区域</w:t>
      </w:r>
    </w:p>
    <w:p w14:paraId="06B1557A">
      <w:pPr>
        <w:ind w:firstLine="560"/>
        <w:rPr>
          <w:color w:val="000000"/>
          <w:szCs w:val="28"/>
        </w:rPr>
      </w:pPr>
      <w:r>
        <w:rPr>
          <w:color w:val="000000"/>
          <w:szCs w:val="28"/>
        </w:rPr>
        <w:t>其余区域是评估区内矿山未进行破坏的地方，矿山对地形地貌景观破坏影响程度较轻，</w:t>
      </w:r>
      <w:r>
        <w:rPr>
          <w:szCs w:val="28"/>
        </w:rPr>
        <w:t>面积</w:t>
      </w:r>
      <w:r>
        <w:rPr>
          <w:rFonts w:hint="eastAsia"/>
          <w:szCs w:val="28"/>
          <w:lang w:eastAsia="zh-CN"/>
        </w:rPr>
        <w:t>46.6392</w:t>
      </w:r>
      <w:r>
        <w:rPr>
          <w:szCs w:val="28"/>
        </w:rPr>
        <w:t>h</w:t>
      </w:r>
      <w:r>
        <w:rPr>
          <w:rFonts w:hint="eastAsia"/>
          <w:bCs/>
          <w:szCs w:val="28"/>
        </w:rPr>
        <w:t>m²</w:t>
      </w:r>
      <w:r>
        <w:rPr>
          <w:color w:val="000000"/>
          <w:szCs w:val="28"/>
        </w:rPr>
        <w:t>。</w:t>
      </w:r>
    </w:p>
    <w:p w14:paraId="396F367C">
      <w:pPr>
        <w:ind w:firstLine="560"/>
        <w:rPr>
          <w:color w:val="000000"/>
          <w:szCs w:val="28"/>
        </w:rPr>
      </w:pPr>
      <w:r>
        <w:rPr>
          <w:szCs w:val="28"/>
        </w:rPr>
        <w:t>综上，将工业广场</w:t>
      </w:r>
      <w:r>
        <w:rPr>
          <w:rFonts w:hint="eastAsia"/>
          <w:szCs w:val="28"/>
          <w:lang w:val="en-US" w:eastAsia="zh-CN"/>
        </w:rPr>
        <w:t>0.3608</w:t>
      </w:r>
      <w:r>
        <w:rPr>
          <w:szCs w:val="28"/>
        </w:rPr>
        <w:t>h</w:t>
      </w:r>
      <w:r>
        <w:rPr>
          <w:rFonts w:hint="eastAsia"/>
          <w:szCs w:val="28"/>
        </w:rPr>
        <w:t>m²</w:t>
      </w:r>
      <w:r>
        <w:rPr>
          <w:rFonts w:hint="eastAsia"/>
          <w:szCs w:val="28"/>
          <w:lang w:val="en-US" w:eastAsia="zh-CN"/>
        </w:rPr>
        <w:t>和三处废弃平硐0</w:t>
      </w:r>
      <w:r>
        <w:rPr>
          <w:szCs w:val="28"/>
        </w:rPr>
        <w:t>h</w:t>
      </w:r>
      <w:r>
        <w:rPr>
          <w:rFonts w:hint="eastAsia"/>
          <w:szCs w:val="28"/>
        </w:rPr>
        <w:t>m²</w:t>
      </w:r>
      <w:r>
        <w:rPr>
          <w:szCs w:val="28"/>
        </w:rPr>
        <w:t>划分为严重区，面积</w:t>
      </w:r>
      <w:r>
        <w:rPr>
          <w:rFonts w:hint="eastAsia"/>
          <w:szCs w:val="28"/>
          <w:lang w:val="en-US" w:eastAsia="zh-CN"/>
        </w:rPr>
        <w:t>0.3608</w:t>
      </w:r>
      <w:r>
        <w:rPr>
          <w:szCs w:val="28"/>
        </w:rPr>
        <w:t>h</w:t>
      </w:r>
      <w:r>
        <w:rPr>
          <w:rFonts w:hint="eastAsia"/>
          <w:szCs w:val="28"/>
        </w:rPr>
        <w:t>m²</w:t>
      </w:r>
      <w:r>
        <w:rPr>
          <w:szCs w:val="28"/>
        </w:rPr>
        <w:t>；将评估区其他区域划分为较轻区，面积</w:t>
      </w:r>
      <w:r>
        <w:rPr>
          <w:rFonts w:hint="eastAsia"/>
          <w:szCs w:val="28"/>
          <w:lang w:eastAsia="zh-CN"/>
        </w:rPr>
        <w:t>46.6392</w:t>
      </w:r>
      <w:r>
        <w:rPr>
          <w:szCs w:val="28"/>
        </w:rPr>
        <w:t>‬h</w:t>
      </w:r>
      <w:r>
        <w:rPr>
          <w:rFonts w:hint="eastAsia"/>
          <w:bCs/>
          <w:szCs w:val="28"/>
        </w:rPr>
        <w:t>m²</w:t>
      </w:r>
      <w:r>
        <w:rPr>
          <w:szCs w:val="28"/>
        </w:rPr>
        <w:t>。</w:t>
      </w:r>
    </w:p>
    <w:p w14:paraId="277D2658">
      <w:pPr>
        <w:ind w:firstLine="562"/>
        <w:rPr>
          <w:color w:val="000000"/>
          <w:szCs w:val="28"/>
        </w:rPr>
      </w:pPr>
      <w:r>
        <w:rPr>
          <w:b/>
          <w:bCs/>
          <w:szCs w:val="28"/>
        </w:rPr>
        <w:t>4.矿区水土环境污染现状分析</w:t>
      </w:r>
    </w:p>
    <w:p w14:paraId="6F39CDE2">
      <w:pPr>
        <w:ind w:firstLine="548" w:firstLineChars="196"/>
        <w:rPr>
          <w:rFonts w:hint="eastAsia" w:ascii="宋体" w:hAnsi="宋体" w:cs="宋体"/>
          <w:b/>
          <w:szCs w:val="28"/>
        </w:rPr>
      </w:pPr>
      <w:r>
        <w:rPr>
          <w:rFonts w:hint="eastAsia" w:ascii="宋体" w:hAnsi="宋体" w:cs="宋体"/>
          <w:b/>
          <w:szCs w:val="28"/>
        </w:rPr>
        <w:t>（1）现状分析</w:t>
      </w:r>
    </w:p>
    <w:p w14:paraId="179C4938">
      <w:pPr>
        <w:ind w:firstLine="560"/>
        <w:rPr>
          <w:rFonts w:hint="default" w:ascii="宋体" w:hAnsi="宋体" w:eastAsia="宋体" w:cs="宋体"/>
          <w:szCs w:val="28"/>
          <w:lang w:val="en-US" w:eastAsia="zh-CN"/>
        </w:rPr>
      </w:pPr>
      <w:r>
        <w:rPr>
          <w:rFonts w:hint="eastAsia" w:ascii="宋体" w:hAnsi="宋体" w:cs="宋体"/>
          <w:szCs w:val="28"/>
        </w:rPr>
        <w:t>矿山</w:t>
      </w:r>
      <w:r>
        <w:rPr>
          <w:rFonts w:hint="eastAsia" w:ascii="宋体" w:hAnsi="宋体" w:cs="宋体"/>
          <w:szCs w:val="28"/>
          <w:lang w:val="en-US" w:eastAsia="zh-CN"/>
        </w:rPr>
        <w:t>未进行</w:t>
      </w:r>
      <w:r>
        <w:rPr>
          <w:rFonts w:hint="eastAsia" w:ascii="宋体" w:hAnsi="宋体" w:cs="宋体"/>
          <w:szCs w:val="28"/>
        </w:rPr>
        <w:t>生产</w:t>
      </w:r>
      <w:r>
        <w:rPr>
          <w:rFonts w:hint="eastAsia" w:ascii="宋体" w:hAnsi="宋体" w:cs="宋体"/>
          <w:szCs w:val="28"/>
          <w:lang w:eastAsia="zh-CN"/>
        </w:rPr>
        <w:t>，</w:t>
      </w:r>
      <w:r>
        <w:rPr>
          <w:rFonts w:hint="eastAsia" w:ascii="宋体" w:hAnsi="宋体" w:cs="宋体"/>
          <w:szCs w:val="28"/>
          <w:lang w:val="en-US" w:eastAsia="zh-CN"/>
        </w:rPr>
        <w:t>现状无污染。</w:t>
      </w:r>
    </w:p>
    <w:p w14:paraId="3E1D2371">
      <w:pPr>
        <w:ind w:firstLine="562"/>
        <w:rPr>
          <w:rFonts w:hint="eastAsia" w:ascii="宋体" w:hAnsi="宋体" w:cs="宋体"/>
          <w:sz w:val="24"/>
        </w:rPr>
      </w:pPr>
      <w:r>
        <w:rPr>
          <w:b/>
          <w:bCs/>
        </w:rPr>
        <w:t>5.土地资源破坏现状分析</w:t>
      </w:r>
    </w:p>
    <w:p w14:paraId="7EE58D86">
      <w:pPr>
        <w:pStyle w:val="57"/>
        <w:rPr>
          <w:rFonts w:ascii="Times New Roman" w:hAnsi="Times New Roman"/>
        </w:rPr>
      </w:pPr>
      <w:r>
        <w:rPr>
          <w:rFonts w:ascii="Times New Roman" w:hAnsi="Times New Roman"/>
        </w:rPr>
        <w:t>表3-</w:t>
      </w:r>
      <w:r>
        <w:rPr>
          <w:rFonts w:hint="eastAsia" w:ascii="Times New Roman" w:hAnsi="Times New Roman"/>
        </w:rPr>
        <w:t>8</w:t>
      </w:r>
      <w:r>
        <w:rPr>
          <w:rFonts w:ascii="Times New Roman" w:hAnsi="Times New Roman"/>
        </w:rPr>
        <w:t>土地资源影响评估指标表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8426"/>
      </w:tblGrid>
      <w:tr w14:paraId="0DBF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477347F6">
            <w:pPr>
              <w:pStyle w:val="72"/>
              <w:rPr>
                <w:rFonts w:ascii="Times New Roman" w:hAnsi="Times New Roman"/>
              </w:rPr>
            </w:pPr>
            <w:r>
              <w:rPr>
                <w:rFonts w:ascii="Times New Roman" w:hAnsi="Times New Roman"/>
              </w:rPr>
              <w:t>影响程度</w:t>
            </w:r>
          </w:p>
        </w:tc>
        <w:tc>
          <w:tcPr>
            <w:tcW w:w="4327" w:type="pct"/>
            <w:vAlign w:val="center"/>
          </w:tcPr>
          <w:p w14:paraId="2C9C92FE">
            <w:pPr>
              <w:pStyle w:val="72"/>
              <w:rPr>
                <w:rFonts w:ascii="Times New Roman" w:hAnsi="Times New Roman"/>
              </w:rPr>
            </w:pPr>
            <w:r>
              <w:rPr>
                <w:rFonts w:ascii="Times New Roman" w:hAnsi="Times New Roman"/>
              </w:rPr>
              <w:t>土地资源影响评估指标</w:t>
            </w:r>
          </w:p>
        </w:tc>
      </w:tr>
      <w:tr w14:paraId="142C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14FF9100">
            <w:pPr>
              <w:pStyle w:val="72"/>
              <w:rPr>
                <w:rFonts w:ascii="Times New Roman" w:hAnsi="Times New Roman"/>
              </w:rPr>
            </w:pPr>
            <w:r>
              <w:rPr>
                <w:rFonts w:ascii="Times New Roman" w:hAnsi="Times New Roman"/>
              </w:rPr>
              <w:t>严重</w:t>
            </w:r>
          </w:p>
        </w:tc>
        <w:tc>
          <w:tcPr>
            <w:tcW w:w="4327" w:type="pct"/>
            <w:vAlign w:val="center"/>
          </w:tcPr>
          <w:p w14:paraId="2B6A5C0E">
            <w:pPr>
              <w:pStyle w:val="72"/>
              <w:jc w:val="left"/>
              <w:rPr>
                <w:rFonts w:ascii="Times New Roman" w:hAnsi="Times New Roman"/>
              </w:rPr>
            </w:pPr>
            <w:r>
              <w:rPr>
                <w:rFonts w:ascii="Cambria Math" w:hAnsi="Cambria Math" w:eastAsia="宋体" w:cs="Cambria Math"/>
              </w:rPr>
              <w:t>①</w:t>
            </w:r>
            <w:r>
              <w:rPr>
                <w:rFonts w:ascii="Times New Roman" w:hAnsi="Times New Roman"/>
              </w:rPr>
              <w:t>破坏基本农田；</w:t>
            </w:r>
          </w:p>
          <w:p w14:paraId="2A5A61A0">
            <w:pPr>
              <w:pStyle w:val="72"/>
              <w:jc w:val="left"/>
              <w:rPr>
                <w:rFonts w:ascii="Times New Roman" w:hAnsi="Times New Roman"/>
              </w:rPr>
            </w:pPr>
            <w:r>
              <w:rPr>
                <w:rFonts w:ascii="Cambria Math" w:hAnsi="Cambria Math" w:eastAsia="宋体" w:cs="Cambria Math"/>
              </w:rPr>
              <w:t>②</w:t>
            </w:r>
            <w:r>
              <w:rPr>
                <w:rFonts w:ascii="Times New Roman" w:hAnsi="Times New Roman"/>
              </w:rPr>
              <w:t>破坏耕地大于2h</w:t>
            </w:r>
            <w:r>
              <w:rPr>
                <w:rFonts w:hint="eastAsia" w:ascii="Times New Roman" w:hAnsi="Times New Roman"/>
              </w:rPr>
              <w:t>m²</w:t>
            </w:r>
            <w:r>
              <w:rPr>
                <w:rFonts w:ascii="Times New Roman" w:hAnsi="Times New Roman"/>
              </w:rPr>
              <w:t>；</w:t>
            </w:r>
          </w:p>
          <w:p w14:paraId="685FF71D">
            <w:pPr>
              <w:pStyle w:val="72"/>
              <w:jc w:val="left"/>
              <w:rPr>
                <w:rFonts w:ascii="Times New Roman" w:hAnsi="Times New Roman"/>
              </w:rPr>
            </w:pPr>
            <w:r>
              <w:rPr>
                <w:rFonts w:ascii="Cambria Math" w:hAnsi="Cambria Math" w:eastAsia="宋体" w:cs="Cambria Math"/>
              </w:rPr>
              <w:t>③</w:t>
            </w:r>
            <w:r>
              <w:rPr>
                <w:rFonts w:ascii="Times New Roman" w:hAnsi="Times New Roman"/>
              </w:rPr>
              <w:t>破坏林地或草地大于4h</w:t>
            </w:r>
            <w:r>
              <w:rPr>
                <w:rFonts w:hint="eastAsia" w:ascii="Times New Roman" w:hAnsi="Times New Roman"/>
              </w:rPr>
              <w:t>m²</w:t>
            </w:r>
            <w:r>
              <w:rPr>
                <w:rFonts w:ascii="Times New Roman" w:hAnsi="Times New Roman"/>
              </w:rPr>
              <w:t>；</w:t>
            </w:r>
          </w:p>
          <w:p w14:paraId="4497F205">
            <w:pPr>
              <w:pStyle w:val="72"/>
              <w:jc w:val="left"/>
              <w:rPr>
                <w:rFonts w:ascii="Times New Roman" w:hAnsi="Times New Roman"/>
              </w:rPr>
            </w:pPr>
            <w:r>
              <w:rPr>
                <w:rFonts w:ascii="Cambria Math" w:hAnsi="Cambria Math" w:eastAsia="宋体" w:cs="Cambria Math"/>
              </w:rPr>
              <w:t>④</w:t>
            </w:r>
            <w:r>
              <w:rPr>
                <w:rFonts w:ascii="Times New Roman" w:hAnsi="Times New Roman"/>
              </w:rPr>
              <w:t>破坏荒地或未开发利用土地大于20h</w:t>
            </w:r>
            <w:r>
              <w:rPr>
                <w:rFonts w:hint="eastAsia" w:ascii="Times New Roman" w:hAnsi="Times New Roman"/>
              </w:rPr>
              <w:t>m²</w:t>
            </w:r>
            <w:r>
              <w:rPr>
                <w:rFonts w:ascii="Times New Roman" w:hAnsi="Times New Roman"/>
              </w:rPr>
              <w:t>。</w:t>
            </w:r>
          </w:p>
        </w:tc>
      </w:tr>
      <w:tr w14:paraId="716DC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0B0B7279">
            <w:pPr>
              <w:pStyle w:val="72"/>
              <w:rPr>
                <w:rFonts w:ascii="Times New Roman" w:hAnsi="Times New Roman"/>
              </w:rPr>
            </w:pPr>
            <w:r>
              <w:rPr>
                <w:rFonts w:ascii="Times New Roman" w:hAnsi="Times New Roman"/>
              </w:rPr>
              <w:t>较严重</w:t>
            </w:r>
          </w:p>
        </w:tc>
        <w:tc>
          <w:tcPr>
            <w:tcW w:w="4327" w:type="pct"/>
            <w:vAlign w:val="center"/>
          </w:tcPr>
          <w:p w14:paraId="51334B0C">
            <w:pPr>
              <w:pStyle w:val="72"/>
              <w:jc w:val="left"/>
              <w:rPr>
                <w:rFonts w:ascii="Times New Roman" w:hAnsi="Times New Roman"/>
              </w:rPr>
            </w:pPr>
            <w:r>
              <w:rPr>
                <w:rFonts w:ascii="Cambria Math" w:hAnsi="Cambria Math" w:eastAsia="宋体" w:cs="Cambria Math"/>
              </w:rPr>
              <w:t>①</w:t>
            </w:r>
            <w:r>
              <w:rPr>
                <w:rFonts w:ascii="Times New Roman" w:hAnsi="Times New Roman"/>
              </w:rPr>
              <w:t>破坏耕地小于等于2h</w:t>
            </w:r>
            <w:r>
              <w:rPr>
                <w:rFonts w:hint="eastAsia" w:ascii="Times New Roman" w:hAnsi="Times New Roman"/>
              </w:rPr>
              <w:t>m²</w:t>
            </w:r>
            <w:r>
              <w:rPr>
                <w:rFonts w:ascii="Times New Roman" w:hAnsi="Times New Roman"/>
              </w:rPr>
              <w:t>；</w:t>
            </w:r>
          </w:p>
          <w:p w14:paraId="37D2E2F4">
            <w:pPr>
              <w:pStyle w:val="72"/>
              <w:jc w:val="left"/>
              <w:rPr>
                <w:rFonts w:ascii="Times New Roman" w:hAnsi="Times New Roman"/>
              </w:rPr>
            </w:pPr>
            <w:r>
              <w:rPr>
                <w:rFonts w:ascii="Cambria Math" w:hAnsi="Cambria Math" w:eastAsia="宋体" w:cs="Cambria Math"/>
              </w:rPr>
              <w:t>②</w:t>
            </w:r>
            <w:r>
              <w:rPr>
                <w:rFonts w:ascii="Times New Roman" w:hAnsi="Times New Roman"/>
              </w:rPr>
              <w:t>破坏林地或草地2h</w:t>
            </w:r>
            <w:r>
              <w:rPr>
                <w:rFonts w:hint="eastAsia" w:ascii="Times New Roman" w:hAnsi="Times New Roman"/>
              </w:rPr>
              <w:t>m²</w:t>
            </w:r>
            <w:r>
              <w:rPr>
                <w:rFonts w:ascii="Times New Roman" w:hAnsi="Times New Roman"/>
              </w:rPr>
              <w:t>～4h</w:t>
            </w:r>
            <w:r>
              <w:rPr>
                <w:rFonts w:hint="eastAsia" w:ascii="Times New Roman" w:hAnsi="Times New Roman"/>
              </w:rPr>
              <w:t>m²</w:t>
            </w:r>
            <w:r>
              <w:rPr>
                <w:rFonts w:ascii="Times New Roman" w:hAnsi="Times New Roman"/>
              </w:rPr>
              <w:t>；</w:t>
            </w:r>
          </w:p>
          <w:p w14:paraId="30596B15">
            <w:pPr>
              <w:pStyle w:val="72"/>
              <w:jc w:val="left"/>
              <w:rPr>
                <w:rFonts w:ascii="Times New Roman" w:hAnsi="Times New Roman"/>
              </w:rPr>
            </w:pPr>
            <w:r>
              <w:rPr>
                <w:rFonts w:ascii="Cambria Math" w:hAnsi="Cambria Math" w:eastAsia="宋体" w:cs="Cambria Math"/>
              </w:rPr>
              <w:t>③</w:t>
            </w:r>
            <w:r>
              <w:rPr>
                <w:rFonts w:ascii="Times New Roman" w:hAnsi="Times New Roman"/>
              </w:rPr>
              <w:t>破坏荒地或未开发利用土地10h</w:t>
            </w:r>
            <w:r>
              <w:rPr>
                <w:rFonts w:hint="eastAsia" w:ascii="Times New Roman" w:hAnsi="Times New Roman"/>
              </w:rPr>
              <w:t>m²</w:t>
            </w:r>
            <w:r>
              <w:rPr>
                <w:rFonts w:ascii="Times New Roman" w:hAnsi="Times New Roman"/>
              </w:rPr>
              <w:t>～20h</w:t>
            </w:r>
            <w:r>
              <w:rPr>
                <w:rFonts w:hint="eastAsia" w:ascii="Times New Roman" w:hAnsi="Times New Roman"/>
              </w:rPr>
              <w:t>m²</w:t>
            </w:r>
            <w:r>
              <w:rPr>
                <w:rFonts w:ascii="Times New Roman" w:hAnsi="Times New Roman"/>
              </w:rPr>
              <w:t>。</w:t>
            </w:r>
          </w:p>
        </w:tc>
      </w:tr>
      <w:tr w14:paraId="2142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1A732784">
            <w:pPr>
              <w:pStyle w:val="72"/>
              <w:rPr>
                <w:rFonts w:ascii="Times New Roman" w:hAnsi="Times New Roman"/>
              </w:rPr>
            </w:pPr>
            <w:r>
              <w:rPr>
                <w:rFonts w:ascii="Times New Roman" w:hAnsi="Times New Roman"/>
              </w:rPr>
              <w:t>较轻</w:t>
            </w:r>
          </w:p>
        </w:tc>
        <w:tc>
          <w:tcPr>
            <w:tcW w:w="4327" w:type="pct"/>
            <w:vAlign w:val="center"/>
          </w:tcPr>
          <w:p w14:paraId="4EBFB56A">
            <w:pPr>
              <w:pStyle w:val="72"/>
              <w:jc w:val="left"/>
              <w:rPr>
                <w:rFonts w:ascii="Times New Roman" w:hAnsi="Times New Roman"/>
              </w:rPr>
            </w:pPr>
            <w:r>
              <w:rPr>
                <w:rFonts w:ascii="Cambria Math" w:hAnsi="Cambria Math" w:eastAsia="宋体" w:cs="Cambria Math"/>
              </w:rPr>
              <w:t>①</w:t>
            </w:r>
            <w:r>
              <w:rPr>
                <w:rFonts w:ascii="Times New Roman" w:hAnsi="Times New Roman"/>
              </w:rPr>
              <w:t>破坏林地或草地小于等于2h</w:t>
            </w:r>
            <w:r>
              <w:rPr>
                <w:rFonts w:hint="eastAsia" w:ascii="Times New Roman" w:hAnsi="Times New Roman"/>
              </w:rPr>
              <w:t>m²</w:t>
            </w:r>
            <w:r>
              <w:rPr>
                <w:rFonts w:ascii="Times New Roman" w:hAnsi="Times New Roman"/>
              </w:rPr>
              <w:t>～4h</w:t>
            </w:r>
            <w:r>
              <w:rPr>
                <w:rFonts w:hint="eastAsia" w:ascii="Times New Roman" w:hAnsi="Times New Roman"/>
              </w:rPr>
              <w:t>m²</w:t>
            </w:r>
            <w:r>
              <w:rPr>
                <w:rFonts w:ascii="Times New Roman" w:hAnsi="Times New Roman"/>
              </w:rPr>
              <w:t>；</w:t>
            </w:r>
          </w:p>
          <w:p w14:paraId="2B9F81C5">
            <w:pPr>
              <w:pStyle w:val="72"/>
              <w:jc w:val="left"/>
              <w:rPr>
                <w:rFonts w:ascii="Times New Roman" w:hAnsi="Times New Roman"/>
              </w:rPr>
            </w:pPr>
            <w:r>
              <w:rPr>
                <w:rFonts w:ascii="Cambria Math" w:hAnsi="Cambria Math" w:eastAsia="宋体" w:cs="Cambria Math"/>
              </w:rPr>
              <w:t>②</w:t>
            </w:r>
            <w:r>
              <w:rPr>
                <w:rFonts w:ascii="Times New Roman" w:hAnsi="Times New Roman"/>
              </w:rPr>
              <w:t>破坏荒地或未开发利用土地小于10h</w:t>
            </w:r>
            <w:r>
              <w:rPr>
                <w:rFonts w:hint="eastAsia" w:ascii="Times New Roman" w:hAnsi="Times New Roman"/>
              </w:rPr>
              <w:t>m²</w:t>
            </w:r>
            <w:r>
              <w:rPr>
                <w:rFonts w:ascii="Times New Roman" w:hAnsi="Times New Roman"/>
              </w:rPr>
              <w:t>。</w:t>
            </w:r>
          </w:p>
        </w:tc>
      </w:tr>
    </w:tbl>
    <w:p w14:paraId="5BD86C0F">
      <w:pPr>
        <w:ind w:firstLine="560"/>
      </w:pPr>
      <w:bookmarkStart w:id="108" w:name="_Hlk215313104"/>
      <w:r>
        <w:rPr>
          <w:szCs w:val="28"/>
        </w:rPr>
        <w:t>根据现场调查，该矿山现状损毁土地</w:t>
      </w:r>
      <w:bookmarkEnd w:id="108"/>
      <w:r>
        <w:rPr>
          <w:szCs w:val="28"/>
        </w:rPr>
        <w:t>主要集中在</w:t>
      </w:r>
      <w:r>
        <w:rPr>
          <w:rFonts w:hint="eastAsia"/>
          <w:lang w:val="zh-CN"/>
        </w:rPr>
        <w:t>矿区北侧工业广场和三处废弃</w:t>
      </w:r>
      <w:r>
        <w:rPr>
          <w:rFonts w:hint="eastAsia"/>
          <w:lang w:val="en-US" w:eastAsia="zh-CN"/>
        </w:rPr>
        <w:t>平硐</w:t>
      </w:r>
      <w:r>
        <w:rPr>
          <w:szCs w:val="28"/>
        </w:rPr>
        <w:t>，详见表3-</w:t>
      </w:r>
      <w:r>
        <w:rPr>
          <w:rFonts w:hint="eastAsia"/>
          <w:szCs w:val="28"/>
          <w:lang w:val="en-US" w:eastAsia="zh-CN"/>
        </w:rPr>
        <w:t>9</w:t>
      </w:r>
      <w:r>
        <w:rPr>
          <w:rFonts w:hint="eastAsia"/>
          <w:lang w:val="zh-CN"/>
        </w:rPr>
        <w:t>，总占地面积</w:t>
      </w:r>
      <w:r>
        <w:rPr>
          <w:rFonts w:hint="eastAsia"/>
          <w:lang w:val="en-US" w:eastAsia="zh-CN"/>
        </w:rPr>
        <w:t>0.3608</w:t>
      </w:r>
      <w:r>
        <w:rPr>
          <w:rFonts w:hint="eastAsia"/>
        </w:rPr>
        <w:t>hm</w:t>
      </w:r>
      <w:r>
        <w:rPr>
          <w:rFonts w:hint="eastAsia"/>
          <w:vertAlign w:val="superscript"/>
        </w:rPr>
        <w:t>2</w:t>
      </w:r>
      <w:r>
        <w:rPr>
          <w:rFonts w:hint="eastAsia"/>
        </w:rPr>
        <w:t>。其中：</w:t>
      </w:r>
    </w:p>
    <w:p w14:paraId="5778EA1E">
      <w:pPr>
        <w:ind w:firstLine="560"/>
        <w:rPr>
          <w:rFonts w:hint="eastAsia"/>
          <w:lang w:val="zh-CN"/>
        </w:rPr>
      </w:pPr>
      <w:r>
        <w:rPr>
          <w:rFonts w:hint="eastAsia"/>
          <w:lang w:val="zh-CN"/>
        </w:rPr>
        <w:t>井口占地面积</w:t>
      </w:r>
      <w:r>
        <w:rPr>
          <w:rFonts w:hint="eastAsia"/>
          <w:lang w:val="en-US" w:eastAsia="zh-CN"/>
        </w:rPr>
        <w:t>0</w:t>
      </w:r>
      <w:r>
        <w:rPr>
          <w:rFonts w:hint="eastAsia"/>
          <w:lang w:val="zh-CN"/>
        </w:rPr>
        <w:t>hm</w:t>
      </w:r>
      <w:r>
        <w:rPr>
          <w:rFonts w:hint="eastAsia"/>
          <w:vertAlign w:val="superscript"/>
          <w:lang w:val="zh-CN"/>
        </w:rPr>
        <w:t>2</w:t>
      </w:r>
      <w:r>
        <w:rPr>
          <w:rFonts w:hint="eastAsia"/>
          <w:lang w:val="zh-CN"/>
        </w:rPr>
        <w:t>，</w:t>
      </w:r>
      <w:r>
        <w:rPr>
          <w:rFonts w:hint="eastAsia"/>
          <w:lang w:val="en-US" w:eastAsia="zh-CN"/>
        </w:rPr>
        <w:t>工业广场</w:t>
      </w:r>
      <w:r>
        <w:rPr>
          <w:rFonts w:hint="eastAsia"/>
          <w:lang w:val="zh-CN"/>
        </w:rPr>
        <w:t>占地面积</w:t>
      </w:r>
      <w:r>
        <w:rPr>
          <w:rFonts w:hint="eastAsia"/>
          <w:lang w:val="en-US" w:eastAsia="zh-CN"/>
        </w:rPr>
        <w:t>0.3608</w:t>
      </w:r>
      <w:r>
        <w:rPr>
          <w:rFonts w:hint="eastAsia"/>
          <w:lang w:val="zh-CN"/>
        </w:rPr>
        <w:t>hm</w:t>
      </w:r>
      <w:r>
        <w:rPr>
          <w:rFonts w:hint="eastAsia"/>
          <w:vertAlign w:val="superscript"/>
          <w:lang w:val="zh-CN"/>
        </w:rPr>
        <w:t>2</w:t>
      </w:r>
      <w:r>
        <w:rPr>
          <w:rFonts w:hint="eastAsia"/>
          <w:lang w:val="zh-CN"/>
        </w:rPr>
        <w:t>。</w:t>
      </w:r>
    </w:p>
    <w:p w14:paraId="7FB4B516">
      <w:pPr>
        <w:pStyle w:val="78"/>
        <w:ind w:firstLine="560"/>
        <w:rPr>
          <w:rFonts w:cs="Times New Roman"/>
          <w:b/>
          <w:color w:val="auto"/>
          <w:szCs w:val="28"/>
        </w:rPr>
      </w:pPr>
    </w:p>
    <w:p w14:paraId="3BB6A4E6">
      <w:pPr>
        <w:pStyle w:val="78"/>
        <w:ind w:firstLine="560"/>
        <w:rPr>
          <w:rFonts w:cs="Times New Roman"/>
          <w:b/>
          <w:color w:val="auto"/>
          <w:szCs w:val="28"/>
        </w:rPr>
      </w:pPr>
    </w:p>
    <w:p w14:paraId="5B1FE8A3">
      <w:pPr>
        <w:pStyle w:val="78"/>
        <w:ind w:firstLine="560"/>
        <w:rPr>
          <w:rFonts w:cs="Times New Roman"/>
          <w:b/>
          <w:color w:val="auto"/>
          <w:szCs w:val="28"/>
        </w:rPr>
      </w:pPr>
    </w:p>
    <w:p w14:paraId="4A6F3A09">
      <w:pPr>
        <w:pStyle w:val="78"/>
        <w:ind w:firstLine="560"/>
        <w:rPr>
          <w:rFonts w:cs="Times New Roman"/>
          <w:b/>
          <w:color w:val="auto"/>
          <w:szCs w:val="28"/>
        </w:rPr>
      </w:pPr>
    </w:p>
    <w:p w14:paraId="59BF6F07">
      <w:pPr>
        <w:pStyle w:val="78"/>
        <w:ind w:firstLine="560"/>
        <w:rPr>
          <w:rFonts w:cs="Times New Roman"/>
          <w:b/>
          <w:color w:val="auto"/>
          <w:szCs w:val="28"/>
        </w:rPr>
      </w:pPr>
    </w:p>
    <w:p w14:paraId="1957A8FF">
      <w:pPr>
        <w:pStyle w:val="78"/>
        <w:ind w:firstLine="560"/>
        <w:rPr>
          <w:rFonts w:cs="Times New Roman"/>
          <w:b/>
          <w:color w:val="auto"/>
          <w:szCs w:val="28"/>
        </w:rPr>
      </w:pPr>
      <w:r>
        <w:rPr>
          <w:rFonts w:cs="Times New Roman"/>
          <w:b/>
          <w:color w:val="auto"/>
          <w:szCs w:val="28"/>
        </w:rPr>
        <w:t>表3-</w:t>
      </w:r>
      <w:r>
        <w:rPr>
          <w:rFonts w:hint="eastAsia" w:cs="Times New Roman"/>
          <w:b/>
          <w:color w:val="auto"/>
          <w:szCs w:val="28"/>
        </w:rPr>
        <w:t>9</w:t>
      </w:r>
      <w:r>
        <w:rPr>
          <w:rFonts w:cs="Times New Roman"/>
          <w:b/>
          <w:color w:val="auto"/>
          <w:szCs w:val="28"/>
        </w:rPr>
        <w:t>已损毁土地现状统计表</w:t>
      </w:r>
    </w:p>
    <w:tbl>
      <w:tblPr>
        <w:tblStyle w:val="42"/>
        <w:tblW w:w="4912" w:type="pct"/>
        <w:jc w:val="center"/>
        <w:tblLayout w:type="autofit"/>
        <w:tblCellMar>
          <w:top w:w="0" w:type="dxa"/>
          <w:left w:w="108" w:type="dxa"/>
          <w:bottom w:w="0" w:type="dxa"/>
          <w:right w:w="108" w:type="dxa"/>
        </w:tblCellMar>
      </w:tblPr>
      <w:tblGrid>
        <w:gridCol w:w="2872"/>
        <w:gridCol w:w="1971"/>
        <w:gridCol w:w="2057"/>
        <w:gridCol w:w="2665"/>
      </w:tblGrid>
      <w:tr w14:paraId="3DE2CCCF">
        <w:tblPrEx>
          <w:tblCellMar>
            <w:top w:w="0" w:type="dxa"/>
            <w:left w:w="108" w:type="dxa"/>
            <w:bottom w:w="0" w:type="dxa"/>
            <w:right w:w="108" w:type="dxa"/>
          </w:tblCellMar>
        </w:tblPrEx>
        <w:trPr>
          <w:trHeight w:val="288" w:hRule="atLeast"/>
          <w:jc w:val="center"/>
        </w:trPr>
        <w:tc>
          <w:tcPr>
            <w:tcW w:w="1501" w:type="pct"/>
            <w:vMerge w:val="restart"/>
            <w:tcBorders>
              <w:top w:val="single" w:color="auto" w:sz="4" w:space="0"/>
              <w:left w:val="single" w:color="auto" w:sz="4" w:space="0"/>
              <w:bottom w:val="single" w:color="auto" w:sz="4" w:space="0"/>
              <w:right w:val="single" w:color="auto" w:sz="4" w:space="0"/>
            </w:tcBorders>
            <w:vAlign w:val="center"/>
          </w:tcPr>
          <w:p w14:paraId="7A5AE49B">
            <w:pPr>
              <w:pStyle w:val="72"/>
              <w:rPr>
                <w:rFonts w:hint="eastAsia"/>
              </w:rPr>
            </w:pPr>
            <w:r>
              <w:rPr>
                <w:rFonts w:hint="eastAsia"/>
              </w:rPr>
              <w:t>项目名称</w:t>
            </w:r>
          </w:p>
        </w:tc>
        <w:tc>
          <w:tcPr>
            <w:tcW w:w="1030" w:type="pct"/>
            <w:vMerge w:val="restart"/>
            <w:tcBorders>
              <w:top w:val="single" w:color="auto" w:sz="4" w:space="0"/>
              <w:left w:val="single" w:color="auto" w:sz="4" w:space="0"/>
              <w:bottom w:val="single" w:color="auto" w:sz="4" w:space="0"/>
              <w:right w:val="single" w:color="auto" w:sz="4" w:space="0"/>
            </w:tcBorders>
            <w:vAlign w:val="center"/>
          </w:tcPr>
          <w:p w14:paraId="0C010D17">
            <w:pPr>
              <w:pStyle w:val="72"/>
              <w:rPr>
                <w:rFonts w:hint="eastAsia"/>
              </w:rPr>
            </w:pPr>
            <w:r>
              <w:rPr>
                <w:rFonts w:hint="eastAsia"/>
              </w:rPr>
              <w:t>破坏面积</w:t>
            </w:r>
            <w:r>
              <w:t>hm</w:t>
            </w:r>
            <w:r>
              <w:rPr>
                <w:rFonts w:ascii="Calibri" w:hAnsi="Calibri" w:cs="Calibri"/>
              </w:rPr>
              <w:t>²</w:t>
            </w:r>
          </w:p>
        </w:tc>
        <w:tc>
          <w:tcPr>
            <w:tcW w:w="2468" w:type="pct"/>
            <w:gridSpan w:val="2"/>
            <w:tcBorders>
              <w:top w:val="single" w:color="auto" w:sz="4" w:space="0"/>
              <w:left w:val="nil"/>
              <w:bottom w:val="single" w:color="auto" w:sz="4" w:space="0"/>
              <w:right w:val="single" w:color="auto" w:sz="4" w:space="0"/>
            </w:tcBorders>
            <w:vAlign w:val="center"/>
          </w:tcPr>
          <w:p w14:paraId="1F5FEBB9">
            <w:pPr>
              <w:pStyle w:val="72"/>
              <w:rPr>
                <w:rFonts w:hint="eastAsia"/>
              </w:rPr>
            </w:pPr>
            <w:r>
              <w:rPr>
                <w:rFonts w:hint="eastAsia"/>
              </w:rPr>
              <w:t>已损毁土地类型及面积（</w:t>
            </w:r>
            <w:r>
              <w:t>hm</w:t>
            </w:r>
            <w:r>
              <w:rPr>
                <w:rFonts w:ascii="Calibri" w:hAnsi="Calibri" w:cs="Calibri"/>
              </w:rPr>
              <w:t>²</w:t>
            </w:r>
            <w:r>
              <w:rPr>
                <w:rFonts w:hint="eastAsia" w:cs="仿宋"/>
              </w:rPr>
              <w:t>）　</w:t>
            </w:r>
          </w:p>
        </w:tc>
      </w:tr>
      <w:tr w14:paraId="3AD963AF">
        <w:tblPrEx>
          <w:tblCellMar>
            <w:top w:w="0" w:type="dxa"/>
            <w:left w:w="108" w:type="dxa"/>
            <w:bottom w:w="0" w:type="dxa"/>
            <w:right w:w="108" w:type="dxa"/>
          </w:tblCellMar>
        </w:tblPrEx>
        <w:trPr>
          <w:trHeight w:val="584" w:hRule="atLeast"/>
          <w:jc w:val="center"/>
        </w:trPr>
        <w:tc>
          <w:tcPr>
            <w:tcW w:w="1501" w:type="pct"/>
            <w:vMerge w:val="continue"/>
            <w:tcBorders>
              <w:top w:val="single" w:color="auto" w:sz="4" w:space="0"/>
              <w:left w:val="single" w:color="auto" w:sz="4" w:space="0"/>
              <w:bottom w:val="single" w:color="auto" w:sz="4" w:space="0"/>
              <w:right w:val="single" w:color="auto" w:sz="4" w:space="0"/>
            </w:tcBorders>
            <w:vAlign w:val="center"/>
          </w:tcPr>
          <w:p w14:paraId="40D7E84E">
            <w:pPr>
              <w:pStyle w:val="72"/>
              <w:rPr>
                <w:rFonts w:hint="eastAsia"/>
              </w:rPr>
            </w:pPr>
          </w:p>
        </w:tc>
        <w:tc>
          <w:tcPr>
            <w:tcW w:w="1030" w:type="pct"/>
            <w:vMerge w:val="continue"/>
            <w:tcBorders>
              <w:top w:val="single" w:color="auto" w:sz="4" w:space="0"/>
              <w:left w:val="single" w:color="auto" w:sz="4" w:space="0"/>
              <w:bottom w:val="single" w:color="auto" w:sz="4" w:space="0"/>
              <w:right w:val="single" w:color="auto" w:sz="4" w:space="0"/>
            </w:tcBorders>
            <w:vAlign w:val="center"/>
          </w:tcPr>
          <w:p w14:paraId="35F7E0A3">
            <w:pPr>
              <w:pStyle w:val="72"/>
              <w:rPr>
                <w:rFonts w:hint="eastAsia"/>
              </w:rPr>
            </w:pPr>
          </w:p>
        </w:tc>
        <w:tc>
          <w:tcPr>
            <w:tcW w:w="1075" w:type="pct"/>
            <w:tcBorders>
              <w:top w:val="nil"/>
              <w:left w:val="single" w:color="auto" w:sz="4" w:space="0"/>
              <w:bottom w:val="single" w:color="auto" w:sz="4" w:space="0"/>
              <w:right w:val="single" w:color="auto" w:sz="4" w:space="0"/>
            </w:tcBorders>
            <w:vAlign w:val="center"/>
          </w:tcPr>
          <w:p w14:paraId="53D6F59D">
            <w:pPr>
              <w:pStyle w:val="72"/>
              <w:rPr>
                <w:rFonts w:hint="eastAsia"/>
                <w:sz w:val="22"/>
                <w:szCs w:val="22"/>
              </w:rPr>
            </w:pPr>
            <w:r>
              <w:rPr>
                <w:rFonts w:hint="default" w:ascii="Times New Roman" w:hAnsi="Times New Roman" w:cs="Times New Roman"/>
              </w:rPr>
              <w:t>0301</w:t>
            </w:r>
            <w:r>
              <w:rPr>
                <w:rFonts w:hint="eastAsia"/>
              </w:rPr>
              <w:t>乔木林地</w:t>
            </w:r>
          </w:p>
        </w:tc>
        <w:tc>
          <w:tcPr>
            <w:tcW w:w="1393" w:type="pct"/>
            <w:tcBorders>
              <w:top w:val="nil"/>
              <w:left w:val="single" w:color="auto" w:sz="4" w:space="0"/>
              <w:bottom w:val="single" w:color="000000" w:sz="4" w:space="0"/>
              <w:right w:val="single" w:color="auto" w:sz="4" w:space="0"/>
            </w:tcBorders>
            <w:vAlign w:val="center"/>
          </w:tcPr>
          <w:p w14:paraId="22ABFB6E">
            <w:pPr>
              <w:pStyle w:val="72"/>
              <w:rPr>
                <w:rFonts w:hint="eastAsia"/>
              </w:rPr>
            </w:pPr>
            <w:r>
              <w:rPr>
                <w:rFonts w:hint="default" w:ascii="Times New Roman" w:hAnsi="Times New Roman" w:cs="Times New Roman"/>
              </w:rPr>
              <w:t>0602</w:t>
            </w:r>
            <w:r>
              <w:rPr>
                <w:rFonts w:hint="eastAsia"/>
              </w:rPr>
              <w:t>采矿用地</w:t>
            </w:r>
          </w:p>
        </w:tc>
      </w:tr>
      <w:tr w14:paraId="6035C58C">
        <w:tblPrEx>
          <w:tblCellMar>
            <w:top w:w="0" w:type="dxa"/>
            <w:left w:w="108" w:type="dxa"/>
            <w:bottom w:w="0" w:type="dxa"/>
            <w:right w:w="108" w:type="dxa"/>
          </w:tblCellMar>
        </w:tblPrEx>
        <w:trPr>
          <w:trHeight w:val="327" w:hRule="atLeast"/>
          <w:jc w:val="center"/>
        </w:trPr>
        <w:tc>
          <w:tcPr>
            <w:tcW w:w="1501" w:type="pct"/>
            <w:tcBorders>
              <w:top w:val="nil"/>
              <w:left w:val="single" w:color="auto" w:sz="4" w:space="0"/>
              <w:bottom w:val="single" w:color="auto" w:sz="4" w:space="0"/>
              <w:right w:val="single" w:color="auto" w:sz="4" w:space="0"/>
            </w:tcBorders>
            <w:vAlign w:val="center"/>
          </w:tcPr>
          <w:p w14:paraId="148C5E12">
            <w:pPr>
              <w:pStyle w:val="72"/>
              <w:rPr>
                <w:rFonts w:hint="eastAsia"/>
              </w:rPr>
            </w:pPr>
            <w:r>
              <w:rPr>
                <w:rFonts w:hint="eastAsia"/>
                <w:lang w:val="en-US" w:eastAsia="zh-CN"/>
              </w:rPr>
              <w:t>工业广场</w:t>
            </w:r>
          </w:p>
        </w:tc>
        <w:tc>
          <w:tcPr>
            <w:tcW w:w="1030" w:type="pct"/>
            <w:tcBorders>
              <w:top w:val="nil"/>
              <w:left w:val="nil"/>
              <w:bottom w:val="single" w:color="auto" w:sz="4" w:space="0"/>
              <w:right w:val="single" w:color="auto" w:sz="4" w:space="0"/>
            </w:tcBorders>
            <w:vAlign w:val="center"/>
          </w:tcPr>
          <w:p w14:paraId="6801862B">
            <w:pPr>
              <w:pStyle w:val="72"/>
              <w:rPr>
                <w:rFonts w:hint="default" w:ascii="Times New Roman" w:hAnsi="Times New Roman" w:eastAsia="仿宋" w:cs="Times New Roman"/>
                <w:sz w:val="21"/>
                <w:szCs w:val="21"/>
                <w:lang w:val="en-US" w:eastAsia="zh-CN"/>
              </w:rPr>
            </w:pPr>
            <w:r>
              <w:rPr>
                <w:rFonts w:hint="eastAsia" w:ascii="Times New Roman" w:hAnsi="Times New Roman" w:cs="Times New Roman"/>
                <w:sz w:val="21"/>
                <w:szCs w:val="21"/>
                <w:lang w:val="en-US" w:eastAsia="zh-CN"/>
              </w:rPr>
              <w:t>0.3608</w:t>
            </w:r>
          </w:p>
        </w:tc>
        <w:tc>
          <w:tcPr>
            <w:tcW w:w="1075" w:type="pct"/>
            <w:tcBorders>
              <w:top w:val="nil"/>
              <w:left w:val="nil"/>
              <w:bottom w:val="single" w:color="auto" w:sz="4" w:space="0"/>
              <w:right w:val="single" w:color="auto" w:sz="4" w:space="0"/>
            </w:tcBorders>
            <w:vAlign w:val="center"/>
          </w:tcPr>
          <w:p w14:paraId="29A3A7DD">
            <w:pPr>
              <w:pStyle w:val="72"/>
              <w:rPr>
                <w:rFonts w:hint="default" w:ascii="Times New Roman" w:hAnsi="Times New Roman" w:eastAsia="仿宋" w:cs="Times New Roman"/>
                <w:sz w:val="21"/>
                <w:szCs w:val="21"/>
                <w:lang w:val="en-US" w:eastAsia="zh-CN"/>
              </w:rPr>
            </w:pPr>
            <w:r>
              <w:rPr>
                <w:rFonts w:hint="eastAsia" w:ascii="Times New Roman" w:hAnsi="Times New Roman" w:cs="Times New Roman"/>
                <w:sz w:val="21"/>
                <w:szCs w:val="21"/>
                <w:lang w:val="en-US" w:eastAsia="zh-CN"/>
              </w:rPr>
              <w:t>0.2808</w:t>
            </w:r>
          </w:p>
        </w:tc>
        <w:tc>
          <w:tcPr>
            <w:tcW w:w="1393" w:type="pct"/>
            <w:tcBorders>
              <w:top w:val="nil"/>
              <w:left w:val="nil"/>
              <w:bottom w:val="single" w:color="auto" w:sz="4" w:space="0"/>
              <w:right w:val="single" w:color="auto" w:sz="4" w:space="0"/>
            </w:tcBorders>
            <w:noWrap/>
            <w:vAlign w:val="center"/>
          </w:tcPr>
          <w:p w14:paraId="237F35BC">
            <w:pPr>
              <w:pStyle w:val="72"/>
              <w:rPr>
                <w:rFonts w:hint="default" w:ascii="Times New Roman" w:hAnsi="Times New Roman" w:eastAsia="仿宋" w:cs="Times New Roman"/>
                <w:sz w:val="21"/>
                <w:szCs w:val="21"/>
                <w:lang w:val="en-US" w:eastAsia="zh-CN"/>
              </w:rPr>
            </w:pPr>
            <w:r>
              <w:rPr>
                <w:rFonts w:hint="eastAsia" w:ascii="Times New Roman" w:hAnsi="Times New Roman" w:cs="Times New Roman"/>
                <w:sz w:val="21"/>
                <w:szCs w:val="21"/>
                <w:lang w:val="en-US" w:eastAsia="zh-CN"/>
              </w:rPr>
              <w:t>0.08</w:t>
            </w:r>
          </w:p>
        </w:tc>
      </w:tr>
      <w:tr w14:paraId="59CA4987">
        <w:tblPrEx>
          <w:tblCellMar>
            <w:top w:w="0" w:type="dxa"/>
            <w:left w:w="108" w:type="dxa"/>
            <w:bottom w:w="0" w:type="dxa"/>
            <w:right w:w="108" w:type="dxa"/>
          </w:tblCellMar>
        </w:tblPrEx>
        <w:trPr>
          <w:trHeight w:val="288" w:hRule="atLeast"/>
          <w:jc w:val="center"/>
        </w:trPr>
        <w:tc>
          <w:tcPr>
            <w:tcW w:w="1501" w:type="pct"/>
            <w:tcBorders>
              <w:top w:val="single" w:color="auto" w:sz="4" w:space="0"/>
              <w:left w:val="single" w:color="auto" w:sz="4" w:space="0"/>
              <w:bottom w:val="single" w:color="auto" w:sz="4" w:space="0"/>
              <w:right w:val="single" w:color="auto" w:sz="4" w:space="0"/>
            </w:tcBorders>
            <w:vAlign w:val="center"/>
          </w:tcPr>
          <w:p w14:paraId="0CD2A93B">
            <w:pPr>
              <w:pStyle w:val="72"/>
              <w:rPr>
                <w:rFonts w:hint="eastAsia"/>
              </w:rPr>
            </w:pPr>
            <w:r>
              <w:rPr>
                <w:rFonts w:hint="eastAsia"/>
                <w:lang w:val="en-US" w:eastAsia="zh-CN"/>
              </w:rPr>
              <w:t>三处废弃平硐</w:t>
            </w:r>
          </w:p>
        </w:tc>
        <w:tc>
          <w:tcPr>
            <w:tcW w:w="1030" w:type="pct"/>
            <w:tcBorders>
              <w:top w:val="single" w:color="auto" w:sz="4" w:space="0"/>
              <w:left w:val="nil"/>
              <w:bottom w:val="single" w:color="auto" w:sz="4" w:space="0"/>
              <w:right w:val="single" w:color="auto" w:sz="4" w:space="0"/>
            </w:tcBorders>
            <w:vAlign w:val="center"/>
          </w:tcPr>
          <w:p w14:paraId="08B30378">
            <w:pPr>
              <w:pStyle w:val="72"/>
              <w:rPr>
                <w:rFonts w:hint="default" w:ascii="Times New Roman" w:hAnsi="Times New Roman" w:cs="Times New Roman"/>
                <w:sz w:val="21"/>
                <w:szCs w:val="21"/>
              </w:rPr>
            </w:pPr>
            <w:r>
              <w:rPr>
                <w:rFonts w:hint="default" w:ascii="Times New Roman" w:hAnsi="Times New Roman" w:cs="Times New Roman"/>
                <w:sz w:val="21"/>
                <w:szCs w:val="21"/>
              </w:rPr>
              <w:t>0</w:t>
            </w:r>
          </w:p>
        </w:tc>
        <w:tc>
          <w:tcPr>
            <w:tcW w:w="1075" w:type="pct"/>
            <w:tcBorders>
              <w:top w:val="single" w:color="auto" w:sz="4" w:space="0"/>
              <w:left w:val="nil"/>
              <w:bottom w:val="single" w:color="auto" w:sz="4" w:space="0"/>
              <w:right w:val="single" w:color="auto" w:sz="4" w:space="0"/>
            </w:tcBorders>
            <w:vAlign w:val="center"/>
          </w:tcPr>
          <w:p w14:paraId="52F2B812">
            <w:pPr>
              <w:pStyle w:val="72"/>
              <w:rPr>
                <w:rFonts w:hint="default" w:ascii="Times New Roman" w:hAnsi="Times New Roman" w:cs="Times New Roman"/>
                <w:sz w:val="21"/>
                <w:szCs w:val="21"/>
              </w:rPr>
            </w:pPr>
            <w:r>
              <w:rPr>
                <w:rFonts w:hint="default" w:ascii="Times New Roman" w:hAnsi="Times New Roman" w:cs="Times New Roman"/>
                <w:sz w:val="21"/>
                <w:szCs w:val="21"/>
              </w:rPr>
              <w:t>0</w:t>
            </w:r>
          </w:p>
        </w:tc>
        <w:tc>
          <w:tcPr>
            <w:tcW w:w="1393" w:type="pct"/>
            <w:tcBorders>
              <w:top w:val="single" w:color="auto" w:sz="4" w:space="0"/>
              <w:left w:val="nil"/>
              <w:bottom w:val="single" w:color="auto" w:sz="4" w:space="0"/>
              <w:right w:val="single" w:color="auto" w:sz="4" w:space="0"/>
            </w:tcBorders>
            <w:vAlign w:val="center"/>
          </w:tcPr>
          <w:p w14:paraId="15220F74">
            <w:pPr>
              <w:pStyle w:val="72"/>
              <w:rPr>
                <w:rFonts w:hint="default" w:ascii="Times New Roman" w:hAnsi="Times New Roman" w:cs="Times New Roman"/>
                <w:sz w:val="21"/>
                <w:szCs w:val="21"/>
              </w:rPr>
            </w:pPr>
            <w:r>
              <w:rPr>
                <w:rFonts w:hint="default" w:ascii="Times New Roman" w:hAnsi="Times New Roman" w:cs="Times New Roman"/>
                <w:sz w:val="21"/>
                <w:szCs w:val="21"/>
              </w:rPr>
              <w:t>0</w:t>
            </w:r>
          </w:p>
        </w:tc>
      </w:tr>
      <w:tr w14:paraId="35E0187C">
        <w:tblPrEx>
          <w:tblCellMar>
            <w:top w:w="0" w:type="dxa"/>
            <w:left w:w="108" w:type="dxa"/>
            <w:bottom w:w="0" w:type="dxa"/>
            <w:right w:w="108" w:type="dxa"/>
          </w:tblCellMar>
        </w:tblPrEx>
        <w:trPr>
          <w:trHeight w:val="288" w:hRule="atLeast"/>
          <w:jc w:val="center"/>
        </w:trPr>
        <w:tc>
          <w:tcPr>
            <w:tcW w:w="1501" w:type="pct"/>
            <w:tcBorders>
              <w:top w:val="single" w:color="auto" w:sz="4" w:space="0"/>
              <w:left w:val="single" w:color="auto" w:sz="4" w:space="0"/>
              <w:bottom w:val="single" w:color="auto" w:sz="4" w:space="0"/>
              <w:right w:val="single" w:color="auto" w:sz="4" w:space="0"/>
            </w:tcBorders>
            <w:vAlign w:val="center"/>
          </w:tcPr>
          <w:p w14:paraId="1263BD12">
            <w:pPr>
              <w:pStyle w:val="72"/>
              <w:rPr>
                <w:rFonts w:hint="eastAsia"/>
              </w:rPr>
            </w:pPr>
            <w:r>
              <w:rPr>
                <w:rFonts w:hint="eastAsia"/>
              </w:rPr>
              <w:t>合计</w:t>
            </w:r>
          </w:p>
        </w:tc>
        <w:tc>
          <w:tcPr>
            <w:tcW w:w="1030" w:type="pct"/>
            <w:tcBorders>
              <w:top w:val="nil"/>
              <w:left w:val="nil"/>
              <w:bottom w:val="single" w:color="auto" w:sz="4" w:space="0"/>
              <w:right w:val="single" w:color="auto" w:sz="4" w:space="0"/>
            </w:tcBorders>
            <w:vAlign w:val="center"/>
          </w:tcPr>
          <w:p w14:paraId="17590893">
            <w:pPr>
              <w:pStyle w:val="72"/>
              <w:rPr>
                <w:rFonts w:hint="default" w:ascii="Times New Roman" w:hAnsi="Times New Roman" w:eastAsia="仿宋" w:cs="Times New Roman"/>
                <w:sz w:val="21"/>
                <w:szCs w:val="21"/>
                <w:lang w:val="en-US" w:eastAsia="zh-CN"/>
              </w:rPr>
            </w:pPr>
            <w:r>
              <w:rPr>
                <w:rFonts w:hint="eastAsia" w:ascii="Times New Roman" w:hAnsi="Times New Roman" w:cs="Times New Roman"/>
                <w:sz w:val="21"/>
                <w:szCs w:val="21"/>
                <w:lang w:val="en-US" w:eastAsia="zh-CN"/>
              </w:rPr>
              <w:t>0.3608</w:t>
            </w:r>
          </w:p>
        </w:tc>
        <w:tc>
          <w:tcPr>
            <w:tcW w:w="2057" w:type="dxa"/>
            <w:tcBorders>
              <w:top w:val="nil"/>
              <w:left w:val="nil"/>
              <w:bottom w:val="single" w:color="auto" w:sz="4" w:space="0"/>
              <w:right w:val="single" w:color="auto" w:sz="4" w:space="0"/>
            </w:tcBorders>
            <w:vAlign w:val="center"/>
          </w:tcPr>
          <w:p w14:paraId="534EB53D">
            <w:pPr>
              <w:pStyle w:val="72"/>
              <w:ind w:firstLine="0" w:firstLineChars="0"/>
              <w:rPr>
                <w:rFonts w:hint="default" w:ascii="Times New Roman" w:hAnsi="Times New Roman" w:eastAsia="仿宋" w:cs="Times New Roman"/>
                <w:sz w:val="21"/>
                <w:szCs w:val="21"/>
                <w:lang w:val="en-US" w:eastAsia="zh-CN"/>
              </w:rPr>
            </w:pPr>
            <w:r>
              <w:rPr>
                <w:rFonts w:hint="eastAsia" w:ascii="Times New Roman" w:hAnsi="Times New Roman" w:cs="Times New Roman"/>
                <w:sz w:val="21"/>
                <w:szCs w:val="21"/>
                <w:lang w:val="en-US" w:eastAsia="zh-CN"/>
              </w:rPr>
              <w:t>0.2808</w:t>
            </w:r>
          </w:p>
        </w:tc>
        <w:tc>
          <w:tcPr>
            <w:tcW w:w="2665" w:type="dxa"/>
            <w:tcBorders>
              <w:top w:val="nil"/>
              <w:left w:val="nil"/>
              <w:bottom w:val="single" w:color="auto" w:sz="4" w:space="0"/>
              <w:right w:val="single" w:color="auto" w:sz="4" w:space="0"/>
            </w:tcBorders>
            <w:vAlign w:val="center"/>
          </w:tcPr>
          <w:p w14:paraId="2E9C8D59">
            <w:pPr>
              <w:pStyle w:val="72"/>
              <w:ind w:firstLine="0" w:firstLineChars="0"/>
              <w:rPr>
                <w:rFonts w:hint="default" w:ascii="Times New Roman" w:hAnsi="Times New Roman" w:eastAsia="仿宋" w:cs="Times New Roman"/>
                <w:sz w:val="21"/>
                <w:szCs w:val="21"/>
                <w:lang w:val="en-US" w:eastAsia="zh-CN"/>
              </w:rPr>
            </w:pPr>
            <w:r>
              <w:rPr>
                <w:rFonts w:hint="eastAsia" w:ascii="Times New Roman" w:hAnsi="Times New Roman" w:cs="Times New Roman"/>
                <w:sz w:val="21"/>
                <w:szCs w:val="21"/>
                <w:lang w:val="en-US" w:eastAsia="zh-CN"/>
              </w:rPr>
              <w:t>0.08</w:t>
            </w:r>
          </w:p>
        </w:tc>
      </w:tr>
    </w:tbl>
    <w:p w14:paraId="38D1D631">
      <w:pPr>
        <w:pStyle w:val="5"/>
        <w:ind w:firstLine="0" w:firstLineChars="0"/>
      </w:pPr>
      <w:bookmarkStart w:id="109" w:name="_Toc211790755"/>
      <w:r>
        <w:t>（二）受损预测</w:t>
      </w:r>
      <w:bookmarkEnd w:id="109"/>
    </w:p>
    <w:p w14:paraId="6512E599">
      <w:pPr>
        <w:ind w:firstLine="560"/>
        <w:rPr>
          <w:szCs w:val="28"/>
        </w:rPr>
      </w:pPr>
      <w:r>
        <w:rPr>
          <w:szCs w:val="28"/>
        </w:rPr>
        <w:t>根据矿山生产计划，预测矿山拟损毁区域可能产生的地质环境破坏、潜在污染风险、土地损毁、植被破坏、生态退化、水资源破坏等生态问题。</w:t>
      </w:r>
    </w:p>
    <w:p w14:paraId="20FF0995">
      <w:pPr>
        <w:ind w:firstLine="562"/>
        <w:rPr>
          <w:b/>
          <w:bCs/>
          <w:szCs w:val="28"/>
        </w:rPr>
      </w:pPr>
      <w:r>
        <w:rPr>
          <w:b/>
          <w:bCs/>
          <w:szCs w:val="28"/>
        </w:rPr>
        <w:t>1.土地损毁环节与时序</w:t>
      </w:r>
    </w:p>
    <w:p w14:paraId="66866BAD">
      <w:pPr>
        <w:ind w:firstLine="560"/>
        <w:rPr>
          <w:szCs w:val="28"/>
        </w:rPr>
      </w:pPr>
      <w:r>
        <w:rPr>
          <w:rFonts w:hint="eastAsia"/>
          <w:szCs w:val="28"/>
        </w:rPr>
        <w:t>矿山开采方式为地下开采。根据</w:t>
      </w:r>
      <w:r>
        <w:rPr>
          <w:rFonts w:hint="eastAsia"/>
          <w:szCs w:val="28"/>
          <w:lang w:eastAsia="zh-CN"/>
        </w:rPr>
        <w:t>集安市清河镇二道滑石矿山滑石</w:t>
      </w:r>
      <w:r>
        <w:rPr>
          <w:rFonts w:hint="eastAsia"/>
          <w:szCs w:val="28"/>
        </w:rPr>
        <w:t>层赋存条件，现场实际生产情况，采用</w:t>
      </w:r>
      <w:r>
        <w:rPr>
          <w:szCs w:val="28"/>
        </w:rPr>
        <w:t>中深孔分段空场嗣后充填采矿方法</w:t>
      </w:r>
      <w:r>
        <w:rPr>
          <w:rFonts w:hint="eastAsia"/>
          <w:szCs w:val="28"/>
        </w:rPr>
        <w:t>采</w:t>
      </w:r>
      <w:r>
        <w:rPr>
          <w:rFonts w:hint="eastAsia"/>
          <w:szCs w:val="28"/>
          <w:lang w:eastAsia="zh-CN"/>
        </w:rPr>
        <w:t>滑石</w:t>
      </w:r>
      <w:r>
        <w:rPr>
          <w:rFonts w:hint="eastAsia"/>
          <w:szCs w:val="28"/>
        </w:rPr>
        <w:t>方法。</w:t>
      </w:r>
    </w:p>
    <w:p w14:paraId="72DF28A1">
      <w:pPr>
        <w:ind w:firstLine="562"/>
        <w:rPr>
          <w:rFonts w:hint="eastAsia" w:ascii="宋体" w:hAnsi="宋体" w:cs="宋体"/>
          <w:b/>
          <w:bCs/>
          <w:szCs w:val="28"/>
          <w:highlight w:val="none"/>
        </w:rPr>
      </w:pPr>
      <w:r>
        <w:rPr>
          <w:rFonts w:hint="eastAsia" w:ascii="宋体" w:hAnsi="宋体" w:cs="宋体"/>
          <w:b/>
          <w:bCs/>
          <w:szCs w:val="28"/>
          <w:highlight w:val="none"/>
        </w:rPr>
        <w:t>2.土地损毁环节与时序</w:t>
      </w:r>
    </w:p>
    <w:p w14:paraId="76269D00">
      <w:pPr>
        <w:ind w:firstLine="560"/>
        <w:rPr>
          <w:rFonts w:hint="eastAsia" w:ascii="宋体" w:hAnsi="宋体" w:cs="宋体"/>
          <w:szCs w:val="28"/>
          <w:highlight w:val="none"/>
        </w:rPr>
      </w:pPr>
      <w:r>
        <w:rPr>
          <w:rFonts w:hint="eastAsia" w:ascii="宋体" w:hAnsi="宋体" w:cs="宋体"/>
          <w:szCs w:val="28"/>
          <w:highlight w:val="none"/>
        </w:rPr>
        <w:t>根据《</w:t>
      </w:r>
      <w:r>
        <w:rPr>
          <w:rFonts w:hint="eastAsia" w:ascii="宋体" w:hAnsi="宋体" w:cs="宋体"/>
          <w:szCs w:val="28"/>
          <w:highlight w:val="none"/>
          <w:lang w:eastAsia="zh-CN"/>
        </w:rPr>
        <w:t>集安市清河镇二道滑石矿滑石</w:t>
      </w:r>
      <w:r>
        <w:rPr>
          <w:rFonts w:hint="eastAsia" w:ascii="宋体" w:hAnsi="宋体" w:cs="宋体"/>
          <w:szCs w:val="28"/>
          <w:highlight w:val="none"/>
        </w:rPr>
        <w:t>矿矿产资源开发利用方案》，工程建设运行对土地的破坏环节包括工业广场的场地平整、竖井建设、修建地面建筑物（包括办公生活区、矿山生产所需要的附属设施等）、</w:t>
      </w:r>
      <w:r>
        <w:rPr>
          <w:rFonts w:hint="eastAsia" w:ascii="宋体" w:hAnsi="宋体" w:cs="宋体"/>
          <w:szCs w:val="28"/>
          <w:highlight w:val="none"/>
          <w:lang w:eastAsia="zh-CN"/>
        </w:rPr>
        <w:t>滑石矿山</w:t>
      </w:r>
      <w:r>
        <w:rPr>
          <w:rFonts w:hint="eastAsia" w:ascii="宋体" w:hAnsi="宋体" w:cs="宋体"/>
          <w:szCs w:val="28"/>
          <w:highlight w:val="none"/>
        </w:rPr>
        <w:t>下开采、排放</w:t>
      </w:r>
      <w:r>
        <w:rPr>
          <w:rFonts w:hint="eastAsia" w:ascii="宋体" w:hAnsi="宋体" w:cs="宋体"/>
          <w:szCs w:val="28"/>
          <w:highlight w:val="none"/>
          <w:lang w:eastAsia="zh-CN"/>
        </w:rPr>
        <w:t>滑石</w:t>
      </w:r>
      <w:r>
        <w:rPr>
          <w:rFonts w:hint="eastAsia" w:ascii="宋体" w:hAnsi="宋体" w:cs="宋体"/>
          <w:szCs w:val="28"/>
          <w:highlight w:val="none"/>
        </w:rPr>
        <w:t>矸石、</w:t>
      </w:r>
      <w:r>
        <w:rPr>
          <w:rFonts w:hint="eastAsia" w:ascii="宋体" w:hAnsi="宋体" w:cs="宋体"/>
          <w:szCs w:val="28"/>
          <w:highlight w:val="none"/>
          <w:lang w:eastAsia="zh-CN"/>
        </w:rPr>
        <w:t>滑石</w:t>
      </w:r>
      <w:r>
        <w:rPr>
          <w:rFonts w:hint="eastAsia" w:ascii="宋体" w:hAnsi="宋体" w:cs="宋体"/>
          <w:szCs w:val="28"/>
          <w:highlight w:val="none"/>
        </w:rPr>
        <w:t>的临时存放等环节。</w:t>
      </w:r>
    </w:p>
    <w:p w14:paraId="4261F439">
      <w:pPr>
        <w:ind w:firstLine="560"/>
        <w:rPr>
          <w:rFonts w:hint="eastAsia" w:ascii="宋体" w:hAnsi="宋体" w:cs="宋体"/>
          <w:szCs w:val="28"/>
          <w:highlight w:val="none"/>
        </w:rPr>
      </w:pPr>
      <w:r>
        <w:rPr>
          <w:rFonts w:hint="eastAsia" w:ascii="宋体" w:hAnsi="宋体" w:cs="宋体"/>
          <w:szCs w:val="28"/>
          <w:highlight w:val="none"/>
        </w:rPr>
        <w:t>（1）工业广场场地平整→修建地面建筑物→占压土地；</w:t>
      </w:r>
    </w:p>
    <w:p w14:paraId="42E305D9">
      <w:pPr>
        <w:ind w:firstLine="560"/>
        <w:rPr>
          <w:rFonts w:hint="eastAsia" w:ascii="宋体" w:hAnsi="宋体" w:cs="宋体"/>
          <w:szCs w:val="28"/>
          <w:highlight w:val="none"/>
        </w:rPr>
      </w:pPr>
      <w:r>
        <w:rPr>
          <w:rFonts w:hint="eastAsia" w:ascii="宋体" w:hAnsi="宋体" w:cs="宋体"/>
          <w:szCs w:val="28"/>
          <w:highlight w:val="none"/>
        </w:rPr>
        <w:t>（2）</w:t>
      </w:r>
      <w:r>
        <w:rPr>
          <w:rFonts w:hint="eastAsia" w:ascii="宋体" w:hAnsi="宋体" w:cs="宋体"/>
          <w:szCs w:val="28"/>
          <w:highlight w:val="none"/>
          <w:lang w:eastAsia="zh-CN"/>
        </w:rPr>
        <w:t>矿山</w:t>
      </w:r>
      <w:r>
        <w:rPr>
          <w:rFonts w:hint="eastAsia" w:ascii="宋体" w:hAnsi="宋体" w:cs="宋体"/>
          <w:szCs w:val="28"/>
          <w:highlight w:val="none"/>
        </w:rPr>
        <w:t>建设→建设3处</w:t>
      </w:r>
      <w:r>
        <w:rPr>
          <w:rFonts w:hint="eastAsia" w:ascii="宋体" w:hAnsi="宋体" w:cs="宋体"/>
          <w:szCs w:val="28"/>
          <w:highlight w:val="none"/>
          <w:lang w:eastAsia="zh-CN"/>
        </w:rPr>
        <w:t>平硐</w:t>
      </w:r>
      <w:r>
        <w:rPr>
          <w:rFonts w:hint="eastAsia" w:ascii="宋体" w:hAnsi="宋体" w:cs="宋体"/>
          <w:szCs w:val="28"/>
          <w:highlight w:val="none"/>
        </w:rPr>
        <w:t>→挖损土地；</w:t>
      </w:r>
    </w:p>
    <w:p w14:paraId="1A643931">
      <w:pPr>
        <w:ind w:firstLine="560"/>
        <w:rPr>
          <w:rFonts w:hint="eastAsia" w:ascii="宋体" w:hAnsi="宋体" w:cs="宋体"/>
          <w:szCs w:val="28"/>
          <w:highlight w:val="none"/>
        </w:rPr>
      </w:pPr>
      <w:r>
        <w:rPr>
          <w:rFonts w:hint="eastAsia" w:ascii="宋体" w:hAnsi="宋体" w:cs="宋体"/>
          <w:szCs w:val="28"/>
          <w:highlight w:val="none"/>
        </w:rPr>
        <w:t>（3）</w:t>
      </w:r>
      <w:r>
        <w:rPr>
          <w:rFonts w:hint="eastAsia" w:ascii="宋体" w:hAnsi="宋体" w:cs="宋体"/>
          <w:szCs w:val="28"/>
          <w:highlight w:val="none"/>
          <w:lang w:eastAsia="zh-CN"/>
        </w:rPr>
        <w:t>滑石</w:t>
      </w:r>
      <w:r>
        <w:rPr>
          <w:rFonts w:hint="eastAsia" w:ascii="宋体" w:hAnsi="宋体" w:cs="宋体"/>
          <w:szCs w:val="28"/>
          <w:highlight w:val="none"/>
        </w:rPr>
        <w:t>矿开采→产生</w:t>
      </w:r>
      <w:r>
        <w:rPr>
          <w:rFonts w:hint="eastAsia" w:ascii="宋体" w:hAnsi="宋体" w:cs="宋体"/>
          <w:szCs w:val="28"/>
          <w:highlight w:val="none"/>
          <w:lang w:eastAsia="zh-CN"/>
        </w:rPr>
        <w:t>滑石</w:t>
      </w:r>
      <w:r>
        <w:rPr>
          <w:rFonts w:hint="eastAsia" w:ascii="宋体" w:hAnsi="宋体" w:cs="宋体"/>
          <w:szCs w:val="28"/>
          <w:highlight w:val="none"/>
        </w:rPr>
        <w:t>→占压土地；</w:t>
      </w:r>
    </w:p>
    <w:p w14:paraId="11F2BABC">
      <w:pPr>
        <w:ind w:firstLine="560"/>
        <w:rPr>
          <w:rFonts w:hint="eastAsia" w:ascii="宋体" w:hAnsi="宋体" w:cs="宋体"/>
          <w:szCs w:val="28"/>
          <w:highlight w:val="none"/>
        </w:rPr>
      </w:pPr>
      <w:r>
        <w:rPr>
          <w:rFonts w:hint="eastAsia" w:ascii="宋体" w:hAnsi="宋体" w:cs="宋体"/>
          <w:szCs w:val="28"/>
          <w:highlight w:val="none"/>
        </w:rPr>
        <w:t>（4）</w:t>
      </w:r>
      <w:r>
        <w:rPr>
          <w:rFonts w:hint="eastAsia" w:ascii="宋体" w:hAnsi="宋体" w:cs="宋体"/>
          <w:szCs w:val="28"/>
          <w:highlight w:val="none"/>
          <w:lang w:eastAsia="zh-CN"/>
        </w:rPr>
        <w:t>滑石</w:t>
      </w:r>
      <w:r>
        <w:rPr>
          <w:rFonts w:hint="eastAsia" w:ascii="宋体" w:hAnsi="宋体" w:cs="宋体"/>
          <w:szCs w:val="28"/>
          <w:highlight w:val="none"/>
        </w:rPr>
        <w:t>矿开采→</w:t>
      </w:r>
      <w:r>
        <w:rPr>
          <w:rFonts w:hint="eastAsia" w:ascii="宋体" w:hAnsi="宋体" w:cs="宋体"/>
          <w:szCs w:val="28"/>
          <w:highlight w:val="none"/>
          <w:lang w:val="en-US" w:eastAsia="zh-CN"/>
        </w:rPr>
        <w:t>地表建设</w:t>
      </w:r>
      <w:r>
        <w:rPr>
          <w:rFonts w:hint="eastAsia" w:ascii="宋体" w:hAnsi="宋体" w:cs="宋体"/>
          <w:szCs w:val="28"/>
          <w:highlight w:val="none"/>
        </w:rPr>
        <w:t>→</w:t>
      </w:r>
      <w:r>
        <w:rPr>
          <w:rFonts w:hint="eastAsia" w:ascii="宋体" w:hAnsi="宋体" w:cs="宋体"/>
          <w:szCs w:val="28"/>
          <w:highlight w:val="none"/>
          <w:lang w:val="en-US" w:eastAsia="zh-CN"/>
        </w:rPr>
        <w:t>压占土地</w:t>
      </w:r>
      <w:r>
        <w:rPr>
          <w:rFonts w:hint="eastAsia" w:ascii="宋体" w:hAnsi="宋体" w:cs="宋体"/>
          <w:szCs w:val="28"/>
          <w:highlight w:val="none"/>
        </w:rPr>
        <w:t>。</w:t>
      </w:r>
    </w:p>
    <w:p w14:paraId="0D45EE80">
      <w:pPr>
        <w:ind w:firstLine="0" w:firstLineChars="0"/>
        <w:jc w:val="center"/>
        <w:rPr>
          <w:rFonts w:hint="eastAsia" w:eastAsia="宋体"/>
          <w:kern w:val="0"/>
          <w:lang w:eastAsia="zh-CN"/>
        </w:rPr>
      </w:pPr>
      <w:r>
        <w:rPr>
          <w:rFonts w:hint="eastAsia" w:eastAsia="宋体"/>
          <w:kern w:val="0"/>
          <w:lang w:eastAsia="zh-CN"/>
        </w:rPr>
        <w:drawing>
          <wp:inline distT="0" distB="0" distL="114300" distR="114300">
            <wp:extent cx="4023360" cy="2148840"/>
            <wp:effectExtent l="0" t="0" r="15240" b="3810"/>
            <wp:docPr id="2" name="图片 2" descr="土地损毁环节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土地损毁环节图(1)"/>
                    <pic:cNvPicPr>
                      <a:picLocks noChangeAspect="1"/>
                    </pic:cNvPicPr>
                  </pic:nvPicPr>
                  <pic:blipFill>
                    <a:blip r:embed="rId31"/>
                    <a:stretch>
                      <a:fillRect/>
                    </a:stretch>
                  </pic:blipFill>
                  <pic:spPr>
                    <a:xfrm>
                      <a:off x="0" y="0"/>
                      <a:ext cx="4023360" cy="2148840"/>
                    </a:xfrm>
                    <a:prstGeom prst="rect">
                      <a:avLst/>
                    </a:prstGeom>
                  </pic:spPr>
                </pic:pic>
              </a:graphicData>
            </a:graphic>
          </wp:inline>
        </w:drawing>
      </w:r>
    </w:p>
    <w:p w14:paraId="4EDB4E62">
      <w:pPr>
        <w:pStyle w:val="66"/>
        <w:ind w:firstLine="420"/>
        <w:rPr>
          <w:rFonts w:ascii="Times New Roman" w:hAnsi="Times New Roman"/>
        </w:rPr>
      </w:pPr>
      <w:r>
        <w:rPr>
          <w:rFonts w:ascii="Times New Roman" w:hAnsi="Times New Roman"/>
        </w:rPr>
        <w:t>图3-</w:t>
      </w:r>
      <w:r>
        <w:rPr>
          <w:rFonts w:hint="eastAsia" w:ascii="Times New Roman" w:hAnsi="Times New Roman"/>
        </w:rPr>
        <w:t>2</w:t>
      </w:r>
      <w:r>
        <w:rPr>
          <w:rFonts w:ascii="Times New Roman" w:hAnsi="Times New Roman"/>
        </w:rPr>
        <w:t>土地损毁环节图</w:t>
      </w:r>
    </w:p>
    <w:p w14:paraId="4E5AF40C">
      <w:pPr>
        <w:pStyle w:val="15"/>
        <w:ind w:firstLine="560"/>
      </w:pPr>
      <w:r>
        <w:t>（2）土地损毁时序</w:t>
      </w:r>
    </w:p>
    <w:p w14:paraId="12514029">
      <w:pPr>
        <w:ind w:firstLine="560"/>
        <w:rPr>
          <w:kern w:val="0"/>
          <w:szCs w:val="28"/>
        </w:rPr>
      </w:pPr>
      <w:r>
        <w:rPr>
          <w:kern w:val="0"/>
          <w:szCs w:val="28"/>
        </w:rPr>
        <w:t>本矿为</w:t>
      </w:r>
      <w:r>
        <w:rPr>
          <w:rFonts w:hint="eastAsia"/>
          <w:kern w:val="0"/>
          <w:szCs w:val="28"/>
          <w:lang w:eastAsia="zh-CN"/>
        </w:rPr>
        <w:t>滑石</w:t>
      </w:r>
      <w:r>
        <w:rPr>
          <w:rFonts w:hint="eastAsia"/>
          <w:kern w:val="0"/>
          <w:szCs w:val="28"/>
        </w:rPr>
        <w:t>矿</w:t>
      </w:r>
      <w:r>
        <w:rPr>
          <w:kern w:val="0"/>
          <w:szCs w:val="28"/>
        </w:rPr>
        <w:t>，采矿方式为</w:t>
      </w:r>
      <w:r>
        <w:rPr>
          <w:rFonts w:hint="eastAsia"/>
          <w:kern w:val="0"/>
          <w:szCs w:val="28"/>
        </w:rPr>
        <w:t>地下开采</w:t>
      </w:r>
      <w:r>
        <w:rPr>
          <w:kern w:val="0"/>
          <w:szCs w:val="28"/>
        </w:rPr>
        <w:t>，</w:t>
      </w:r>
      <w:r>
        <w:rPr>
          <w:rFonts w:hint="eastAsia"/>
          <w:kern w:val="0"/>
          <w:szCs w:val="28"/>
        </w:rPr>
        <w:t>现状</w:t>
      </w:r>
      <w:r>
        <w:rPr>
          <w:kern w:val="0"/>
          <w:szCs w:val="28"/>
        </w:rPr>
        <w:t>工业广场能够满足矿山后期生产需要，未来矿山生产</w:t>
      </w:r>
      <w:r>
        <w:rPr>
          <w:rFonts w:hint="eastAsia"/>
          <w:kern w:val="0"/>
          <w:szCs w:val="28"/>
        </w:rPr>
        <w:t>对</w:t>
      </w:r>
      <w:r>
        <w:rPr>
          <w:kern w:val="0"/>
          <w:szCs w:val="28"/>
        </w:rPr>
        <w:t>生态环境的破坏</w:t>
      </w:r>
      <w:r>
        <w:rPr>
          <w:rFonts w:hint="eastAsia"/>
          <w:kern w:val="0"/>
          <w:szCs w:val="28"/>
        </w:rPr>
        <w:t>主要体现在</w:t>
      </w:r>
      <w:r>
        <w:rPr>
          <w:rFonts w:hint="eastAsia"/>
          <w:kern w:val="0"/>
          <w:szCs w:val="28"/>
          <w:lang w:val="en-US" w:eastAsia="zh-CN"/>
        </w:rPr>
        <w:t>土地压占</w:t>
      </w:r>
      <w:r>
        <w:rPr>
          <w:kern w:val="0"/>
          <w:szCs w:val="28"/>
        </w:rPr>
        <w:t>。土地损毁环节见图3-3。</w:t>
      </w:r>
    </w:p>
    <w:p w14:paraId="52172987">
      <w:pPr>
        <w:pStyle w:val="57"/>
        <w:rPr>
          <w:rFonts w:ascii="Times New Roman" w:hAnsi="Times New Roman"/>
          <w:highlight w:val="none"/>
        </w:rPr>
      </w:pPr>
      <w:r>
        <w:rPr>
          <w:rFonts w:ascii="Times New Roman" w:hAnsi="Times New Roman"/>
          <w:highlight w:val="none"/>
        </w:rPr>
        <w:t>表3-</w:t>
      </w:r>
      <w:r>
        <w:rPr>
          <w:rFonts w:hint="eastAsia" w:ascii="Times New Roman" w:hAnsi="Times New Roman"/>
          <w:highlight w:val="none"/>
        </w:rPr>
        <w:t>10</w:t>
      </w:r>
      <w:r>
        <w:rPr>
          <w:rFonts w:ascii="Times New Roman" w:hAnsi="Times New Roman"/>
          <w:highlight w:val="none"/>
        </w:rPr>
        <w:t>矿区</w:t>
      </w:r>
      <w:bookmarkStart w:id="110" w:name="OLE_LINK25"/>
      <w:r>
        <w:rPr>
          <w:rFonts w:ascii="Times New Roman" w:hAnsi="Times New Roman"/>
          <w:highlight w:val="none"/>
        </w:rPr>
        <w:t>土地损毁时序</w:t>
      </w:r>
      <w:bookmarkEnd w:id="110"/>
      <w:r>
        <w:rPr>
          <w:rFonts w:ascii="Times New Roman" w:hAnsi="Times New Roman"/>
          <w:highlight w:val="none"/>
        </w:rPr>
        <w:t>表</w:t>
      </w:r>
    </w:p>
    <w:tbl>
      <w:tblPr>
        <w:tblStyle w:val="42"/>
        <w:tblW w:w="8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5"/>
        <w:gridCol w:w="1328"/>
        <w:gridCol w:w="1800"/>
        <w:gridCol w:w="2733"/>
      </w:tblGrid>
      <w:tr w14:paraId="45AF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845" w:type="dxa"/>
            <w:vAlign w:val="center"/>
          </w:tcPr>
          <w:p w14:paraId="5DA10891">
            <w:pPr>
              <w:pStyle w:val="72"/>
              <w:rPr>
                <w:rFonts w:ascii="Times New Roman" w:hAnsi="Times New Roman"/>
                <w:highlight w:val="none"/>
              </w:rPr>
            </w:pPr>
            <w:r>
              <w:rPr>
                <w:rFonts w:ascii="Times New Roman" w:hAnsi="Times New Roman"/>
                <w:highlight w:val="none"/>
              </w:rPr>
              <w:t>地点</w:t>
            </w:r>
          </w:p>
        </w:tc>
        <w:tc>
          <w:tcPr>
            <w:tcW w:w="1328" w:type="dxa"/>
            <w:vAlign w:val="center"/>
          </w:tcPr>
          <w:p w14:paraId="05D28B6E">
            <w:pPr>
              <w:pStyle w:val="72"/>
              <w:rPr>
                <w:rFonts w:ascii="Times New Roman" w:hAnsi="Times New Roman"/>
                <w:highlight w:val="none"/>
              </w:rPr>
            </w:pPr>
            <w:r>
              <w:rPr>
                <w:rFonts w:ascii="Times New Roman" w:hAnsi="Times New Roman"/>
                <w:highlight w:val="none"/>
              </w:rPr>
              <w:t>损毁类型</w:t>
            </w:r>
          </w:p>
        </w:tc>
        <w:tc>
          <w:tcPr>
            <w:tcW w:w="1800" w:type="dxa"/>
            <w:vAlign w:val="center"/>
          </w:tcPr>
          <w:p w14:paraId="793BABE3">
            <w:pPr>
              <w:pStyle w:val="72"/>
              <w:rPr>
                <w:rFonts w:ascii="Times New Roman" w:hAnsi="Times New Roman"/>
                <w:highlight w:val="none"/>
              </w:rPr>
            </w:pPr>
            <w:r>
              <w:rPr>
                <w:rFonts w:ascii="Times New Roman" w:hAnsi="Times New Roman"/>
                <w:highlight w:val="none"/>
              </w:rPr>
              <w:t>环节</w:t>
            </w:r>
          </w:p>
        </w:tc>
        <w:tc>
          <w:tcPr>
            <w:tcW w:w="2733" w:type="dxa"/>
            <w:vAlign w:val="center"/>
          </w:tcPr>
          <w:p w14:paraId="013E14C3">
            <w:pPr>
              <w:pStyle w:val="72"/>
              <w:rPr>
                <w:rFonts w:ascii="Times New Roman" w:hAnsi="Times New Roman"/>
                <w:highlight w:val="none"/>
              </w:rPr>
            </w:pPr>
            <w:r>
              <w:rPr>
                <w:rFonts w:ascii="Times New Roman" w:hAnsi="Times New Roman"/>
                <w:highlight w:val="none"/>
              </w:rPr>
              <w:t>损毁时序</w:t>
            </w:r>
          </w:p>
        </w:tc>
      </w:tr>
      <w:tr w14:paraId="7FCD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2845" w:type="dxa"/>
            <w:vAlign w:val="center"/>
          </w:tcPr>
          <w:p w14:paraId="38DA1BE7">
            <w:pPr>
              <w:pStyle w:val="72"/>
              <w:rPr>
                <w:rFonts w:ascii="Times New Roman" w:hAnsi="Times New Roman"/>
                <w:highlight w:val="none"/>
              </w:rPr>
            </w:pPr>
            <w:r>
              <w:rPr>
                <w:rFonts w:ascii="Times New Roman" w:hAnsi="Times New Roman"/>
                <w:highlight w:val="none"/>
              </w:rPr>
              <w:t>工业广场</w:t>
            </w:r>
          </w:p>
        </w:tc>
        <w:tc>
          <w:tcPr>
            <w:tcW w:w="1328" w:type="dxa"/>
            <w:vAlign w:val="center"/>
          </w:tcPr>
          <w:p w14:paraId="226D3680">
            <w:pPr>
              <w:pStyle w:val="72"/>
              <w:rPr>
                <w:rFonts w:ascii="Times New Roman" w:hAnsi="Times New Roman"/>
                <w:highlight w:val="none"/>
              </w:rPr>
            </w:pPr>
            <w:r>
              <w:rPr>
                <w:rFonts w:hint="eastAsia" w:ascii="Times New Roman" w:hAnsi="Times New Roman"/>
                <w:highlight w:val="none"/>
              </w:rPr>
              <w:t>挖损、压占</w:t>
            </w:r>
          </w:p>
        </w:tc>
        <w:tc>
          <w:tcPr>
            <w:tcW w:w="1800" w:type="dxa"/>
          </w:tcPr>
          <w:p w14:paraId="52D08E36">
            <w:pPr>
              <w:pStyle w:val="72"/>
              <w:rPr>
                <w:rFonts w:ascii="Times New Roman" w:hAnsi="Times New Roman"/>
                <w:highlight w:val="none"/>
              </w:rPr>
            </w:pPr>
            <w:r>
              <w:rPr>
                <w:rFonts w:ascii="Times New Roman" w:hAnsi="Times New Roman"/>
                <w:highlight w:val="none"/>
              </w:rPr>
              <w:t>基建期、生产期</w:t>
            </w:r>
          </w:p>
        </w:tc>
        <w:tc>
          <w:tcPr>
            <w:tcW w:w="2733" w:type="dxa"/>
            <w:vAlign w:val="center"/>
          </w:tcPr>
          <w:p w14:paraId="25EC92EC">
            <w:pPr>
              <w:pStyle w:val="72"/>
              <w:rPr>
                <w:rFonts w:ascii="Times New Roman" w:hAnsi="Times New Roman"/>
                <w:highlight w:val="none"/>
              </w:rPr>
            </w:pPr>
            <w:r>
              <w:rPr>
                <w:rFonts w:ascii="Times New Roman" w:hAnsi="Times New Roman"/>
                <w:highlight w:val="none"/>
              </w:rPr>
              <w:t>已损毁</w:t>
            </w:r>
          </w:p>
        </w:tc>
      </w:tr>
      <w:tr w14:paraId="12676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845" w:type="dxa"/>
            <w:vAlign w:val="center"/>
          </w:tcPr>
          <w:p w14:paraId="439936E0">
            <w:pPr>
              <w:pStyle w:val="72"/>
              <w:rPr>
                <w:rFonts w:hint="default" w:ascii="Times New Roman" w:hAnsi="Times New Roman" w:eastAsia="仿宋"/>
                <w:highlight w:val="none"/>
                <w:lang w:val="en-US" w:eastAsia="zh-CN"/>
              </w:rPr>
            </w:pPr>
            <w:r>
              <w:rPr>
                <w:rFonts w:hint="eastAsia" w:ascii="Times New Roman" w:hAnsi="Times New Roman"/>
                <w:highlight w:val="none"/>
                <w:lang w:val="en-US" w:eastAsia="zh-CN"/>
              </w:rPr>
              <w:t>三处废弃平硐</w:t>
            </w:r>
          </w:p>
        </w:tc>
        <w:tc>
          <w:tcPr>
            <w:tcW w:w="1328" w:type="dxa"/>
            <w:vAlign w:val="center"/>
          </w:tcPr>
          <w:p w14:paraId="4DA1FE05">
            <w:pPr>
              <w:pStyle w:val="72"/>
              <w:rPr>
                <w:rFonts w:hint="eastAsia" w:ascii="Times New Roman" w:hAnsi="Times New Roman"/>
                <w:highlight w:val="none"/>
              </w:rPr>
            </w:pPr>
            <w:r>
              <w:rPr>
                <w:rFonts w:hint="eastAsia" w:ascii="Times New Roman" w:hAnsi="Times New Roman"/>
                <w:highlight w:val="none"/>
              </w:rPr>
              <w:t>挖损</w:t>
            </w:r>
          </w:p>
        </w:tc>
        <w:tc>
          <w:tcPr>
            <w:tcW w:w="1800" w:type="dxa"/>
            <w:vAlign w:val="top"/>
          </w:tcPr>
          <w:p w14:paraId="4AA61B37">
            <w:pPr>
              <w:pStyle w:val="72"/>
              <w:ind w:firstLine="0" w:firstLineChars="0"/>
              <w:rPr>
                <w:rFonts w:ascii="Times New Roman" w:hAnsi="Times New Roman"/>
                <w:highlight w:val="none"/>
              </w:rPr>
            </w:pPr>
            <w:r>
              <w:rPr>
                <w:rFonts w:ascii="Times New Roman" w:hAnsi="Times New Roman"/>
                <w:highlight w:val="none"/>
              </w:rPr>
              <w:t>基建期、生产期</w:t>
            </w:r>
          </w:p>
        </w:tc>
        <w:tc>
          <w:tcPr>
            <w:tcW w:w="2733" w:type="dxa"/>
            <w:vAlign w:val="center"/>
          </w:tcPr>
          <w:p w14:paraId="34DB2B7E">
            <w:pPr>
              <w:pStyle w:val="72"/>
              <w:ind w:firstLine="0" w:firstLineChars="0"/>
              <w:rPr>
                <w:rFonts w:ascii="Times New Roman" w:hAnsi="Times New Roman"/>
                <w:highlight w:val="none"/>
              </w:rPr>
            </w:pPr>
            <w:r>
              <w:rPr>
                <w:rFonts w:ascii="Times New Roman" w:hAnsi="Times New Roman"/>
                <w:highlight w:val="none"/>
              </w:rPr>
              <w:t>已损毁</w:t>
            </w:r>
          </w:p>
        </w:tc>
      </w:tr>
      <w:tr w14:paraId="21BD2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845" w:type="dxa"/>
            <w:vAlign w:val="center"/>
          </w:tcPr>
          <w:p w14:paraId="30335764">
            <w:pPr>
              <w:pStyle w:val="72"/>
              <w:rPr>
                <w:rFonts w:hint="default" w:ascii="Times New Roman" w:hAnsi="Times New Roman" w:eastAsia="仿宋"/>
                <w:highlight w:val="none"/>
                <w:lang w:val="en-US" w:eastAsia="zh-CN"/>
              </w:rPr>
            </w:pPr>
            <w:r>
              <w:rPr>
                <w:rFonts w:hint="eastAsia" w:ascii="Times New Roman" w:hAnsi="Times New Roman"/>
                <w:highlight w:val="none"/>
                <w:lang w:val="en-US" w:eastAsia="zh-CN"/>
              </w:rPr>
              <w:t>490m平硐工业广场</w:t>
            </w:r>
          </w:p>
        </w:tc>
        <w:tc>
          <w:tcPr>
            <w:tcW w:w="1328" w:type="dxa"/>
            <w:vAlign w:val="center"/>
          </w:tcPr>
          <w:p w14:paraId="7C6A44CB">
            <w:pPr>
              <w:pStyle w:val="72"/>
              <w:rPr>
                <w:rFonts w:hint="eastAsia" w:ascii="Times New Roman" w:hAnsi="Times New Roman"/>
                <w:highlight w:val="none"/>
              </w:rPr>
            </w:pPr>
            <w:r>
              <w:rPr>
                <w:rFonts w:hint="eastAsia" w:ascii="Times New Roman" w:hAnsi="Times New Roman"/>
                <w:highlight w:val="none"/>
              </w:rPr>
              <w:t>挖损、压占</w:t>
            </w:r>
          </w:p>
        </w:tc>
        <w:tc>
          <w:tcPr>
            <w:tcW w:w="1800" w:type="dxa"/>
          </w:tcPr>
          <w:p w14:paraId="63DB1BE4">
            <w:pPr>
              <w:pStyle w:val="72"/>
              <w:ind w:firstLine="0" w:firstLineChars="0"/>
              <w:rPr>
                <w:rFonts w:ascii="Times New Roman" w:hAnsi="Times New Roman"/>
                <w:highlight w:val="none"/>
              </w:rPr>
            </w:pPr>
            <w:r>
              <w:rPr>
                <w:rFonts w:ascii="Times New Roman" w:hAnsi="Times New Roman"/>
                <w:highlight w:val="none"/>
              </w:rPr>
              <w:t>基建期、生产期</w:t>
            </w:r>
          </w:p>
        </w:tc>
        <w:tc>
          <w:tcPr>
            <w:tcW w:w="2733" w:type="dxa"/>
            <w:vAlign w:val="center"/>
          </w:tcPr>
          <w:p w14:paraId="0827A349">
            <w:pPr>
              <w:pStyle w:val="72"/>
              <w:ind w:firstLine="0" w:firstLineChars="0"/>
              <w:rPr>
                <w:rFonts w:ascii="Times New Roman" w:hAnsi="Times New Roman"/>
                <w:highlight w:val="none"/>
              </w:rPr>
            </w:pPr>
            <w:r>
              <w:rPr>
                <w:rFonts w:hint="eastAsia" w:ascii="Times New Roman" w:hAnsi="Times New Roman"/>
                <w:highlight w:val="none"/>
              </w:rPr>
              <w:t>拟损毁</w:t>
            </w:r>
          </w:p>
        </w:tc>
      </w:tr>
      <w:tr w14:paraId="6618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845" w:type="dxa"/>
            <w:vAlign w:val="center"/>
          </w:tcPr>
          <w:p w14:paraId="4649DEAF">
            <w:pPr>
              <w:pStyle w:val="72"/>
              <w:rPr>
                <w:rFonts w:hint="default" w:ascii="Times New Roman" w:hAnsi="Times New Roman" w:eastAsia="仿宋"/>
                <w:highlight w:val="none"/>
                <w:lang w:val="en-US" w:eastAsia="zh-CN"/>
              </w:rPr>
            </w:pPr>
            <w:r>
              <w:rPr>
                <w:rFonts w:hint="eastAsia" w:ascii="Times New Roman" w:hAnsi="Times New Roman"/>
                <w:highlight w:val="none"/>
                <w:lang w:val="en-US" w:eastAsia="zh-CN"/>
              </w:rPr>
              <w:t>520m平硐工业广场</w:t>
            </w:r>
          </w:p>
        </w:tc>
        <w:tc>
          <w:tcPr>
            <w:tcW w:w="1328" w:type="dxa"/>
            <w:vAlign w:val="center"/>
          </w:tcPr>
          <w:p w14:paraId="606E0002">
            <w:pPr>
              <w:pStyle w:val="72"/>
              <w:rPr>
                <w:rFonts w:hint="eastAsia" w:ascii="Times New Roman" w:hAnsi="Times New Roman"/>
                <w:highlight w:val="none"/>
              </w:rPr>
            </w:pPr>
            <w:r>
              <w:rPr>
                <w:rFonts w:hint="eastAsia" w:ascii="Times New Roman" w:hAnsi="Times New Roman"/>
                <w:highlight w:val="none"/>
              </w:rPr>
              <w:t>挖损、压占</w:t>
            </w:r>
          </w:p>
        </w:tc>
        <w:tc>
          <w:tcPr>
            <w:tcW w:w="1800" w:type="dxa"/>
          </w:tcPr>
          <w:p w14:paraId="508D8D2F">
            <w:pPr>
              <w:pStyle w:val="72"/>
              <w:ind w:firstLine="0" w:firstLineChars="0"/>
              <w:rPr>
                <w:rFonts w:ascii="Times New Roman" w:hAnsi="Times New Roman"/>
                <w:highlight w:val="none"/>
              </w:rPr>
            </w:pPr>
            <w:r>
              <w:rPr>
                <w:rFonts w:ascii="Times New Roman" w:hAnsi="Times New Roman"/>
                <w:highlight w:val="none"/>
              </w:rPr>
              <w:t>基建期、生产期</w:t>
            </w:r>
          </w:p>
        </w:tc>
        <w:tc>
          <w:tcPr>
            <w:tcW w:w="2733" w:type="dxa"/>
            <w:vAlign w:val="center"/>
          </w:tcPr>
          <w:p w14:paraId="32D7F0D1">
            <w:pPr>
              <w:pStyle w:val="72"/>
              <w:ind w:firstLine="0" w:firstLineChars="0"/>
              <w:rPr>
                <w:rFonts w:ascii="Times New Roman" w:hAnsi="Times New Roman"/>
                <w:highlight w:val="none"/>
              </w:rPr>
            </w:pPr>
            <w:r>
              <w:rPr>
                <w:rFonts w:hint="eastAsia" w:ascii="Times New Roman" w:hAnsi="Times New Roman"/>
                <w:highlight w:val="none"/>
              </w:rPr>
              <w:t>拟损毁</w:t>
            </w:r>
          </w:p>
        </w:tc>
      </w:tr>
      <w:tr w14:paraId="06C1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845" w:type="dxa"/>
            <w:vAlign w:val="center"/>
          </w:tcPr>
          <w:p w14:paraId="7603AFD2">
            <w:pPr>
              <w:pStyle w:val="72"/>
              <w:rPr>
                <w:rFonts w:ascii="Times New Roman" w:hAnsi="Times New Roman"/>
                <w:highlight w:val="none"/>
              </w:rPr>
            </w:pPr>
            <w:r>
              <w:rPr>
                <w:rFonts w:hint="eastAsia" w:ascii="Times New Roman" w:hAnsi="Times New Roman"/>
                <w:highlight w:val="none"/>
                <w:lang w:val="en-US" w:eastAsia="zh-CN"/>
              </w:rPr>
              <w:t>548m平硐工业广场</w:t>
            </w:r>
          </w:p>
        </w:tc>
        <w:tc>
          <w:tcPr>
            <w:tcW w:w="1328" w:type="dxa"/>
            <w:vAlign w:val="center"/>
          </w:tcPr>
          <w:p w14:paraId="067CFA69">
            <w:pPr>
              <w:pStyle w:val="72"/>
              <w:rPr>
                <w:rFonts w:hint="eastAsia" w:ascii="Times New Roman" w:hAnsi="Times New Roman"/>
                <w:highlight w:val="none"/>
              </w:rPr>
            </w:pPr>
            <w:r>
              <w:rPr>
                <w:rFonts w:hint="eastAsia" w:ascii="Times New Roman" w:hAnsi="Times New Roman"/>
                <w:highlight w:val="none"/>
              </w:rPr>
              <w:t>挖损、压占</w:t>
            </w:r>
          </w:p>
        </w:tc>
        <w:tc>
          <w:tcPr>
            <w:tcW w:w="1800" w:type="dxa"/>
          </w:tcPr>
          <w:p w14:paraId="039F5003">
            <w:pPr>
              <w:pStyle w:val="72"/>
              <w:ind w:firstLine="0" w:firstLineChars="0"/>
              <w:rPr>
                <w:rFonts w:ascii="Times New Roman" w:hAnsi="Times New Roman"/>
                <w:highlight w:val="none"/>
              </w:rPr>
            </w:pPr>
            <w:r>
              <w:rPr>
                <w:rFonts w:ascii="Times New Roman" w:hAnsi="Times New Roman"/>
                <w:highlight w:val="none"/>
              </w:rPr>
              <w:t>基建期、生产期</w:t>
            </w:r>
          </w:p>
        </w:tc>
        <w:tc>
          <w:tcPr>
            <w:tcW w:w="2733" w:type="dxa"/>
            <w:vAlign w:val="center"/>
          </w:tcPr>
          <w:p w14:paraId="11CD299B">
            <w:pPr>
              <w:pStyle w:val="72"/>
              <w:ind w:firstLine="0" w:firstLineChars="0"/>
              <w:rPr>
                <w:rFonts w:ascii="Times New Roman" w:hAnsi="Times New Roman"/>
                <w:highlight w:val="none"/>
              </w:rPr>
            </w:pPr>
            <w:r>
              <w:rPr>
                <w:rFonts w:hint="eastAsia" w:ascii="Times New Roman" w:hAnsi="Times New Roman"/>
                <w:highlight w:val="none"/>
              </w:rPr>
              <w:t>拟损毁</w:t>
            </w:r>
          </w:p>
        </w:tc>
      </w:tr>
    </w:tbl>
    <w:p w14:paraId="7DEC9201">
      <w:pPr>
        <w:ind w:firstLine="562"/>
        <w:rPr>
          <w:b/>
          <w:bCs/>
          <w:highlight w:val="none"/>
        </w:rPr>
      </w:pPr>
      <w:r>
        <w:rPr>
          <w:b/>
          <w:bCs/>
          <w:highlight w:val="none"/>
        </w:rPr>
        <w:t>2.矿山地质环境破坏预测</w:t>
      </w:r>
    </w:p>
    <w:p w14:paraId="77AA380E">
      <w:pPr>
        <w:ind w:firstLine="562"/>
        <w:rPr>
          <w:b/>
          <w:bCs/>
          <w:szCs w:val="28"/>
        </w:rPr>
      </w:pPr>
      <w:r>
        <w:rPr>
          <w:b/>
          <w:bCs/>
          <w:szCs w:val="28"/>
        </w:rPr>
        <w:t>（1）地质灾害预测</w:t>
      </w:r>
    </w:p>
    <w:p w14:paraId="42092D73">
      <w:pPr>
        <w:ind w:firstLine="560"/>
        <w:rPr>
          <w:rFonts w:hint="default" w:ascii="宋体" w:hAnsi="宋体" w:eastAsia="宋体" w:cs="宋体"/>
          <w:szCs w:val="28"/>
          <w:lang w:val="en-US" w:eastAsia="zh-CN"/>
        </w:rPr>
      </w:pPr>
      <w:r>
        <w:rPr>
          <w:rFonts w:hint="eastAsia" w:ascii="宋体" w:hAnsi="宋体" w:cs="宋体"/>
          <w:szCs w:val="28"/>
        </w:rPr>
        <w:t>吉林</w:t>
      </w:r>
      <w:r>
        <w:rPr>
          <w:rFonts w:hint="eastAsia" w:ascii="宋体" w:hAnsi="宋体" w:cs="宋体"/>
          <w:szCs w:val="28"/>
          <w:lang w:eastAsia="zh-CN"/>
        </w:rPr>
        <w:t>二道滑石矿</w:t>
      </w:r>
      <w:r>
        <w:rPr>
          <w:rFonts w:hint="eastAsia" w:ascii="宋体" w:hAnsi="宋体" w:cs="宋体"/>
          <w:szCs w:val="28"/>
        </w:rPr>
        <w:t>公司</w:t>
      </w:r>
      <w:r>
        <w:rPr>
          <w:rFonts w:hint="eastAsia" w:ascii="宋体" w:hAnsi="宋体" w:cs="宋体"/>
          <w:szCs w:val="28"/>
          <w:lang w:eastAsia="zh-CN"/>
        </w:rPr>
        <w:t>滑石</w:t>
      </w:r>
      <w:r>
        <w:rPr>
          <w:rFonts w:hint="eastAsia" w:ascii="宋体" w:hAnsi="宋体" w:cs="宋体"/>
          <w:szCs w:val="28"/>
        </w:rPr>
        <w:t>矿设计采用地下开采的方式，开采</w:t>
      </w:r>
      <w:r>
        <w:rPr>
          <w:rFonts w:hint="eastAsia" w:ascii="宋体" w:hAnsi="宋体" w:cs="宋体"/>
          <w:szCs w:val="28"/>
          <w:lang w:eastAsia="zh-CN"/>
        </w:rPr>
        <w:t>滑石</w:t>
      </w:r>
      <w:r>
        <w:rPr>
          <w:rFonts w:hint="eastAsia" w:ascii="宋体" w:hAnsi="宋体" w:cs="宋体"/>
          <w:szCs w:val="28"/>
        </w:rPr>
        <w:t>层，平均累计可采</w:t>
      </w:r>
      <w:r>
        <w:rPr>
          <w:rFonts w:hint="eastAsia" w:ascii="宋体" w:hAnsi="宋体" w:cs="宋体"/>
          <w:szCs w:val="28"/>
          <w:lang w:eastAsia="zh-CN"/>
        </w:rPr>
        <w:t>滑石</w:t>
      </w:r>
      <w:r>
        <w:rPr>
          <w:rFonts w:hint="eastAsia" w:ascii="宋体" w:hAnsi="宋体" w:cs="宋体"/>
          <w:szCs w:val="28"/>
        </w:rPr>
        <w:t>层厚度</w:t>
      </w:r>
      <w:r>
        <w:rPr>
          <w:rFonts w:ascii="宋体" w:hAnsi="宋体" w:cs="宋体"/>
          <w:szCs w:val="28"/>
        </w:rPr>
        <w:t>13.55</w:t>
      </w:r>
      <w:r>
        <w:rPr>
          <w:rFonts w:hint="eastAsia" w:ascii="宋体" w:hAnsi="宋体" w:cs="宋体"/>
          <w:szCs w:val="28"/>
        </w:rPr>
        <w:t>m，属于厚</w:t>
      </w:r>
      <w:r>
        <w:rPr>
          <w:rFonts w:hint="eastAsia" w:ascii="宋体" w:hAnsi="宋体" w:cs="宋体"/>
          <w:szCs w:val="28"/>
          <w:lang w:eastAsia="zh-CN"/>
        </w:rPr>
        <w:t>滑石</w:t>
      </w:r>
      <w:r>
        <w:rPr>
          <w:rFonts w:hint="eastAsia" w:ascii="宋体" w:hAnsi="宋体" w:cs="宋体"/>
          <w:szCs w:val="28"/>
        </w:rPr>
        <w:t>层，赋存标高-400～-600m。从未有地质灾害发生，未引发地面开裂和塌陷变形。</w:t>
      </w:r>
      <w:r>
        <w:rPr>
          <w:rFonts w:ascii="宋体" w:hAnsi="宋体" w:eastAsia="宋体" w:cs="宋体"/>
          <w:spacing w:val="3"/>
          <w:sz w:val="28"/>
          <w:szCs w:val="28"/>
        </w:rPr>
        <w:t>采至最上部回风中段结束开采后，采取废石复充及低浓度水泥砂浆灌注方式，有效控制地表岩移，不会造成地表塌陷。使用房柱法采矿的矿体厚度薄，埋藏深度大。按照硅藻土开采实际及相关研究报告，可以确定其采</w:t>
      </w:r>
      <w:r>
        <w:rPr>
          <w:rFonts w:ascii="宋体" w:hAnsi="宋体" w:eastAsia="宋体" w:cs="宋体"/>
          <w:spacing w:val="-1"/>
          <w:sz w:val="28"/>
          <w:szCs w:val="28"/>
        </w:rPr>
        <w:t>场冒落范围不会波及地表，造成地表塌陷</w:t>
      </w:r>
      <w:r>
        <w:rPr>
          <w:rFonts w:hint="eastAsia" w:ascii="宋体" w:hAnsi="宋体" w:eastAsia="宋体" w:cs="宋体"/>
          <w:spacing w:val="-1"/>
          <w:sz w:val="28"/>
          <w:szCs w:val="28"/>
          <w:lang w:eastAsia="zh-CN"/>
        </w:rPr>
        <w:t>。</w:t>
      </w:r>
      <w:r>
        <w:rPr>
          <w:rFonts w:hint="eastAsia" w:ascii="宋体" w:hAnsi="宋体" w:eastAsia="宋体" w:cs="宋体"/>
          <w:spacing w:val="-1"/>
          <w:sz w:val="28"/>
          <w:szCs w:val="28"/>
          <w:lang w:val="en-US" w:eastAsia="zh-CN"/>
        </w:rPr>
        <w:t>但是有可能出现地裂缝。</w:t>
      </w:r>
    </w:p>
    <w:p w14:paraId="154A371B">
      <w:pPr>
        <w:ind w:firstLine="537" w:firstLineChars="192"/>
        <w:rPr>
          <w:rFonts w:hint="eastAsia" w:ascii="宋体" w:hAnsi="宋体" w:cs="宋体"/>
          <w:szCs w:val="28"/>
        </w:rPr>
      </w:pPr>
      <w:r>
        <w:rPr>
          <w:rFonts w:hint="eastAsia" w:ascii="宋体" w:hAnsi="宋体" w:cs="宋体"/>
          <w:szCs w:val="28"/>
        </w:rPr>
        <w:t>预测分析矿山未来开采引发</w:t>
      </w:r>
      <w:r>
        <w:rPr>
          <w:rFonts w:hint="eastAsia" w:ascii="宋体" w:hAnsi="宋体" w:cs="宋体"/>
          <w:szCs w:val="28"/>
          <w:lang w:val="en-US" w:eastAsia="zh-CN"/>
        </w:rPr>
        <w:t>地裂缝</w:t>
      </w:r>
      <w:r>
        <w:rPr>
          <w:rFonts w:hint="eastAsia" w:ascii="宋体" w:hAnsi="宋体" w:cs="宋体"/>
          <w:szCs w:val="28"/>
        </w:rPr>
        <w:t>地质灾害的可能性大，但</w:t>
      </w:r>
      <w:r>
        <w:rPr>
          <w:rFonts w:hint="eastAsia" w:ascii="宋体" w:hAnsi="宋体" w:cs="宋体"/>
          <w:szCs w:val="28"/>
          <w:lang w:eastAsia="zh-CN"/>
        </w:rPr>
        <w:t>地裂缝</w:t>
      </w:r>
      <w:r>
        <w:rPr>
          <w:rFonts w:hint="eastAsia" w:ascii="宋体" w:hAnsi="宋体" w:cs="宋体"/>
          <w:szCs w:val="28"/>
        </w:rPr>
        <w:t>大部分位于山区林地，</w:t>
      </w:r>
      <w:r>
        <w:rPr>
          <w:rFonts w:hint="eastAsia" w:ascii="宋体" w:hAnsi="宋体" w:cs="宋体"/>
          <w:szCs w:val="28"/>
          <w:lang w:eastAsia="zh-CN"/>
        </w:rPr>
        <w:t>地裂缝</w:t>
      </w:r>
      <w:r>
        <w:rPr>
          <w:rFonts w:hint="eastAsia" w:ascii="宋体" w:hAnsi="宋体" w:cs="宋体"/>
          <w:szCs w:val="28"/>
        </w:rPr>
        <w:t>的</w:t>
      </w:r>
      <w:r>
        <w:rPr>
          <w:rFonts w:hint="eastAsia" w:ascii="宋体" w:hAnsi="宋体" w:cs="宋体"/>
          <w:szCs w:val="28"/>
          <w:lang w:val="en-US" w:eastAsia="zh-CN"/>
        </w:rPr>
        <w:t>威胁</w:t>
      </w:r>
      <w:r>
        <w:rPr>
          <w:rFonts w:hint="eastAsia" w:ascii="宋体" w:hAnsi="宋体" w:cs="宋体"/>
          <w:szCs w:val="28"/>
        </w:rPr>
        <w:t>人数</w:t>
      </w:r>
      <w:r>
        <w:rPr>
          <w:rFonts w:hint="eastAsia" w:ascii="宋体" w:hAnsi="宋体" w:cs="宋体"/>
          <w:szCs w:val="28"/>
          <w:lang w:val="en-US" w:eastAsia="zh-CN"/>
        </w:rPr>
        <w:t>小</w:t>
      </w:r>
      <w:r>
        <w:rPr>
          <w:rFonts w:hint="eastAsia" w:ascii="宋体" w:hAnsi="宋体" w:cs="宋体"/>
          <w:szCs w:val="28"/>
        </w:rPr>
        <w:t>于10人，可能造成的直接经济损失小于100万，故预测矿山</w:t>
      </w:r>
      <w:r>
        <w:rPr>
          <w:rFonts w:hint="eastAsia" w:ascii="宋体" w:hAnsi="宋体" w:cs="宋体"/>
          <w:szCs w:val="28"/>
          <w:lang w:val="en-US" w:eastAsia="zh-CN"/>
        </w:rPr>
        <w:t>地裂缝</w:t>
      </w:r>
      <w:r>
        <w:rPr>
          <w:rFonts w:hint="eastAsia" w:ascii="宋体" w:hAnsi="宋体" w:cs="宋体"/>
          <w:szCs w:val="28"/>
        </w:rPr>
        <w:t>地质灾害危险性</w:t>
      </w:r>
      <w:r>
        <w:rPr>
          <w:rFonts w:hint="eastAsia" w:ascii="宋体" w:hAnsi="宋体" w:cs="宋体"/>
          <w:szCs w:val="28"/>
          <w:lang w:val="en-US" w:eastAsia="zh-CN"/>
        </w:rPr>
        <w:t>小</w:t>
      </w:r>
      <w:r>
        <w:rPr>
          <w:rFonts w:hint="eastAsia" w:ascii="宋体" w:hAnsi="宋体" w:cs="宋体"/>
          <w:szCs w:val="28"/>
        </w:rPr>
        <w:t>。</w:t>
      </w:r>
    </w:p>
    <w:p w14:paraId="48B21655">
      <w:pPr>
        <w:spacing w:line="240" w:lineRule="auto"/>
        <w:ind w:firstLine="0" w:firstLineChars="0"/>
        <w:rPr>
          <w:rFonts w:hint="eastAsia" w:ascii="宋体" w:hAnsi="宋体" w:eastAsia="宋体" w:cs="宋体"/>
          <w:szCs w:val="28"/>
          <w:lang w:eastAsia="zh-CN"/>
        </w:rPr>
      </w:pPr>
      <w:r>
        <w:rPr>
          <w:rFonts w:hint="eastAsia" w:ascii="宋体" w:hAnsi="宋体" w:eastAsia="宋体" w:cs="宋体"/>
          <w:szCs w:val="28"/>
          <w:lang w:eastAsia="zh-CN"/>
        </w:rPr>
        <w:drawing>
          <wp:inline distT="0" distB="0" distL="114300" distR="114300">
            <wp:extent cx="5330190" cy="4768215"/>
            <wp:effectExtent l="9525" t="9525" r="13335" b="22860"/>
            <wp:docPr id="9" name="图片 9" descr="二道滑石矿附图3-4-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二道滑石矿附图3-4-Model"/>
                    <pic:cNvPicPr>
                      <a:picLocks noChangeAspect="1"/>
                    </pic:cNvPicPr>
                  </pic:nvPicPr>
                  <pic:blipFill>
                    <a:blip r:embed="rId32"/>
                    <a:srcRect l="5420" t="348" r="4670" b="-884"/>
                    <a:stretch>
                      <a:fillRect/>
                    </a:stretch>
                  </pic:blipFill>
                  <pic:spPr>
                    <a:xfrm>
                      <a:off x="0" y="0"/>
                      <a:ext cx="5330190" cy="4768215"/>
                    </a:xfrm>
                    <a:prstGeom prst="rect">
                      <a:avLst/>
                    </a:prstGeom>
                    <a:ln>
                      <a:solidFill>
                        <a:schemeClr val="tx1"/>
                      </a:solidFill>
                    </a:ln>
                  </pic:spPr>
                </pic:pic>
              </a:graphicData>
            </a:graphic>
          </wp:inline>
        </w:drawing>
      </w:r>
    </w:p>
    <w:p w14:paraId="05EA515F">
      <w:pPr>
        <w:pStyle w:val="66"/>
        <w:rPr>
          <w:rFonts w:hint="eastAsia"/>
        </w:rPr>
      </w:pPr>
      <w:r>
        <w:rPr>
          <w:rFonts w:hint="eastAsia"/>
        </w:rPr>
        <w:t>图3-3</w:t>
      </w:r>
      <w:r>
        <w:rPr>
          <w:rFonts w:hint="eastAsia"/>
          <w:lang w:eastAsia="zh-CN"/>
        </w:rPr>
        <w:t>地裂缝</w:t>
      </w:r>
      <w:r>
        <w:rPr>
          <w:rFonts w:hint="eastAsia"/>
        </w:rPr>
        <w:t>范围</w:t>
      </w:r>
    </w:p>
    <w:p w14:paraId="46D72712">
      <w:pPr>
        <w:ind w:firstLine="562"/>
        <w:rPr>
          <w:b/>
          <w:bCs/>
          <w:kern w:val="0"/>
          <w:szCs w:val="28"/>
        </w:rPr>
      </w:pPr>
      <w:r>
        <w:rPr>
          <w:b/>
          <w:bCs/>
          <w:kern w:val="0"/>
          <w:szCs w:val="28"/>
        </w:rPr>
        <w:t>（2）矿区含水层破坏预测</w:t>
      </w:r>
    </w:p>
    <w:p w14:paraId="48E92529">
      <w:pPr>
        <w:ind w:firstLine="560"/>
        <w:rPr>
          <w:kern w:val="0"/>
          <w:szCs w:val="28"/>
        </w:rPr>
      </w:pPr>
      <w:r>
        <w:rPr>
          <w:rFonts w:hint="eastAsia"/>
          <w:kern w:val="0"/>
          <w:szCs w:val="28"/>
        </w:rPr>
        <w:t>①对含水层结构的影响</w:t>
      </w:r>
    </w:p>
    <w:p w14:paraId="60D618E3">
      <w:pPr>
        <w:ind w:firstLine="560"/>
        <w:rPr>
          <w:rFonts w:hint="default" w:ascii="Times New Roman" w:hAnsi="Times New Roman" w:cs="Times New Roman"/>
          <w:color w:val="000000"/>
          <w:szCs w:val="28"/>
        </w:rPr>
      </w:pPr>
      <w:r>
        <w:rPr>
          <w:rFonts w:hint="default" w:ascii="Times New Roman" w:hAnsi="Times New Roman" w:cs="Times New Roman"/>
          <w:color w:val="000000"/>
          <w:szCs w:val="28"/>
        </w:rPr>
        <w:t>据矿山资料，</w:t>
      </w:r>
      <w:r>
        <w:rPr>
          <w:rFonts w:hint="default" w:ascii="Times New Roman" w:hAnsi="Times New Roman" w:cs="Times New Roman"/>
          <w:color w:val="000000"/>
          <w:szCs w:val="28"/>
          <w:lang w:eastAsia="zh-CN"/>
        </w:rPr>
        <w:t>矿山</w:t>
      </w:r>
      <w:r>
        <w:rPr>
          <w:rFonts w:hint="default" w:ascii="Times New Roman" w:hAnsi="Times New Roman" w:cs="Times New Roman"/>
          <w:color w:val="000000"/>
          <w:szCs w:val="28"/>
        </w:rPr>
        <w:t>开采深度由+</w:t>
      </w:r>
      <w:r>
        <w:rPr>
          <w:rFonts w:hint="default" w:ascii="Times New Roman" w:hAnsi="Times New Roman" w:cs="Times New Roman"/>
          <w:color w:val="000000"/>
          <w:szCs w:val="28"/>
          <w:lang w:val="en-US" w:eastAsia="zh-CN"/>
        </w:rPr>
        <w:t>581</w:t>
      </w:r>
      <w:r>
        <w:rPr>
          <w:rFonts w:hint="default" w:ascii="Times New Roman" w:hAnsi="Times New Roman" w:cs="Times New Roman"/>
          <w:color w:val="000000"/>
          <w:szCs w:val="28"/>
        </w:rPr>
        <w:t>m至+</w:t>
      </w:r>
      <w:r>
        <w:rPr>
          <w:rFonts w:hint="default" w:ascii="Times New Roman" w:hAnsi="Times New Roman" w:cs="Times New Roman"/>
          <w:color w:val="000000"/>
          <w:szCs w:val="28"/>
          <w:lang w:val="en-US" w:eastAsia="zh-CN"/>
        </w:rPr>
        <w:t>352</w:t>
      </w:r>
      <w:r>
        <w:rPr>
          <w:rFonts w:hint="default" w:ascii="Times New Roman" w:hAnsi="Times New Roman" w:cs="Times New Roman"/>
          <w:color w:val="000000"/>
          <w:szCs w:val="28"/>
        </w:rPr>
        <w:t>m，主井口标高+520m，</w:t>
      </w:r>
      <w:r>
        <w:rPr>
          <w:rFonts w:hint="default" w:ascii="Times New Roman" w:hAnsi="Times New Roman" w:cs="Times New Roman"/>
          <w:color w:val="000000"/>
          <w:szCs w:val="28"/>
          <w:lang w:eastAsia="zh-CN"/>
        </w:rPr>
        <w:t>矿山</w:t>
      </w:r>
      <w:r>
        <w:rPr>
          <w:rFonts w:hint="default" w:ascii="Times New Roman" w:hAnsi="Times New Roman" w:cs="Times New Roman"/>
          <w:color w:val="000000"/>
          <w:szCs w:val="28"/>
        </w:rPr>
        <w:t>继续开采范围扩大，开采深度继续增加，矿坑涌水量将会有所增加，预测评估矿山生产活动对含水层结构破坏较严重。</w:t>
      </w:r>
    </w:p>
    <w:p w14:paraId="5A7A1B55">
      <w:pPr>
        <w:widowControl/>
        <w:ind w:left="-13" w:firstLine="560"/>
        <w:rPr>
          <w:rFonts w:hint="default" w:ascii="Times New Roman" w:hAnsi="Times New Roman" w:cs="Times New Roman"/>
          <w:color w:val="000000"/>
          <w:szCs w:val="28"/>
        </w:rPr>
      </w:pPr>
      <w:r>
        <w:rPr>
          <w:rFonts w:hint="default" w:ascii="Times New Roman" w:hAnsi="Times New Roman" w:cs="Times New Roman"/>
          <w:color w:val="000000"/>
          <w:szCs w:val="28"/>
        </w:rPr>
        <w:t>②采矿活动对地下含水层水位的影响</w:t>
      </w:r>
    </w:p>
    <w:p w14:paraId="1977772E">
      <w:pPr>
        <w:ind w:firstLine="560"/>
        <w:rPr>
          <w:rFonts w:hint="default" w:ascii="Times New Roman" w:hAnsi="Times New Roman" w:cs="Times New Roman"/>
          <w:szCs w:val="28"/>
        </w:rPr>
      </w:pPr>
      <w:r>
        <w:rPr>
          <w:rFonts w:hint="default" w:ascii="Times New Roman" w:hAnsi="Times New Roman" w:cs="Times New Roman"/>
          <w:color w:val="000000"/>
          <w:szCs w:val="28"/>
        </w:rPr>
        <w:t>井下疏排地下水导致地下水水位下降，影响范围采用大井法进行预测，该井田疏排水影响半径按下式计算：</w:t>
      </w:r>
    </w:p>
    <w:p w14:paraId="35CDC1B9">
      <w:pPr>
        <w:spacing w:before="210" w:line="226" w:lineRule="auto"/>
        <w:ind w:left="2775"/>
        <w:rPr>
          <w:rFonts w:hint="default" w:ascii="Times New Roman" w:hAnsi="Times New Roman" w:eastAsia="宋体" w:cs="Times New Roman"/>
          <w:sz w:val="28"/>
          <w:szCs w:val="28"/>
        </w:rPr>
      </w:pPr>
      <w:r>
        <w:rPr>
          <w:rFonts w:hint="default" w:ascii="Times New Roman" w:hAnsi="Times New Roman" w:eastAsia="宋体" w:cs="Times New Roman"/>
          <w:spacing w:val="-1"/>
          <w:sz w:val="28"/>
          <w:szCs w:val="28"/>
        </w:rPr>
        <w:t>Q=﹝1.366K(2H-S)S﹞/(lgR</w:t>
      </w:r>
      <w:r>
        <w:rPr>
          <w:rFonts w:hint="default" w:ascii="Times New Roman" w:hAnsi="Times New Roman" w:eastAsia="宋体" w:cs="Times New Roman"/>
          <w:spacing w:val="-1"/>
          <w:position w:val="-3"/>
          <w:sz w:val="13"/>
          <w:szCs w:val="13"/>
        </w:rPr>
        <w:t>0</w:t>
      </w:r>
      <w:r>
        <w:rPr>
          <w:rFonts w:hint="default" w:ascii="Times New Roman" w:hAnsi="Times New Roman" w:eastAsia="宋体" w:cs="Times New Roman"/>
          <w:spacing w:val="-1"/>
          <w:sz w:val="28"/>
          <w:szCs w:val="28"/>
        </w:rPr>
        <w:t>-lgr</w:t>
      </w:r>
      <w:r>
        <w:rPr>
          <w:rFonts w:hint="default" w:ascii="Times New Roman" w:hAnsi="Times New Roman" w:eastAsia="宋体" w:cs="Times New Roman"/>
          <w:spacing w:val="-1"/>
          <w:position w:val="-3"/>
          <w:sz w:val="13"/>
          <w:szCs w:val="13"/>
        </w:rPr>
        <w:t>0</w:t>
      </w:r>
      <w:r>
        <w:rPr>
          <w:rFonts w:hint="default" w:ascii="Times New Roman" w:hAnsi="Times New Roman" w:eastAsia="宋体" w:cs="Times New Roman"/>
          <w:spacing w:val="-1"/>
          <w:sz w:val="28"/>
          <w:szCs w:val="28"/>
        </w:rPr>
        <w:t>)</w:t>
      </w:r>
    </w:p>
    <w:p w14:paraId="30601BAF">
      <w:pPr>
        <w:spacing w:before="201" w:line="221" w:lineRule="auto"/>
        <w:ind w:left="568"/>
        <w:rPr>
          <w:rFonts w:hint="default" w:ascii="Times New Roman" w:hAnsi="Times New Roman" w:eastAsia="宋体" w:cs="Times New Roman"/>
          <w:sz w:val="28"/>
          <w:szCs w:val="28"/>
        </w:rPr>
      </w:pPr>
      <w:r>
        <w:rPr>
          <w:rFonts w:hint="default" w:ascii="Times New Roman" w:hAnsi="Times New Roman" w:eastAsia="宋体" w:cs="Times New Roman"/>
          <w:spacing w:val="-5"/>
          <w:sz w:val="28"/>
          <w:szCs w:val="28"/>
        </w:rPr>
        <w:t>式中：</w:t>
      </w:r>
    </w:p>
    <w:p w14:paraId="68DBF690">
      <w:pPr>
        <w:spacing w:before="210" w:line="220" w:lineRule="auto"/>
        <w:ind w:left="558"/>
        <w:rPr>
          <w:rFonts w:hint="default" w:ascii="Times New Roman" w:hAnsi="Times New Roman" w:eastAsia="宋体" w:cs="Times New Roman"/>
          <w:sz w:val="28"/>
          <w:szCs w:val="28"/>
        </w:rPr>
      </w:pPr>
      <w:r>
        <w:rPr>
          <w:rFonts w:hint="default" w:ascii="Times New Roman" w:hAnsi="Times New Roman" w:eastAsia="宋体" w:cs="Times New Roman"/>
          <w:spacing w:val="-1"/>
          <w:sz w:val="28"/>
          <w:szCs w:val="28"/>
        </w:rPr>
        <w:t>K—根据抽水试验成果，取0.04356m/d；</w:t>
      </w:r>
    </w:p>
    <w:p w14:paraId="6CA9DC60">
      <w:pPr>
        <w:spacing w:before="211" w:line="220" w:lineRule="auto"/>
        <w:ind w:left="556"/>
        <w:rPr>
          <w:rFonts w:hint="default" w:ascii="Times New Roman" w:hAnsi="Times New Roman" w:eastAsia="宋体" w:cs="Times New Roman"/>
          <w:sz w:val="28"/>
          <w:szCs w:val="28"/>
        </w:rPr>
      </w:pPr>
      <w:r>
        <w:rPr>
          <w:rFonts w:hint="default" w:ascii="Times New Roman" w:hAnsi="Times New Roman" w:eastAsia="宋体" w:cs="Times New Roman"/>
          <w:spacing w:val="-2"/>
          <w:sz w:val="28"/>
          <w:szCs w:val="28"/>
        </w:rPr>
        <w:t>H—潜水水层高度（m</w:t>
      </w:r>
      <w:r>
        <w:rPr>
          <w:rFonts w:hint="default" w:ascii="Times New Roman" w:hAnsi="Times New Roman" w:eastAsia="宋体" w:cs="Times New Roman"/>
          <w:spacing w:val="7"/>
          <w:sz w:val="28"/>
          <w:szCs w:val="28"/>
        </w:rPr>
        <w:t>），</w:t>
      </w:r>
      <w:r>
        <w:rPr>
          <w:rFonts w:hint="default" w:ascii="Times New Roman" w:hAnsi="Times New Roman" w:eastAsia="宋体" w:cs="Times New Roman"/>
          <w:spacing w:val="-2"/>
          <w:sz w:val="28"/>
          <w:szCs w:val="28"/>
        </w:rPr>
        <w:t>取值38.50m；</w:t>
      </w:r>
    </w:p>
    <w:p w14:paraId="3C5DAA72">
      <w:pPr>
        <w:spacing w:before="211" w:line="220" w:lineRule="auto"/>
        <w:ind w:left="563"/>
        <w:rPr>
          <w:rFonts w:hint="default" w:ascii="Times New Roman" w:hAnsi="Times New Roman" w:eastAsia="宋体" w:cs="Times New Roman"/>
          <w:sz w:val="28"/>
          <w:szCs w:val="28"/>
        </w:rPr>
      </w:pPr>
      <w:r>
        <w:rPr>
          <w:rFonts w:hint="default" w:ascii="Times New Roman" w:hAnsi="Times New Roman" w:eastAsia="宋体" w:cs="Times New Roman"/>
          <w:spacing w:val="-2"/>
          <w:sz w:val="28"/>
          <w:szCs w:val="28"/>
        </w:rPr>
        <w:t>S—水位降深值（m</w:t>
      </w:r>
      <w:r>
        <w:rPr>
          <w:rFonts w:hint="default" w:ascii="Times New Roman" w:hAnsi="Times New Roman" w:eastAsia="宋体" w:cs="Times New Roman"/>
          <w:spacing w:val="7"/>
          <w:sz w:val="28"/>
          <w:szCs w:val="28"/>
        </w:rPr>
        <w:t>），</w:t>
      </w:r>
      <w:r>
        <w:rPr>
          <w:rFonts w:hint="default" w:ascii="Times New Roman" w:hAnsi="Times New Roman" w:eastAsia="宋体" w:cs="Times New Roman"/>
          <w:spacing w:val="-2"/>
          <w:sz w:val="28"/>
          <w:szCs w:val="28"/>
        </w:rPr>
        <w:t>取值46.57m；</w:t>
      </w:r>
    </w:p>
    <w:p w14:paraId="4680EEE7">
      <w:pPr>
        <w:spacing w:before="211" w:line="232" w:lineRule="auto"/>
        <w:ind w:left="560"/>
        <w:rPr>
          <w:rFonts w:hint="default" w:ascii="Times New Roman" w:hAnsi="Times New Roman" w:eastAsia="宋体" w:cs="Times New Roman"/>
          <w:sz w:val="28"/>
          <w:szCs w:val="28"/>
        </w:rPr>
      </w:pPr>
      <w:r>
        <w:rPr>
          <w:rFonts w:hint="default" w:ascii="Times New Roman" w:hAnsi="Times New Roman" w:eastAsia="宋体" w:cs="Times New Roman"/>
          <w:spacing w:val="-1"/>
          <w:sz w:val="28"/>
          <w:szCs w:val="28"/>
        </w:rPr>
        <w:t>R</w:t>
      </w:r>
      <w:r>
        <w:rPr>
          <w:rFonts w:hint="default" w:ascii="Times New Roman" w:hAnsi="Times New Roman" w:eastAsia="宋体" w:cs="Times New Roman"/>
          <w:spacing w:val="-1"/>
          <w:position w:val="-3"/>
          <w:sz w:val="13"/>
          <w:szCs w:val="13"/>
        </w:rPr>
        <w:t>0</w:t>
      </w:r>
      <w:r>
        <w:rPr>
          <w:rFonts w:hint="default" w:ascii="Times New Roman" w:hAnsi="Times New Roman" w:eastAsia="宋体" w:cs="Times New Roman"/>
          <w:spacing w:val="-1"/>
          <w:sz w:val="28"/>
          <w:szCs w:val="28"/>
        </w:rPr>
        <w:t>—引用影响半径（m</w:t>
      </w:r>
      <w:r>
        <w:rPr>
          <w:rFonts w:hint="default" w:ascii="Times New Roman" w:hAnsi="Times New Roman" w:eastAsia="宋体" w:cs="Times New Roman"/>
          <w:spacing w:val="11"/>
          <w:sz w:val="28"/>
          <w:szCs w:val="28"/>
        </w:rPr>
        <w:t>），</w:t>
      </w:r>
      <w:r>
        <w:rPr>
          <w:rFonts w:hint="default" w:ascii="Times New Roman" w:hAnsi="Times New Roman" w:eastAsia="宋体" w:cs="Times New Roman"/>
          <w:spacing w:val="-1"/>
          <w:sz w:val="28"/>
          <w:szCs w:val="28"/>
        </w:rPr>
        <w:t>R</w:t>
      </w:r>
      <w:r>
        <w:rPr>
          <w:rFonts w:hint="default" w:ascii="Times New Roman" w:hAnsi="Times New Roman" w:eastAsia="宋体" w:cs="Times New Roman"/>
          <w:spacing w:val="-1"/>
          <w:position w:val="-3"/>
          <w:sz w:val="13"/>
          <w:szCs w:val="13"/>
        </w:rPr>
        <w:t>0</w:t>
      </w:r>
      <w:r>
        <w:rPr>
          <w:rFonts w:hint="default" w:ascii="Times New Roman" w:hAnsi="Times New Roman" w:eastAsia="宋体" w:cs="Times New Roman"/>
          <w:spacing w:val="-1"/>
          <w:sz w:val="28"/>
          <w:szCs w:val="28"/>
        </w:rPr>
        <w:t>=R+r</w:t>
      </w:r>
      <w:r>
        <w:rPr>
          <w:rFonts w:hint="default" w:ascii="Times New Roman" w:hAnsi="Times New Roman" w:eastAsia="宋体" w:cs="Times New Roman"/>
          <w:spacing w:val="-1"/>
          <w:position w:val="-3"/>
          <w:sz w:val="13"/>
          <w:szCs w:val="13"/>
        </w:rPr>
        <w:t>0</w:t>
      </w:r>
      <w:r>
        <w:rPr>
          <w:rFonts w:hint="default" w:ascii="Times New Roman" w:hAnsi="Times New Roman" w:eastAsia="宋体" w:cs="Times New Roman"/>
          <w:spacing w:val="-1"/>
          <w:sz w:val="28"/>
          <w:szCs w:val="28"/>
        </w:rPr>
        <w:t>；</w:t>
      </w:r>
    </w:p>
    <w:p w14:paraId="43F41944">
      <w:pPr>
        <w:pStyle w:val="18"/>
        <w:spacing w:before="193" w:line="195" w:lineRule="auto"/>
        <w:ind w:left="560"/>
        <w:rPr>
          <w:rFonts w:hint="default" w:ascii="Times New Roman" w:hAnsi="Times New Roman" w:cs="Times New Roman"/>
          <w:sz w:val="23"/>
          <w:szCs w:val="23"/>
        </w:rPr>
      </w:pPr>
      <w:r>
        <w:rPr>
          <w:rFonts w:hint="default" w:ascii="Times New Roman" w:hAnsi="Times New Roman" w:eastAsia="宋体" w:cs="Times New Roman"/>
          <w:position w:val="2"/>
          <w:sz w:val="28"/>
          <w:szCs w:val="28"/>
        </w:rPr>
        <w:t>R—影响半径（m</w:t>
      </w:r>
      <w:r>
        <w:rPr>
          <w:rFonts w:hint="default" w:ascii="Times New Roman" w:hAnsi="Times New Roman" w:eastAsia="宋体" w:cs="Times New Roman"/>
          <w:spacing w:val="23"/>
          <w:position w:val="2"/>
          <w:sz w:val="28"/>
          <w:szCs w:val="28"/>
        </w:rPr>
        <w:t>）</w:t>
      </w:r>
      <w:r>
        <w:rPr>
          <w:rFonts w:hint="default" w:ascii="Times New Roman" w:hAnsi="Times New Roman" w:eastAsia="宋体" w:cs="Times New Roman"/>
          <w:spacing w:val="23"/>
          <w:position w:val="-5"/>
          <w:sz w:val="28"/>
          <w:szCs w:val="28"/>
        </w:rPr>
        <w:t>，</w:t>
      </w:r>
      <w:r>
        <w:rPr>
          <w:rFonts w:hint="default" w:ascii="Times New Roman" w:hAnsi="Times New Roman" w:eastAsia="Times New Roman" w:cs="Times New Roman"/>
          <w:i/>
          <w:iCs/>
          <w:sz w:val="23"/>
          <w:szCs w:val="23"/>
        </w:rPr>
        <w:t>R</w:t>
      </w:r>
      <w:r>
        <w:rPr>
          <w:rFonts w:hint="default" w:ascii="Times New Roman" w:hAnsi="Times New Roman" w:cs="Times New Roman"/>
          <w:position w:val="-1"/>
          <w:sz w:val="23"/>
          <w:szCs w:val="23"/>
        </w:rPr>
        <w:t>=</w:t>
      </w:r>
      <w:r>
        <w:rPr>
          <w:rFonts w:hint="default" w:ascii="Times New Roman" w:hAnsi="Times New Roman" w:eastAsia="Times New Roman" w:cs="Times New Roman"/>
          <w:sz w:val="23"/>
          <w:szCs w:val="23"/>
        </w:rPr>
        <w:t>2</w:t>
      </w:r>
      <w:r>
        <w:rPr>
          <w:rFonts w:hint="default" w:ascii="Times New Roman" w:hAnsi="Times New Roman" w:eastAsia="Times New Roman" w:cs="Times New Roman"/>
          <w:i/>
          <w:iCs/>
          <w:sz w:val="23"/>
          <w:szCs w:val="23"/>
        </w:rPr>
        <w:t>S</w:t>
      </w:r>
      <w:r>
        <w:rPr>
          <w:rFonts w:hint="default" w:ascii="Times New Roman" w:hAnsi="Times New Roman" w:cs="Times New Roman"/>
          <w:position w:val="-9"/>
          <w:sz w:val="23"/>
          <w:szCs w:val="23"/>
        </w:rPr>
        <w:drawing>
          <wp:inline distT="0" distB="0" distL="0" distR="0">
            <wp:extent cx="485140" cy="205105"/>
            <wp:effectExtent l="0" t="0" r="10160" b="4445"/>
            <wp:docPr id="11" name="IM 8"/>
            <wp:cNvGraphicFramePr/>
            <a:graphic xmlns:a="http://schemas.openxmlformats.org/drawingml/2006/main">
              <a:graphicData uri="http://schemas.openxmlformats.org/drawingml/2006/picture">
                <pic:pic xmlns:pic="http://schemas.openxmlformats.org/drawingml/2006/picture">
                  <pic:nvPicPr>
                    <pic:cNvPr id="11" name="IM 8"/>
                    <pic:cNvPicPr/>
                  </pic:nvPicPr>
                  <pic:blipFill>
                    <a:blip r:embed="rId29"/>
                    <a:stretch>
                      <a:fillRect/>
                    </a:stretch>
                  </pic:blipFill>
                  <pic:spPr>
                    <a:xfrm>
                      <a:off x="0" y="0"/>
                      <a:ext cx="485639" cy="205726"/>
                    </a:xfrm>
                    <a:prstGeom prst="rect">
                      <a:avLst/>
                    </a:prstGeom>
                  </pic:spPr>
                </pic:pic>
              </a:graphicData>
            </a:graphic>
          </wp:inline>
        </w:drawing>
      </w:r>
    </w:p>
    <w:p w14:paraId="6C14EEC1">
      <w:pPr>
        <w:spacing w:before="239" w:line="232" w:lineRule="auto"/>
        <w:ind w:left="556"/>
        <w:rPr>
          <w:rFonts w:hint="default" w:ascii="Times New Roman" w:hAnsi="Times New Roman" w:eastAsia="宋体" w:cs="Times New Roman"/>
          <w:sz w:val="28"/>
          <w:szCs w:val="28"/>
        </w:rPr>
      </w:pPr>
      <w:r>
        <w:rPr>
          <w:rFonts w:hint="default" w:ascii="Times New Roman" w:hAnsi="Times New Roman" w:eastAsia="宋体" w:cs="Times New Roman"/>
          <w:sz w:val="28"/>
          <w:szCs w:val="28"/>
        </w:rPr>
        <w:t>H</w:t>
      </w:r>
      <w:r>
        <w:rPr>
          <w:rFonts w:hint="default" w:ascii="Times New Roman" w:hAnsi="Times New Roman" w:eastAsia="宋体" w:cs="Times New Roman"/>
          <w:position w:val="-3"/>
          <w:sz w:val="13"/>
          <w:szCs w:val="13"/>
        </w:rPr>
        <w:t>0</w:t>
      </w:r>
      <w:r>
        <w:rPr>
          <w:rFonts w:hint="default" w:ascii="Times New Roman" w:hAnsi="Times New Roman" w:eastAsia="宋体" w:cs="Times New Roman"/>
          <w:sz w:val="28"/>
          <w:szCs w:val="28"/>
        </w:rPr>
        <w:t>—含水层的初始水头高度，38.50m；</w:t>
      </w:r>
    </w:p>
    <w:p w14:paraId="57316B2D">
      <w:pPr>
        <w:spacing w:before="199" w:line="213" w:lineRule="auto"/>
        <w:ind w:left="560"/>
        <w:rPr>
          <w:rFonts w:hint="default" w:ascii="Times New Roman" w:hAnsi="Times New Roman" w:eastAsia="宋体" w:cs="Times New Roman"/>
          <w:sz w:val="28"/>
          <w:szCs w:val="28"/>
        </w:rPr>
      </w:pPr>
      <w:r>
        <w:rPr>
          <w:rFonts w:hint="default" w:ascii="Times New Roman" w:hAnsi="Times New Roman" w:eastAsia="宋体" w:cs="Times New Roman"/>
          <w:spacing w:val="-5"/>
          <w:position w:val="-1"/>
          <w:sz w:val="28"/>
          <w:szCs w:val="28"/>
        </w:rPr>
        <w:t>r</w:t>
      </w:r>
      <w:r>
        <w:rPr>
          <w:rFonts w:hint="default" w:ascii="Times New Roman" w:hAnsi="Times New Roman" w:eastAsia="宋体" w:cs="Times New Roman"/>
          <w:spacing w:val="-5"/>
          <w:position w:val="-5"/>
          <w:sz w:val="13"/>
          <w:szCs w:val="13"/>
        </w:rPr>
        <w:t>0</w:t>
      </w:r>
      <w:r>
        <w:rPr>
          <w:rFonts w:hint="default" w:ascii="Times New Roman" w:hAnsi="Times New Roman" w:eastAsia="宋体" w:cs="Times New Roman"/>
          <w:spacing w:val="-5"/>
          <w:position w:val="-1"/>
          <w:sz w:val="28"/>
          <w:szCs w:val="28"/>
        </w:rPr>
        <w:t>—“大井”半径，</w:t>
      </w:r>
      <w:r>
        <w:rPr>
          <w:rFonts w:hint="default" w:ascii="Times New Roman" w:hAnsi="Times New Roman" w:eastAsia="Times New Roman" w:cs="Times New Roman"/>
          <w:i/>
          <w:iCs/>
          <w:spacing w:val="-5"/>
          <w:position w:val="15"/>
          <w:sz w:val="33"/>
          <w:szCs w:val="33"/>
        </w:rPr>
        <w:t>r</w:t>
      </w:r>
      <w:r>
        <w:rPr>
          <w:rFonts w:hint="default" w:ascii="Times New Roman" w:hAnsi="Times New Roman" w:cs="Times New Roman"/>
          <w:position w:val="10"/>
          <w:sz w:val="33"/>
          <w:szCs w:val="33"/>
        </w:rPr>
        <w:drawing>
          <wp:inline distT="0" distB="0" distL="0" distR="0">
            <wp:extent cx="656590" cy="353060"/>
            <wp:effectExtent l="0" t="0" r="10160" b="8890"/>
            <wp:docPr id="12" name="IM 10"/>
            <wp:cNvGraphicFramePr/>
            <a:graphic xmlns:a="http://schemas.openxmlformats.org/drawingml/2006/main">
              <a:graphicData uri="http://schemas.openxmlformats.org/drawingml/2006/picture">
                <pic:pic xmlns:pic="http://schemas.openxmlformats.org/drawingml/2006/picture">
                  <pic:nvPicPr>
                    <pic:cNvPr id="12" name="IM 10"/>
                    <pic:cNvPicPr/>
                  </pic:nvPicPr>
                  <pic:blipFill>
                    <a:blip r:embed="rId30"/>
                    <a:stretch>
                      <a:fillRect/>
                    </a:stretch>
                  </pic:blipFill>
                  <pic:spPr>
                    <a:xfrm>
                      <a:off x="0" y="0"/>
                      <a:ext cx="657113" cy="353390"/>
                    </a:xfrm>
                    <a:prstGeom prst="rect">
                      <a:avLst/>
                    </a:prstGeom>
                  </pic:spPr>
                </pic:pic>
              </a:graphicData>
            </a:graphic>
          </wp:inline>
        </w:drawing>
      </w:r>
      <w:r>
        <w:rPr>
          <w:rFonts w:hint="default" w:ascii="Times New Roman" w:hAnsi="Times New Roman" w:eastAsia="宋体" w:cs="Times New Roman"/>
          <w:spacing w:val="-5"/>
          <w:position w:val="-1"/>
          <w:sz w:val="28"/>
          <w:szCs w:val="28"/>
        </w:rPr>
        <w:t>，F面积为18800m</w:t>
      </w:r>
      <w:r>
        <w:rPr>
          <w:rFonts w:hint="default" w:ascii="Times New Roman" w:hAnsi="Times New Roman" w:eastAsia="宋体" w:cs="Times New Roman"/>
          <w:spacing w:val="-5"/>
          <w:position w:val="12"/>
          <w:sz w:val="13"/>
          <w:szCs w:val="13"/>
        </w:rPr>
        <w:t>2</w:t>
      </w:r>
      <w:r>
        <w:rPr>
          <w:rFonts w:hint="default" w:ascii="Times New Roman" w:hAnsi="Times New Roman" w:eastAsia="宋体" w:cs="Times New Roman"/>
          <w:spacing w:val="-5"/>
          <w:position w:val="-1"/>
          <w:sz w:val="28"/>
          <w:szCs w:val="28"/>
        </w:rPr>
        <w:t>；</w:t>
      </w:r>
    </w:p>
    <w:p w14:paraId="26BFC847">
      <w:pPr>
        <w:spacing w:before="183" w:line="364" w:lineRule="auto"/>
        <w:ind w:left="1" w:right="76" w:firstLine="561"/>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根据计算结果，预测本矿区涌水量为206.81m</w:t>
      </w:r>
      <w:r>
        <w:rPr>
          <w:rFonts w:hint="default" w:ascii="Times New Roman" w:hAnsi="Times New Roman" w:eastAsia="宋体" w:cs="Times New Roman"/>
          <w:position w:val="14"/>
          <w:sz w:val="13"/>
          <w:szCs w:val="13"/>
        </w:rPr>
        <w:t>3</w:t>
      </w:r>
      <w:r>
        <w:rPr>
          <w:rFonts w:hint="default" w:ascii="Times New Roman" w:hAnsi="Times New Roman" w:eastAsia="宋体" w:cs="Times New Roman"/>
          <w:sz w:val="28"/>
          <w:szCs w:val="28"/>
        </w:rPr>
        <w:t>/d，在采矿过程中，矿坑涌水</w:t>
      </w:r>
      <w:r>
        <w:rPr>
          <w:rFonts w:hint="default" w:ascii="Times New Roman" w:hAnsi="Times New Roman" w:eastAsia="宋体" w:cs="Times New Roman"/>
          <w:spacing w:val="-1"/>
          <w:sz w:val="28"/>
          <w:szCs w:val="28"/>
        </w:rPr>
        <w:t>量随开采面积的扩大，逐步增加。</w:t>
      </w:r>
    </w:p>
    <w:p w14:paraId="77C7705D">
      <w:pPr>
        <w:widowControl/>
        <w:ind w:left="-13" w:firstLine="560"/>
        <w:rPr>
          <w:rFonts w:hint="eastAsia" w:ascii="宋体" w:hAnsi="宋体" w:cs="宋体"/>
          <w:color w:val="000000"/>
          <w:szCs w:val="28"/>
        </w:rPr>
      </w:pPr>
      <w:r>
        <w:rPr>
          <w:rFonts w:hint="eastAsia" w:ascii="宋体" w:hAnsi="宋体" w:cs="宋体"/>
          <w:color w:val="000000"/>
          <w:szCs w:val="28"/>
        </w:rPr>
        <w:t>③对地下水水质的影响</w:t>
      </w:r>
    </w:p>
    <w:p w14:paraId="4D8B7558">
      <w:pPr>
        <w:ind w:firstLine="560"/>
        <w:rPr>
          <w:rFonts w:hint="eastAsia" w:ascii="宋体" w:hAnsi="宋体" w:cs="宋体"/>
          <w:color w:val="000000"/>
          <w:szCs w:val="28"/>
        </w:rPr>
      </w:pPr>
      <w:r>
        <w:rPr>
          <w:rFonts w:hint="eastAsia" w:ascii="宋体" w:hAnsi="宋体" w:cs="宋体"/>
          <w:color w:val="000000"/>
          <w:szCs w:val="28"/>
        </w:rPr>
        <w:t>矿山在未来生产中所开采的矿种，采矿方法，选矿工艺不会发生改变，在保证加强对工业和生活用水的处理质量的条件下，采矿活动对地下水的水质不会有较大的影响。预测评估矿山生产活动对地下水水质的影响较轻。</w:t>
      </w:r>
    </w:p>
    <w:p w14:paraId="37BD0255">
      <w:pPr>
        <w:ind w:firstLine="560"/>
        <w:rPr>
          <w:rFonts w:hint="eastAsia" w:ascii="宋体" w:hAnsi="宋体" w:cs="宋体"/>
          <w:color w:val="000000"/>
          <w:szCs w:val="28"/>
        </w:rPr>
      </w:pPr>
      <w:r>
        <w:rPr>
          <w:rFonts w:hint="eastAsia" w:ascii="宋体" w:hAnsi="宋体" w:cs="宋体"/>
          <w:color w:val="000000"/>
          <w:szCs w:val="28"/>
        </w:rPr>
        <w:t>④对地下水水量的影响</w:t>
      </w:r>
    </w:p>
    <w:p w14:paraId="50408CE1">
      <w:pPr>
        <w:ind w:firstLine="560"/>
        <w:rPr>
          <w:rFonts w:hint="eastAsia" w:ascii="宋体" w:hAnsi="宋体" w:cs="宋体"/>
          <w:kern w:val="0"/>
          <w:szCs w:val="28"/>
        </w:rPr>
      </w:pPr>
      <w:r>
        <w:rPr>
          <w:rFonts w:hint="eastAsia" w:ascii="宋体" w:hAnsi="宋体" w:cs="宋体"/>
          <w:szCs w:val="28"/>
          <w:lang w:val="en-US" w:eastAsia="zh-CN"/>
        </w:rPr>
        <w:t>随着矿山后续开采。应该持续</w:t>
      </w:r>
      <w:r>
        <w:rPr>
          <w:rFonts w:hint="eastAsia" w:ascii="宋体" w:hAnsi="宋体" w:cs="宋体"/>
          <w:szCs w:val="28"/>
        </w:rPr>
        <w:t>矿山监测数据，</w:t>
      </w:r>
      <w:r>
        <w:rPr>
          <w:rFonts w:hint="eastAsia" w:ascii="宋体" w:hAnsi="宋体" w:cs="宋体"/>
          <w:kern w:val="0"/>
          <w:szCs w:val="28"/>
          <w:lang w:eastAsia="zh-CN"/>
        </w:rPr>
        <w:t>二道滑石矿山</w:t>
      </w:r>
      <w:r>
        <w:rPr>
          <w:rFonts w:hint="eastAsia" w:ascii="宋体" w:hAnsi="宋体" w:cs="宋体"/>
          <w:kern w:val="0"/>
          <w:szCs w:val="28"/>
        </w:rPr>
        <w:t>由于井下充水，经排水疏干已对</w:t>
      </w:r>
      <w:r>
        <w:rPr>
          <w:rFonts w:hint="eastAsia" w:ascii="宋体" w:hAnsi="宋体" w:cs="宋体"/>
          <w:kern w:val="0"/>
          <w:szCs w:val="28"/>
          <w:lang w:eastAsia="zh-CN"/>
        </w:rPr>
        <w:t>滑石</w:t>
      </w:r>
      <w:r>
        <w:rPr>
          <w:rFonts w:hint="eastAsia" w:ascii="宋体" w:hAnsi="宋体" w:cs="宋体"/>
          <w:kern w:val="0"/>
          <w:szCs w:val="28"/>
        </w:rPr>
        <w:t>层含水层地下水资源产生影响，对地下水资源产生影响较严重。</w:t>
      </w:r>
    </w:p>
    <w:p w14:paraId="57697FEF">
      <w:pPr>
        <w:ind w:firstLine="560"/>
        <w:rPr>
          <w:rFonts w:hint="eastAsia" w:ascii="宋体" w:hAnsi="宋体" w:cs="宋体"/>
          <w:kern w:val="0"/>
          <w:szCs w:val="28"/>
        </w:rPr>
      </w:pPr>
      <w:r>
        <w:rPr>
          <w:rFonts w:hint="eastAsia" w:ascii="宋体" w:hAnsi="宋体" w:cs="宋体"/>
          <w:kern w:val="0"/>
          <w:szCs w:val="28"/>
        </w:rPr>
        <w:t>综上，预测评估矿山开采对地下水资源影响程度较严重。</w:t>
      </w:r>
    </w:p>
    <w:p w14:paraId="1369CA71">
      <w:pPr>
        <w:ind w:firstLine="562"/>
        <w:rPr>
          <w:b/>
          <w:bCs/>
          <w:kern w:val="0"/>
          <w:szCs w:val="28"/>
        </w:rPr>
      </w:pPr>
      <w:r>
        <w:rPr>
          <w:b/>
          <w:bCs/>
          <w:kern w:val="0"/>
          <w:szCs w:val="28"/>
        </w:rPr>
        <w:t>（3）矿区地形地貌景观破坏预测</w:t>
      </w:r>
    </w:p>
    <w:p w14:paraId="5C880666">
      <w:pPr>
        <w:ind w:firstLine="560"/>
      </w:pPr>
      <w:r>
        <w:t>矿山</w:t>
      </w:r>
      <w:r>
        <w:rPr>
          <w:rFonts w:hint="eastAsia"/>
          <w:lang w:val="en-US" w:eastAsia="zh-CN"/>
        </w:rPr>
        <w:t>的</w:t>
      </w:r>
      <w:r>
        <w:t>工业广场</w:t>
      </w:r>
      <w:r>
        <w:rPr>
          <w:rFonts w:hint="eastAsia"/>
          <w:lang w:val="en-US" w:eastAsia="zh-CN"/>
        </w:rPr>
        <w:t>和三处废弃平硐不能满足后期开采需求，未开开采会重新设置三处废弃平硐，拟建490m平硐工业广场、扩大原来工业广场后的520m平硐工业广场、548m平硐工业广场、</w:t>
      </w:r>
      <w:r>
        <w:t>未来生产中矿山损毁土地面积</w:t>
      </w:r>
      <w:r>
        <w:rPr>
          <w:rFonts w:hint="eastAsia"/>
          <w:lang w:val="en-US" w:eastAsia="zh-CN"/>
        </w:rPr>
        <w:t>面积增加</w:t>
      </w:r>
      <w:r>
        <w:t>。</w:t>
      </w:r>
    </w:p>
    <w:p w14:paraId="7F585DDA">
      <w:pPr>
        <w:ind w:firstLine="560"/>
        <w:rPr>
          <w:rFonts w:hint="eastAsia"/>
          <w:szCs w:val="28"/>
          <w:lang w:eastAsia="zh-CN"/>
        </w:rPr>
      </w:pPr>
      <w:r>
        <w:rPr>
          <w:rFonts w:hint="eastAsia"/>
          <w:kern w:val="0"/>
          <w:szCs w:val="28"/>
        </w:rPr>
        <w:t>①</w:t>
      </w:r>
      <w:r>
        <w:rPr>
          <w:rFonts w:hint="eastAsia"/>
          <w:kern w:val="0"/>
          <w:szCs w:val="28"/>
          <w:lang w:val="en-US" w:eastAsia="zh-CN"/>
        </w:rPr>
        <w:t>490m平硐工业广场区占地面积共计0.69</w:t>
      </w:r>
      <w:r>
        <w:rPr>
          <w:szCs w:val="28"/>
        </w:rPr>
        <w:t>‬h</w:t>
      </w:r>
      <w:r>
        <w:rPr>
          <w:rFonts w:hint="eastAsia"/>
          <w:bCs/>
          <w:szCs w:val="28"/>
        </w:rPr>
        <w:t>m²</w:t>
      </w:r>
      <w:r>
        <w:rPr>
          <w:rFonts w:hint="eastAsia"/>
          <w:szCs w:val="28"/>
          <w:lang w:eastAsia="zh-CN"/>
        </w:rPr>
        <w:t>，</w:t>
      </w:r>
      <w:r>
        <w:rPr>
          <w:rFonts w:hint="eastAsia"/>
          <w:szCs w:val="28"/>
          <w:lang w:val="en-US" w:eastAsia="zh-CN"/>
        </w:rPr>
        <w:t>其中</w:t>
      </w:r>
      <w:r>
        <w:rPr>
          <w:rFonts w:hint="eastAsia"/>
          <w:kern w:val="0"/>
          <w:szCs w:val="28"/>
          <w:lang w:val="en-US" w:eastAsia="zh-CN"/>
        </w:rPr>
        <w:t>矿石堆场占地0.06</w:t>
      </w:r>
      <w:r>
        <w:rPr>
          <w:szCs w:val="28"/>
        </w:rPr>
        <w:t>‬h</w:t>
      </w:r>
      <w:r>
        <w:rPr>
          <w:rFonts w:hint="eastAsia"/>
          <w:bCs/>
          <w:szCs w:val="28"/>
        </w:rPr>
        <w:t>m²</w:t>
      </w:r>
      <w:r>
        <w:rPr>
          <w:rFonts w:hint="eastAsia"/>
          <w:szCs w:val="28"/>
          <w:lang w:eastAsia="zh-CN"/>
        </w:rPr>
        <w:t>，</w:t>
      </w:r>
      <w:r>
        <w:rPr>
          <w:rFonts w:hint="eastAsia"/>
          <w:kern w:val="0"/>
          <w:szCs w:val="28"/>
          <w:lang w:val="en-US" w:eastAsia="zh-CN"/>
        </w:rPr>
        <w:t>表土堆场占地0.06</w:t>
      </w:r>
      <w:r>
        <w:rPr>
          <w:szCs w:val="28"/>
        </w:rPr>
        <w:t>‬h</w:t>
      </w:r>
      <w:r>
        <w:rPr>
          <w:rFonts w:hint="eastAsia"/>
          <w:bCs/>
          <w:szCs w:val="28"/>
        </w:rPr>
        <w:t>m²</w:t>
      </w:r>
      <w:r>
        <w:rPr>
          <w:rFonts w:hint="eastAsia"/>
          <w:szCs w:val="28"/>
          <w:lang w:eastAsia="zh-CN"/>
        </w:rPr>
        <w:t>，</w:t>
      </w:r>
      <w:r>
        <w:rPr>
          <w:rFonts w:hint="eastAsia"/>
          <w:kern w:val="0"/>
          <w:szCs w:val="28"/>
          <w:lang w:val="en-US" w:eastAsia="zh-CN"/>
        </w:rPr>
        <w:t>综合办公室、锅炉房等建筑占地0.04</w:t>
      </w:r>
      <w:r>
        <w:rPr>
          <w:szCs w:val="28"/>
        </w:rPr>
        <w:t>‬h</w:t>
      </w:r>
      <w:r>
        <w:rPr>
          <w:rFonts w:hint="eastAsia"/>
          <w:bCs/>
          <w:szCs w:val="28"/>
        </w:rPr>
        <w:t>m²</w:t>
      </w:r>
      <w:r>
        <w:rPr>
          <w:rFonts w:hint="eastAsia"/>
          <w:szCs w:val="28"/>
          <w:lang w:eastAsia="zh-CN"/>
        </w:rPr>
        <w:t>，</w:t>
      </w:r>
      <w:r>
        <w:rPr>
          <w:rFonts w:hint="eastAsia"/>
          <w:szCs w:val="28"/>
          <w:lang w:val="en-US" w:eastAsia="zh-CN"/>
        </w:rPr>
        <w:t>490m平硐0.01</w:t>
      </w:r>
      <w:r>
        <w:rPr>
          <w:szCs w:val="28"/>
        </w:rPr>
        <w:t>‬h</w:t>
      </w:r>
      <w:r>
        <w:rPr>
          <w:rFonts w:hint="eastAsia"/>
          <w:bCs/>
          <w:szCs w:val="28"/>
        </w:rPr>
        <w:t>m²</w:t>
      </w:r>
      <w:r>
        <w:rPr>
          <w:rFonts w:hint="eastAsia"/>
          <w:szCs w:val="28"/>
          <w:lang w:eastAsia="zh-CN"/>
        </w:rPr>
        <w:t>，</w:t>
      </w:r>
      <w:r>
        <w:rPr>
          <w:rFonts w:hint="eastAsia"/>
          <w:szCs w:val="28"/>
          <w:lang w:val="en-US" w:eastAsia="zh-CN"/>
        </w:rPr>
        <w:t>其他区域0.52</w:t>
      </w:r>
      <w:r>
        <w:rPr>
          <w:szCs w:val="28"/>
        </w:rPr>
        <w:t>‬h</w:t>
      </w:r>
      <w:r>
        <w:rPr>
          <w:rFonts w:hint="eastAsia"/>
          <w:bCs/>
          <w:szCs w:val="28"/>
        </w:rPr>
        <w:t>m²</w:t>
      </w:r>
      <w:r>
        <w:rPr>
          <w:rFonts w:hint="eastAsia"/>
          <w:szCs w:val="28"/>
          <w:lang w:eastAsia="zh-CN"/>
        </w:rPr>
        <w:t>。</w:t>
      </w:r>
    </w:p>
    <w:p w14:paraId="79B98648">
      <w:pPr>
        <w:ind w:firstLine="560"/>
        <w:rPr>
          <w:rFonts w:hint="eastAsia"/>
          <w:szCs w:val="28"/>
          <w:lang w:eastAsia="zh-CN"/>
        </w:rPr>
      </w:pPr>
      <w:r>
        <w:rPr>
          <w:rFonts w:hint="eastAsia" w:ascii="宋体" w:hAnsi="宋体" w:cs="宋体"/>
          <w:color w:val="000000"/>
          <w:szCs w:val="28"/>
        </w:rPr>
        <w:t>②</w:t>
      </w:r>
      <w:r>
        <w:rPr>
          <w:rFonts w:hint="eastAsia"/>
          <w:kern w:val="0"/>
          <w:szCs w:val="28"/>
          <w:lang w:val="en-US" w:eastAsia="zh-CN"/>
        </w:rPr>
        <w:t>520m平硐工业广场区占地面积共计0.6608</w:t>
      </w:r>
      <w:r>
        <w:rPr>
          <w:szCs w:val="28"/>
        </w:rPr>
        <w:t>‬h</w:t>
      </w:r>
      <w:r>
        <w:rPr>
          <w:rFonts w:hint="eastAsia"/>
          <w:bCs/>
          <w:szCs w:val="28"/>
        </w:rPr>
        <w:t>m²</w:t>
      </w:r>
      <w:r>
        <w:rPr>
          <w:rFonts w:hint="eastAsia"/>
          <w:szCs w:val="28"/>
          <w:lang w:eastAsia="zh-CN"/>
        </w:rPr>
        <w:t>，</w:t>
      </w:r>
      <w:r>
        <w:rPr>
          <w:rFonts w:hint="eastAsia"/>
          <w:szCs w:val="28"/>
          <w:lang w:val="en-US" w:eastAsia="zh-CN"/>
        </w:rPr>
        <w:t>其中包含前期工业广场面积0.3608</w:t>
      </w:r>
      <w:r>
        <w:rPr>
          <w:szCs w:val="28"/>
        </w:rPr>
        <w:t>‬h</w:t>
      </w:r>
      <w:r>
        <w:rPr>
          <w:rFonts w:hint="eastAsia"/>
          <w:bCs/>
          <w:szCs w:val="28"/>
        </w:rPr>
        <w:t>m²</w:t>
      </w:r>
      <w:r>
        <w:rPr>
          <w:rFonts w:hint="eastAsia"/>
          <w:szCs w:val="28"/>
          <w:lang w:eastAsia="zh-CN"/>
        </w:rPr>
        <w:t>，</w:t>
      </w:r>
      <w:r>
        <w:rPr>
          <w:rFonts w:hint="eastAsia"/>
          <w:szCs w:val="28"/>
          <w:lang w:val="en-US" w:eastAsia="zh-CN"/>
        </w:rPr>
        <w:t>后期开采扩大0.3</w:t>
      </w:r>
      <w:r>
        <w:rPr>
          <w:szCs w:val="28"/>
        </w:rPr>
        <w:t>‬h</w:t>
      </w:r>
      <w:r>
        <w:rPr>
          <w:rFonts w:hint="eastAsia"/>
          <w:bCs/>
          <w:szCs w:val="28"/>
        </w:rPr>
        <w:t>m²</w:t>
      </w:r>
      <w:r>
        <w:rPr>
          <w:rFonts w:hint="eastAsia"/>
          <w:szCs w:val="28"/>
          <w:lang w:eastAsia="zh-CN"/>
        </w:rPr>
        <w:t>，</w:t>
      </w:r>
      <w:r>
        <w:rPr>
          <w:rFonts w:hint="eastAsia"/>
          <w:szCs w:val="28"/>
          <w:lang w:val="en-US" w:eastAsia="zh-CN"/>
        </w:rPr>
        <w:t>其中</w:t>
      </w:r>
      <w:r>
        <w:rPr>
          <w:rFonts w:hint="eastAsia"/>
          <w:kern w:val="0"/>
          <w:szCs w:val="28"/>
          <w:lang w:val="en-US" w:eastAsia="zh-CN"/>
        </w:rPr>
        <w:t>休息室等建筑物占地0.06</w:t>
      </w:r>
      <w:r>
        <w:rPr>
          <w:szCs w:val="28"/>
        </w:rPr>
        <w:t>‬h</w:t>
      </w:r>
      <w:r>
        <w:rPr>
          <w:rFonts w:hint="eastAsia"/>
          <w:bCs/>
          <w:szCs w:val="28"/>
        </w:rPr>
        <w:t>m²</w:t>
      </w:r>
      <w:r>
        <w:rPr>
          <w:rFonts w:hint="eastAsia"/>
          <w:szCs w:val="28"/>
          <w:lang w:eastAsia="zh-CN"/>
        </w:rPr>
        <w:t>，</w:t>
      </w:r>
      <w:r>
        <w:rPr>
          <w:rFonts w:hint="eastAsia"/>
          <w:kern w:val="0"/>
          <w:szCs w:val="28"/>
          <w:lang w:val="en-US" w:eastAsia="zh-CN"/>
        </w:rPr>
        <w:t>渣堆占地0.058</w:t>
      </w:r>
      <w:r>
        <w:rPr>
          <w:szCs w:val="28"/>
        </w:rPr>
        <w:t>‬h</w:t>
      </w:r>
      <w:r>
        <w:rPr>
          <w:rFonts w:hint="eastAsia"/>
          <w:bCs/>
          <w:szCs w:val="28"/>
        </w:rPr>
        <w:t>m²</w:t>
      </w:r>
      <w:r>
        <w:rPr>
          <w:rFonts w:hint="eastAsia"/>
          <w:szCs w:val="28"/>
          <w:lang w:eastAsia="zh-CN"/>
        </w:rPr>
        <w:t>，</w:t>
      </w:r>
      <w:r>
        <w:rPr>
          <w:rFonts w:hint="eastAsia"/>
          <w:kern w:val="0"/>
          <w:szCs w:val="28"/>
          <w:lang w:val="en-US" w:eastAsia="zh-CN"/>
        </w:rPr>
        <w:t>520</w:t>
      </w:r>
      <w:r>
        <w:rPr>
          <w:rFonts w:hint="eastAsia"/>
          <w:szCs w:val="28"/>
          <w:lang w:val="en-US" w:eastAsia="zh-CN"/>
        </w:rPr>
        <w:t>m平硐0.01</w:t>
      </w:r>
      <w:r>
        <w:rPr>
          <w:szCs w:val="28"/>
        </w:rPr>
        <w:t>‬h</w:t>
      </w:r>
      <w:r>
        <w:rPr>
          <w:rFonts w:hint="eastAsia"/>
          <w:bCs/>
          <w:szCs w:val="28"/>
        </w:rPr>
        <w:t>m²</w:t>
      </w:r>
      <w:r>
        <w:rPr>
          <w:rFonts w:hint="eastAsia"/>
          <w:szCs w:val="28"/>
          <w:lang w:eastAsia="zh-CN"/>
        </w:rPr>
        <w:t>，</w:t>
      </w:r>
      <w:r>
        <w:rPr>
          <w:rFonts w:hint="eastAsia"/>
          <w:szCs w:val="28"/>
          <w:lang w:val="en-US" w:eastAsia="zh-CN"/>
        </w:rPr>
        <w:t>其他区域0.172</w:t>
      </w:r>
      <w:r>
        <w:rPr>
          <w:szCs w:val="28"/>
        </w:rPr>
        <w:t>‬h</w:t>
      </w:r>
      <w:r>
        <w:rPr>
          <w:rFonts w:hint="eastAsia"/>
          <w:bCs/>
          <w:szCs w:val="28"/>
        </w:rPr>
        <w:t>m²</w:t>
      </w:r>
      <w:r>
        <w:rPr>
          <w:rFonts w:hint="eastAsia"/>
          <w:szCs w:val="28"/>
          <w:lang w:eastAsia="zh-CN"/>
        </w:rPr>
        <w:t>。</w:t>
      </w:r>
    </w:p>
    <w:p w14:paraId="467B493D">
      <w:pPr>
        <w:ind w:firstLine="560"/>
        <w:rPr>
          <w:rFonts w:hint="eastAsia"/>
          <w:szCs w:val="28"/>
          <w:lang w:eastAsia="zh-CN"/>
        </w:rPr>
      </w:pPr>
      <w:r>
        <w:rPr>
          <w:rFonts w:hint="eastAsia" w:ascii="宋体" w:hAnsi="宋体" w:cs="宋体"/>
          <w:color w:val="000000"/>
          <w:szCs w:val="28"/>
        </w:rPr>
        <w:t>③</w:t>
      </w:r>
      <w:r>
        <w:rPr>
          <w:rFonts w:hint="eastAsia"/>
          <w:kern w:val="0"/>
          <w:szCs w:val="28"/>
          <w:lang w:val="en-US" w:eastAsia="zh-CN"/>
        </w:rPr>
        <w:t>548m平硐工业广场区占地面积共计0.178</w:t>
      </w:r>
      <w:r>
        <w:rPr>
          <w:szCs w:val="28"/>
        </w:rPr>
        <w:t>‬h</w:t>
      </w:r>
      <w:r>
        <w:rPr>
          <w:rFonts w:hint="eastAsia"/>
          <w:bCs/>
          <w:szCs w:val="28"/>
        </w:rPr>
        <w:t>m²</w:t>
      </w:r>
      <w:r>
        <w:rPr>
          <w:rFonts w:hint="eastAsia"/>
          <w:szCs w:val="28"/>
          <w:lang w:eastAsia="zh-CN"/>
        </w:rPr>
        <w:t>，</w:t>
      </w:r>
      <w:r>
        <w:rPr>
          <w:rFonts w:hint="eastAsia"/>
          <w:szCs w:val="28"/>
          <w:lang w:val="en-US" w:eastAsia="zh-CN"/>
        </w:rPr>
        <w:t>打更房</w:t>
      </w:r>
      <w:r>
        <w:rPr>
          <w:rFonts w:hint="eastAsia"/>
          <w:kern w:val="0"/>
          <w:szCs w:val="28"/>
          <w:lang w:val="en-US" w:eastAsia="zh-CN"/>
        </w:rPr>
        <w:t>等建筑物占地0.004</w:t>
      </w:r>
      <w:r>
        <w:rPr>
          <w:szCs w:val="28"/>
        </w:rPr>
        <w:t>‬h</w:t>
      </w:r>
      <w:r>
        <w:rPr>
          <w:rFonts w:hint="eastAsia"/>
          <w:bCs/>
          <w:szCs w:val="28"/>
        </w:rPr>
        <w:t>m²</w:t>
      </w:r>
      <w:r>
        <w:rPr>
          <w:rFonts w:hint="eastAsia"/>
          <w:szCs w:val="28"/>
          <w:lang w:eastAsia="zh-CN"/>
        </w:rPr>
        <w:t>，</w:t>
      </w:r>
      <w:r>
        <w:rPr>
          <w:rFonts w:hint="eastAsia"/>
          <w:kern w:val="0"/>
          <w:szCs w:val="28"/>
          <w:lang w:val="en-US" w:eastAsia="zh-CN"/>
        </w:rPr>
        <w:t>5480</w:t>
      </w:r>
      <w:r>
        <w:rPr>
          <w:rFonts w:hint="eastAsia"/>
          <w:szCs w:val="28"/>
          <w:lang w:val="en-US" w:eastAsia="zh-CN"/>
        </w:rPr>
        <w:t>m平硐0.01</w:t>
      </w:r>
      <w:r>
        <w:rPr>
          <w:szCs w:val="28"/>
        </w:rPr>
        <w:t>‬h</w:t>
      </w:r>
      <w:r>
        <w:rPr>
          <w:rFonts w:hint="eastAsia"/>
          <w:bCs/>
          <w:szCs w:val="28"/>
        </w:rPr>
        <w:t>m²</w:t>
      </w:r>
      <w:r>
        <w:rPr>
          <w:rFonts w:hint="eastAsia"/>
          <w:szCs w:val="28"/>
          <w:lang w:eastAsia="zh-CN"/>
        </w:rPr>
        <w:t>，</w:t>
      </w:r>
      <w:r>
        <w:rPr>
          <w:rFonts w:hint="eastAsia"/>
          <w:szCs w:val="28"/>
          <w:lang w:val="en-US" w:eastAsia="zh-CN"/>
        </w:rPr>
        <w:t>其他区域0.164</w:t>
      </w:r>
      <w:r>
        <w:rPr>
          <w:szCs w:val="28"/>
        </w:rPr>
        <w:t>‬h</w:t>
      </w:r>
      <w:r>
        <w:rPr>
          <w:rFonts w:hint="eastAsia"/>
          <w:bCs/>
          <w:szCs w:val="28"/>
        </w:rPr>
        <w:t>m²</w:t>
      </w:r>
      <w:r>
        <w:rPr>
          <w:rFonts w:hint="eastAsia"/>
          <w:szCs w:val="28"/>
          <w:lang w:eastAsia="zh-CN"/>
        </w:rPr>
        <w:t>。</w:t>
      </w:r>
    </w:p>
    <w:p w14:paraId="441F2E0E">
      <w:pPr>
        <w:ind w:firstLine="560"/>
        <w:rPr>
          <w:rFonts w:hint="default" w:eastAsia="宋体"/>
          <w:kern w:val="0"/>
          <w:szCs w:val="28"/>
          <w:lang w:val="en-US" w:eastAsia="zh-CN"/>
        </w:rPr>
      </w:pPr>
      <w:r>
        <w:rPr>
          <w:rFonts w:hint="eastAsia" w:ascii="宋体" w:hAnsi="宋体" w:cs="宋体"/>
          <w:color w:val="000000"/>
          <w:szCs w:val="28"/>
        </w:rPr>
        <w:t>④</w:t>
      </w:r>
      <w:r>
        <w:rPr>
          <w:rFonts w:hint="eastAsia" w:ascii="宋体" w:hAnsi="宋体" w:cs="宋体"/>
          <w:color w:val="000000"/>
          <w:szCs w:val="28"/>
          <w:lang w:val="en-US" w:eastAsia="zh-CN"/>
        </w:rPr>
        <w:t>地裂缝：矿山地下开采产生地裂缝，地裂缝周长</w:t>
      </w:r>
      <w:r>
        <w:rPr>
          <w:rFonts w:hint="eastAsia"/>
          <w:szCs w:val="28"/>
          <w:lang w:val="en-US" w:eastAsia="zh-CN"/>
        </w:rPr>
        <w:t>900</w:t>
      </w:r>
      <w:r>
        <w:rPr>
          <w:rFonts w:hint="eastAsia"/>
          <w:bCs/>
          <w:szCs w:val="28"/>
        </w:rPr>
        <w:t>m</w:t>
      </w:r>
      <w:r>
        <w:rPr>
          <w:rFonts w:hint="eastAsia"/>
          <w:bCs/>
          <w:szCs w:val="28"/>
          <w:lang w:eastAsia="zh-CN"/>
        </w:rPr>
        <w:t>，</w:t>
      </w:r>
      <w:r>
        <w:rPr>
          <w:rFonts w:hint="eastAsia"/>
          <w:bCs/>
          <w:szCs w:val="28"/>
          <w:lang w:val="en-US" w:eastAsia="zh-CN"/>
        </w:rPr>
        <w:t>裂缝较轻，宽度较小，不计入面积</w:t>
      </w:r>
      <w:r>
        <w:rPr>
          <w:rFonts w:hint="eastAsia" w:ascii="宋体" w:hAnsi="宋体" w:cs="宋体"/>
          <w:color w:val="000000"/>
          <w:szCs w:val="28"/>
          <w:lang w:val="en-US" w:eastAsia="zh-CN"/>
        </w:rPr>
        <w:t>。</w:t>
      </w:r>
    </w:p>
    <w:p w14:paraId="19AE17C0">
      <w:pPr>
        <w:ind w:firstLine="560"/>
      </w:pPr>
      <w:r>
        <w:rPr>
          <w:rFonts w:hint="eastAsia"/>
        </w:rPr>
        <w:t>因</w:t>
      </w:r>
      <w:r>
        <w:rPr>
          <w:rFonts w:hint="eastAsia"/>
          <w:lang w:val="en-US" w:eastAsia="zh-CN"/>
        </w:rPr>
        <w:t>地裂缝</w:t>
      </w:r>
      <w:r>
        <w:rPr>
          <w:rFonts w:hint="eastAsia"/>
        </w:rPr>
        <w:t>范围内为多为</w:t>
      </w:r>
      <w:r>
        <w:rPr>
          <w:rFonts w:hint="eastAsia"/>
          <w:lang w:eastAsia="zh-CN"/>
        </w:rPr>
        <w:t>林地</w:t>
      </w:r>
      <w:r>
        <w:rPr>
          <w:rFonts w:hint="eastAsia"/>
        </w:rPr>
        <w:t>，地面坡度较大，且无居民住居，发生</w:t>
      </w:r>
      <w:r>
        <w:rPr>
          <w:rFonts w:hint="eastAsia"/>
          <w:lang w:val="en-US" w:eastAsia="zh-CN"/>
        </w:rPr>
        <w:t>地裂缝</w:t>
      </w:r>
      <w:r>
        <w:rPr>
          <w:rFonts w:hint="eastAsia"/>
        </w:rPr>
        <w:t>不影响矿区区域地貌类型和生态系统的完整性。</w:t>
      </w:r>
    </w:p>
    <w:p w14:paraId="581EAA6F">
      <w:pPr>
        <w:ind w:firstLine="560"/>
      </w:pPr>
      <w:r>
        <w:rPr>
          <w:rFonts w:hint="eastAsia"/>
        </w:rPr>
        <w:t>因此，预测分析地下开采对矿区地形地貌景观破坏影响程度严重，面积</w:t>
      </w:r>
      <w:r>
        <w:rPr>
          <w:rFonts w:hint="eastAsia" w:hAnsi="宋体"/>
          <w:bCs/>
          <w:szCs w:val="28"/>
          <w:lang w:eastAsia="zh-CN"/>
        </w:rPr>
        <w:t>1.168</w:t>
      </w:r>
      <w:r>
        <w:rPr>
          <w:rFonts w:hAnsi="宋体"/>
          <w:bCs/>
          <w:szCs w:val="28"/>
        </w:rPr>
        <w:t>hm</w:t>
      </w:r>
      <w:r>
        <w:rPr>
          <w:rFonts w:hAnsi="宋体"/>
          <w:bCs/>
          <w:szCs w:val="28"/>
          <w:vertAlign w:val="superscript"/>
        </w:rPr>
        <w:t>2</w:t>
      </w:r>
      <w:r>
        <w:rPr>
          <w:rFonts w:hint="eastAsia"/>
        </w:rPr>
        <w:t>。</w:t>
      </w:r>
    </w:p>
    <w:p w14:paraId="30911D23">
      <w:pPr>
        <w:ind w:firstLine="562"/>
        <w:rPr>
          <w:b/>
          <w:bCs/>
        </w:rPr>
      </w:pPr>
      <w:r>
        <w:rPr>
          <w:b/>
          <w:bCs/>
        </w:rPr>
        <w:t>（4）生态受损与环境污染问题</w:t>
      </w:r>
    </w:p>
    <w:p w14:paraId="4A179F4E">
      <w:pPr>
        <w:ind w:firstLine="560"/>
        <w:rPr>
          <w:szCs w:val="28"/>
        </w:rPr>
      </w:pPr>
      <w:r>
        <w:rPr>
          <w:szCs w:val="28"/>
        </w:rPr>
        <w:t>该矿山开采矿种无毒，无污染，矿山经多年开采，场内的各种基础设施基本完善</w:t>
      </w:r>
      <w:r>
        <w:rPr>
          <w:bCs/>
          <w:szCs w:val="28"/>
        </w:rPr>
        <w:t>。矿区开采的变化主要体现在</w:t>
      </w:r>
      <w:r>
        <w:rPr>
          <w:rFonts w:hint="eastAsia"/>
          <w:bCs/>
          <w:szCs w:val="28"/>
        </w:rPr>
        <w:t>地下开采引发的</w:t>
      </w:r>
      <w:r>
        <w:rPr>
          <w:rFonts w:hint="eastAsia"/>
          <w:bCs/>
          <w:szCs w:val="28"/>
          <w:lang w:val="en-US" w:eastAsia="zh-CN"/>
        </w:rPr>
        <w:t>地裂缝</w:t>
      </w:r>
      <w:r>
        <w:rPr>
          <w:szCs w:val="28"/>
        </w:rPr>
        <w:t>。</w:t>
      </w:r>
    </w:p>
    <w:p w14:paraId="07475A24">
      <w:pPr>
        <w:overflowPunct w:val="0"/>
        <w:ind w:firstLine="560"/>
        <w:rPr>
          <w:bCs/>
          <w:szCs w:val="28"/>
        </w:rPr>
      </w:pPr>
      <w:r>
        <w:rPr>
          <w:szCs w:val="28"/>
        </w:rPr>
        <w:t>生态受损主要体现在</w:t>
      </w:r>
      <w:r>
        <w:rPr>
          <w:szCs w:val="28"/>
          <w:shd w:val="clear" w:color="auto" w:fill="FFFFFF"/>
        </w:rPr>
        <w:t>植被损毁和</w:t>
      </w:r>
      <w:r>
        <w:rPr>
          <w:kern w:val="0"/>
          <w:szCs w:val="28"/>
        </w:rPr>
        <w:t>生物多样性严重丧失，</w:t>
      </w:r>
      <w:r>
        <w:rPr>
          <w:szCs w:val="28"/>
          <w:shd w:val="clear" w:color="auto" w:fill="FFFFFF"/>
        </w:rPr>
        <w:t>范围主要集中在</w:t>
      </w:r>
      <w:r>
        <w:rPr>
          <w:rFonts w:hint="eastAsia"/>
          <w:kern w:val="0"/>
          <w:szCs w:val="28"/>
          <w:lang w:val="en-US" w:eastAsia="zh-CN"/>
        </w:rPr>
        <w:t>490m平硐工业广场区</w:t>
      </w:r>
      <w:r>
        <w:rPr>
          <w:rFonts w:hint="eastAsia"/>
          <w:szCs w:val="28"/>
          <w:lang w:val="en-US" w:eastAsia="zh-CN"/>
        </w:rPr>
        <w:t>0.69</w:t>
      </w:r>
      <w:r>
        <w:rPr>
          <w:szCs w:val="28"/>
        </w:rPr>
        <w:t>h</w:t>
      </w:r>
      <w:r>
        <w:rPr>
          <w:rFonts w:hint="eastAsia"/>
          <w:szCs w:val="28"/>
        </w:rPr>
        <w:t>m²、</w:t>
      </w:r>
      <w:r>
        <w:rPr>
          <w:rFonts w:hint="eastAsia"/>
          <w:kern w:val="0"/>
          <w:szCs w:val="28"/>
          <w:lang w:val="en-US" w:eastAsia="zh-CN"/>
        </w:rPr>
        <w:t>520m平硐工业广场区</w:t>
      </w:r>
      <w:r>
        <w:rPr>
          <w:rFonts w:hint="eastAsia"/>
          <w:szCs w:val="28"/>
          <w:lang w:val="en-US" w:eastAsia="zh-CN"/>
        </w:rPr>
        <w:t>0.6608</w:t>
      </w:r>
      <w:r>
        <w:rPr>
          <w:szCs w:val="28"/>
        </w:rPr>
        <w:t>h</w:t>
      </w:r>
      <w:r>
        <w:rPr>
          <w:rFonts w:hint="eastAsia"/>
          <w:szCs w:val="28"/>
        </w:rPr>
        <w:t>m²、</w:t>
      </w:r>
      <w:r>
        <w:rPr>
          <w:rFonts w:hint="eastAsia"/>
          <w:kern w:val="0"/>
          <w:szCs w:val="28"/>
          <w:lang w:val="en-US" w:eastAsia="zh-CN"/>
        </w:rPr>
        <w:t>548m平硐工业广场区0.</w:t>
      </w:r>
      <w:r>
        <w:rPr>
          <w:rFonts w:hint="eastAsia"/>
          <w:szCs w:val="28"/>
          <w:lang w:val="en-US" w:eastAsia="zh-CN"/>
        </w:rPr>
        <w:t>178</w:t>
      </w:r>
      <w:r>
        <w:rPr>
          <w:szCs w:val="28"/>
        </w:rPr>
        <w:t>h</w:t>
      </w:r>
      <w:r>
        <w:rPr>
          <w:rFonts w:hint="eastAsia"/>
          <w:szCs w:val="28"/>
        </w:rPr>
        <w:t>m²</w:t>
      </w:r>
      <w:r>
        <w:rPr>
          <w:bCs/>
          <w:szCs w:val="28"/>
        </w:rPr>
        <w:t>，</w:t>
      </w:r>
      <w:r>
        <w:rPr>
          <w:szCs w:val="28"/>
        </w:rPr>
        <w:t>评估</w:t>
      </w:r>
      <w:r>
        <w:rPr>
          <w:bCs/>
          <w:szCs w:val="28"/>
        </w:rPr>
        <w:t>区内其他区域影响程度较轻。</w:t>
      </w:r>
    </w:p>
    <w:p w14:paraId="5759D2A5">
      <w:pPr>
        <w:ind w:firstLine="560"/>
      </w:pPr>
      <w:r>
        <w:rPr>
          <w:rFonts w:hint="eastAsia"/>
          <w:szCs w:val="20"/>
        </w:rPr>
        <w:t>矿山生产过程中产生的污染主要有：</w:t>
      </w:r>
      <w:r>
        <w:rPr>
          <w:rFonts w:hint="eastAsia"/>
          <w:szCs w:val="20"/>
          <w:lang w:eastAsia="zh-CN"/>
        </w:rPr>
        <w:t>滑石</w:t>
      </w:r>
      <w:r>
        <w:rPr>
          <w:rFonts w:hint="eastAsia"/>
          <w:szCs w:val="20"/>
        </w:rPr>
        <w:t>矸石及</w:t>
      </w:r>
      <w:r>
        <w:rPr>
          <w:rFonts w:hint="eastAsia"/>
          <w:szCs w:val="20"/>
          <w:lang w:eastAsia="zh-CN"/>
        </w:rPr>
        <w:t>滑石</w:t>
      </w:r>
      <w:r>
        <w:rPr>
          <w:rFonts w:hint="eastAsia"/>
          <w:szCs w:val="20"/>
        </w:rPr>
        <w:t>、粉尘、废水。</w:t>
      </w:r>
      <w:r>
        <w:rPr>
          <w:rFonts w:hint="eastAsia"/>
        </w:rPr>
        <w:t>未来</w:t>
      </w:r>
      <w:r>
        <w:rPr>
          <w:rFonts w:hint="eastAsia"/>
          <w:lang w:eastAsia="zh-CN"/>
        </w:rPr>
        <w:t>矿山</w:t>
      </w:r>
      <w:r>
        <w:rPr>
          <w:rFonts w:hint="eastAsia"/>
        </w:rPr>
        <w:t>水仍然采取现状中的回收综合利用措施。</w:t>
      </w:r>
      <w:r>
        <w:rPr>
          <w:rFonts w:hint="eastAsia"/>
          <w:lang w:eastAsia="zh-CN"/>
        </w:rPr>
        <w:t>矿山</w:t>
      </w:r>
      <w:r>
        <w:rPr>
          <w:rFonts w:hint="eastAsia"/>
        </w:rPr>
        <w:t>水回用率达到90%以上。全矿生活污水仍然经</w:t>
      </w:r>
      <w:r>
        <w:rPr>
          <w:rFonts w:hint="eastAsia"/>
          <w:lang w:val="en-US" w:eastAsia="zh-CN"/>
        </w:rPr>
        <w:t>集安市</w:t>
      </w:r>
      <w:r>
        <w:rPr>
          <w:rFonts w:hint="eastAsia"/>
        </w:rPr>
        <w:t>污水处理厂处理达标后外排。降雨会导致储</w:t>
      </w:r>
      <w:r>
        <w:rPr>
          <w:rFonts w:hint="eastAsia"/>
          <w:lang w:eastAsia="zh-CN"/>
        </w:rPr>
        <w:t>滑石</w:t>
      </w:r>
      <w:r>
        <w:rPr>
          <w:rFonts w:hint="eastAsia"/>
        </w:rPr>
        <w:t>场堆放</w:t>
      </w:r>
      <w:r>
        <w:rPr>
          <w:rFonts w:hint="eastAsia"/>
          <w:lang w:eastAsia="zh-CN"/>
        </w:rPr>
        <w:t>滑石</w:t>
      </w:r>
      <w:r>
        <w:rPr>
          <w:rFonts w:hint="eastAsia"/>
        </w:rPr>
        <w:t>产生淋滤液，进入排水系统直接外排或直接渗入地下，将会对矿区周边水土环境造成一定的影响。</w:t>
      </w:r>
    </w:p>
    <w:p w14:paraId="2BF2ED4B">
      <w:pPr>
        <w:ind w:firstLine="560"/>
        <w:rPr>
          <w:szCs w:val="28"/>
        </w:rPr>
      </w:pPr>
      <w:r>
        <w:rPr>
          <w:szCs w:val="28"/>
        </w:rPr>
        <w:t>综上，预测矿山</w:t>
      </w:r>
      <w:r>
        <w:t>生态受损与环境污染问题较</w:t>
      </w:r>
      <w:r>
        <w:rPr>
          <w:rFonts w:hint="eastAsia"/>
        </w:rPr>
        <w:t>严重</w:t>
      </w:r>
      <w:r>
        <w:t>。</w:t>
      </w:r>
    </w:p>
    <w:p w14:paraId="2186188F">
      <w:pPr>
        <w:ind w:firstLine="562"/>
        <w:rPr>
          <w:b/>
          <w:bCs/>
        </w:rPr>
      </w:pPr>
      <w:r>
        <w:rPr>
          <w:b/>
          <w:bCs/>
        </w:rPr>
        <w:t>3.土地损毁预测</w:t>
      </w:r>
    </w:p>
    <w:p w14:paraId="3068F646">
      <w:pPr>
        <w:ind w:firstLine="560"/>
      </w:pPr>
      <w:r>
        <w:rPr>
          <w:rFonts w:hint="eastAsia" w:ascii="宋体" w:hAnsi="宋体" w:cs="宋体"/>
        </w:rPr>
        <w:t>目前矿山现有的工业布局</w:t>
      </w:r>
      <w:r>
        <w:rPr>
          <w:rFonts w:hint="eastAsia" w:ascii="宋体" w:hAnsi="宋体" w:cs="宋体"/>
          <w:lang w:val="en-US" w:eastAsia="zh-CN"/>
        </w:rPr>
        <w:t>不能满足生产</w:t>
      </w:r>
      <w:r>
        <w:rPr>
          <w:rFonts w:hint="eastAsia" w:ascii="宋体" w:hAnsi="宋体" w:cs="宋体"/>
        </w:rPr>
        <w:t>，随着生产的进行现有场地占地面积会</w:t>
      </w:r>
      <w:r>
        <w:rPr>
          <w:rFonts w:hint="eastAsia" w:ascii="宋体" w:hAnsi="宋体" w:cs="宋体"/>
          <w:lang w:val="en-US" w:eastAsia="zh-CN"/>
        </w:rPr>
        <w:t>增大</w:t>
      </w:r>
      <w:r>
        <w:rPr>
          <w:rFonts w:hint="eastAsia" w:ascii="宋体" w:hAnsi="宋体" w:cs="宋体"/>
        </w:rPr>
        <w:t>。</w:t>
      </w:r>
      <w:r>
        <w:rPr>
          <w:rFonts w:hint="eastAsia" w:ascii="宋体" w:hAnsi="宋体" w:cs="宋体"/>
          <w:lang w:val="en-US" w:eastAsia="zh-CN"/>
        </w:rPr>
        <w:t>增加</w:t>
      </w:r>
      <w:r>
        <w:rPr>
          <w:rFonts w:hint="eastAsia"/>
          <w:kern w:val="0"/>
          <w:szCs w:val="28"/>
          <w:lang w:val="en-US" w:eastAsia="zh-CN"/>
        </w:rPr>
        <w:t>490m平硐工业广场区</w:t>
      </w:r>
      <w:r>
        <w:rPr>
          <w:rFonts w:hint="eastAsia"/>
          <w:szCs w:val="28"/>
          <w:lang w:val="en-US" w:eastAsia="zh-CN"/>
        </w:rPr>
        <w:t>0.69</w:t>
      </w:r>
      <w:r>
        <w:rPr>
          <w:szCs w:val="28"/>
        </w:rPr>
        <w:t>h</w:t>
      </w:r>
      <w:r>
        <w:rPr>
          <w:rFonts w:hint="eastAsia"/>
          <w:szCs w:val="28"/>
        </w:rPr>
        <w:t>m²、</w:t>
      </w:r>
      <w:r>
        <w:rPr>
          <w:rFonts w:hint="eastAsia"/>
          <w:kern w:val="0"/>
          <w:szCs w:val="28"/>
          <w:lang w:val="en-US" w:eastAsia="zh-CN"/>
        </w:rPr>
        <w:t>520m平硐工业广场区</w:t>
      </w:r>
      <w:r>
        <w:rPr>
          <w:rFonts w:hint="eastAsia"/>
          <w:szCs w:val="28"/>
          <w:lang w:val="en-US" w:eastAsia="zh-CN"/>
        </w:rPr>
        <w:t>0.6608</w:t>
      </w:r>
      <w:r>
        <w:rPr>
          <w:szCs w:val="28"/>
        </w:rPr>
        <w:t>h</w:t>
      </w:r>
      <w:r>
        <w:rPr>
          <w:rFonts w:hint="eastAsia"/>
          <w:szCs w:val="28"/>
        </w:rPr>
        <w:t>m²</w:t>
      </w:r>
      <w:r>
        <w:rPr>
          <w:rFonts w:hint="eastAsia"/>
          <w:szCs w:val="28"/>
          <w:lang w:eastAsia="zh-CN"/>
        </w:rPr>
        <w:t>（</w:t>
      </w:r>
      <w:r>
        <w:rPr>
          <w:rFonts w:hint="eastAsia"/>
          <w:szCs w:val="28"/>
          <w:lang w:val="en-US" w:eastAsia="zh-CN"/>
        </w:rPr>
        <w:t>含原工业广场0.3608</w:t>
      </w:r>
      <w:r>
        <w:rPr>
          <w:szCs w:val="28"/>
        </w:rPr>
        <w:t>h</w:t>
      </w:r>
      <w:r>
        <w:rPr>
          <w:rFonts w:hint="eastAsia"/>
          <w:szCs w:val="28"/>
        </w:rPr>
        <w:t>m²</w:t>
      </w:r>
      <w:r>
        <w:rPr>
          <w:rFonts w:hint="eastAsia"/>
          <w:szCs w:val="28"/>
          <w:lang w:eastAsia="zh-CN"/>
        </w:rPr>
        <w:t>）</w:t>
      </w:r>
      <w:r>
        <w:rPr>
          <w:rFonts w:hint="eastAsia"/>
          <w:szCs w:val="28"/>
        </w:rPr>
        <w:t>、</w:t>
      </w:r>
      <w:r>
        <w:rPr>
          <w:rFonts w:hint="eastAsia"/>
          <w:kern w:val="0"/>
          <w:szCs w:val="28"/>
          <w:lang w:val="en-US" w:eastAsia="zh-CN"/>
        </w:rPr>
        <w:t>548m平硐工业广场区0.</w:t>
      </w:r>
      <w:r>
        <w:rPr>
          <w:rFonts w:hint="eastAsia"/>
          <w:szCs w:val="28"/>
          <w:lang w:val="en-US" w:eastAsia="zh-CN"/>
        </w:rPr>
        <w:t>178</w:t>
      </w:r>
      <w:r>
        <w:rPr>
          <w:szCs w:val="28"/>
        </w:rPr>
        <w:t>h</w:t>
      </w:r>
      <w:r>
        <w:rPr>
          <w:rFonts w:hint="eastAsia"/>
          <w:szCs w:val="28"/>
        </w:rPr>
        <w:t>m²</w:t>
      </w:r>
      <w:r>
        <w:rPr>
          <w:bCs/>
          <w:szCs w:val="28"/>
        </w:rPr>
        <w:t>，</w:t>
      </w:r>
      <w:r>
        <w:rPr>
          <w:rFonts w:hint="eastAsia" w:ascii="宋体" w:hAnsi="宋体" w:cs="宋体"/>
        </w:rPr>
        <w:t>根据前述地质灾害危险性评估，</w:t>
      </w:r>
      <w:r>
        <w:rPr>
          <w:rFonts w:hint="eastAsia" w:ascii="宋体" w:hAnsi="宋体" w:cs="宋体"/>
          <w:lang w:val="en-US" w:eastAsia="zh-CN"/>
        </w:rPr>
        <w:t>增加</w:t>
      </w:r>
      <w:r>
        <w:rPr>
          <w:rFonts w:hint="eastAsia" w:ascii="宋体" w:hAnsi="宋体" w:cs="宋体"/>
        </w:rPr>
        <w:t>损毁程度为中度，塌陷破坏土地类型主要为采矿用地、乔木林地</w:t>
      </w:r>
      <w:r>
        <w:t>。</w:t>
      </w:r>
    </w:p>
    <w:p w14:paraId="5E3F22D2">
      <w:pPr>
        <w:pStyle w:val="57"/>
        <w:rPr>
          <w:rFonts w:hint="eastAsia"/>
        </w:rPr>
      </w:pPr>
    </w:p>
    <w:p w14:paraId="41951EC4">
      <w:pPr>
        <w:pStyle w:val="57"/>
        <w:rPr>
          <w:rFonts w:hint="eastAsia"/>
        </w:rPr>
      </w:pPr>
    </w:p>
    <w:p w14:paraId="5D32595F">
      <w:pPr>
        <w:pStyle w:val="57"/>
        <w:rPr>
          <w:rFonts w:hint="eastAsia"/>
        </w:rPr>
      </w:pPr>
      <w:r>
        <w:rPr>
          <w:rFonts w:hint="eastAsia"/>
        </w:rPr>
        <w:t>表3-1</w:t>
      </w:r>
      <w:r>
        <w:rPr>
          <w:rFonts w:hint="eastAsia"/>
          <w:lang w:val="en-US" w:eastAsia="zh-CN"/>
        </w:rPr>
        <w:t>1</w:t>
      </w:r>
      <w:r>
        <w:rPr>
          <w:rFonts w:hint="eastAsia"/>
        </w:rPr>
        <w:t>拟损毁土地统计表hm</w:t>
      </w:r>
      <w:r>
        <w:rPr>
          <w:rFonts w:hint="eastAsia"/>
          <w:vertAlign w:val="superscript"/>
        </w:rPr>
        <w:t>2</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8"/>
        <w:gridCol w:w="3255"/>
        <w:gridCol w:w="2326"/>
        <w:gridCol w:w="1617"/>
      </w:tblGrid>
      <w:tr w14:paraId="02D9D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03" w:type="pct"/>
            <w:vMerge w:val="restart"/>
            <w:vAlign w:val="center"/>
          </w:tcPr>
          <w:p w14:paraId="6395A604">
            <w:pPr>
              <w:pStyle w:val="72"/>
              <w:rPr>
                <w:rFonts w:ascii="Times New Roman" w:hAnsi="Times New Roman"/>
                <w:szCs w:val="21"/>
              </w:rPr>
            </w:pPr>
            <w:r>
              <w:rPr>
                <w:rFonts w:ascii="Times New Roman" w:hAnsi="Times New Roman"/>
                <w:szCs w:val="21"/>
              </w:rPr>
              <w:t>损毁单元</w:t>
            </w:r>
          </w:p>
        </w:tc>
        <w:tc>
          <w:tcPr>
            <w:tcW w:w="2865" w:type="pct"/>
            <w:gridSpan w:val="2"/>
            <w:vAlign w:val="center"/>
          </w:tcPr>
          <w:p w14:paraId="05A67D7E">
            <w:pPr>
              <w:pStyle w:val="72"/>
              <w:rPr>
                <w:rFonts w:ascii="Times New Roman" w:hAnsi="Times New Roman"/>
                <w:szCs w:val="21"/>
              </w:rPr>
            </w:pPr>
            <w:r>
              <w:rPr>
                <w:rFonts w:ascii="Times New Roman" w:hAnsi="Times New Roman"/>
                <w:szCs w:val="21"/>
              </w:rPr>
              <w:t>拟损毁土地类型及面积</w:t>
            </w:r>
          </w:p>
        </w:tc>
        <w:tc>
          <w:tcPr>
            <w:tcW w:w="830" w:type="pct"/>
            <w:vMerge w:val="restart"/>
            <w:noWrap/>
            <w:vAlign w:val="center"/>
          </w:tcPr>
          <w:p w14:paraId="7927B1B8">
            <w:pPr>
              <w:pStyle w:val="72"/>
              <w:rPr>
                <w:rFonts w:ascii="Times New Roman" w:hAnsi="Times New Roman"/>
                <w:szCs w:val="21"/>
              </w:rPr>
            </w:pPr>
            <w:r>
              <w:rPr>
                <w:rFonts w:ascii="Times New Roman" w:hAnsi="Times New Roman"/>
                <w:szCs w:val="21"/>
              </w:rPr>
              <w:t>合计</w:t>
            </w:r>
          </w:p>
        </w:tc>
      </w:tr>
      <w:tr w14:paraId="321D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03" w:type="pct"/>
            <w:vMerge w:val="continue"/>
            <w:vAlign w:val="center"/>
          </w:tcPr>
          <w:p w14:paraId="22834673">
            <w:pPr>
              <w:pStyle w:val="72"/>
              <w:rPr>
                <w:rFonts w:ascii="Times New Roman" w:hAnsi="Times New Roman"/>
                <w:szCs w:val="21"/>
              </w:rPr>
            </w:pPr>
          </w:p>
        </w:tc>
        <w:tc>
          <w:tcPr>
            <w:tcW w:w="1671" w:type="pct"/>
            <w:vAlign w:val="center"/>
          </w:tcPr>
          <w:p w14:paraId="327BA9C9">
            <w:pPr>
              <w:pStyle w:val="72"/>
              <w:rPr>
                <w:rFonts w:ascii="Times New Roman" w:hAnsi="Times New Roman"/>
                <w:szCs w:val="21"/>
              </w:rPr>
            </w:pPr>
            <w:r>
              <w:rPr>
                <w:rFonts w:ascii="Times New Roman" w:hAnsi="Times New Roman"/>
                <w:szCs w:val="21"/>
              </w:rPr>
              <w:t>乔木林地</w:t>
            </w:r>
          </w:p>
        </w:tc>
        <w:tc>
          <w:tcPr>
            <w:tcW w:w="1194" w:type="pct"/>
            <w:vAlign w:val="center"/>
          </w:tcPr>
          <w:p w14:paraId="449D18AE">
            <w:pPr>
              <w:pStyle w:val="72"/>
              <w:rPr>
                <w:rFonts w:ascii="Times New Roman" w:hAnsi="Times New Roman"/>
                <w:szCs w:val="21"/>
              </w:rPr>
            </w:pPr>
            <w:r>
              <w:rPr>
                <w:rFonts w:ascii="Times New Roman" w:hAnsi="Times New Roman"/>
                <w:szCs w:val="21"/>
              </w:rPr>
              <w:t>采矿用地</w:t>
            </w:r>
          </w:p>
        </w:tc>
        <w:tc>
          <w:tcPr>
            <w:tcW w:w="830" w:type="pct"/>
            <w:vMerge w:val="continue"/>
            <w:vAlign w:val="center"/>
          </w:tcPr>
          <w:p w14:paraId="5568D771">
            <w:pPr>
              <w:pStyle w:val="72"/>
              <w:rPr>
                <w:rFonts w:ascii="Times New Roman" w:hAnsi="Times New Roman"/>
                <w:szCs w:val="21"/>
              </w:rPr>
            </w:pPr>
          </w:p>
        </w:tc>
      </w:tr>
      <w:tr w14:paraId="57F9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03" w:type="pct"/>
            <w:vMerge w:val="continue"/>
            <w:vAlign w:val="center"/>
          </w:tcPr>
          <w:p w14:paraId="24D94617">
            <w:pPr>
              <w:pStyle w:val="72"/>
              <w:rPr>
                <w:rFonts w:ascii="Times New Roman" w:hAnsi="Times New Roman"/>
                <w:szCs w:val="21"/>
              </w:rPr>
            </w:pPr>
          </w:p>
        </w:tc>
        <w:tc>
          <w:tcPr>
            <w:tcW w:w="1671" w:type="pct"/>
            <w:vAlign w:val="center"/>
          </w:tcPr>
          <w:p w14:paraId="04CC396C">
            <w:pPr>
              <w:pStyle w:val="72"/>
              <w:rPr>
                <w:rFonts w:ascii="Times New Roman" w:hAnsi="Times New Roman"/>
                <w:szCs w:val="21"/>
              </w:rPr>
            </w:pPr>
            <w:r>
              <w:rPr>
                <w:rFonts w:ascii="Times New Roman" w:hAnsi="Times New Roman"/>
                <w:szCs w:val="21"/>
              </w:rPr>
              <w:t>0301</w:t>
            </w:r>
          </w:p>
        </w:tc>
        <w:tc>
          <w:tcPr>
            <w:tcW w:w="1194" w:type="pct"/>
            <w:vAlign w:val="center"/>
          </w:tcPr>
          <w:p w14:paraId="7EA215B9">
            <w:pPr>
              <w:pStyle w:val="72"/>
              <w:rPr>
                <w:rFonts w:ascii="Times New Roman" w:hAnsi="Times New Roman"/>
                <w:szCs w:val="21"/>
              </w:rPr>
            </w:pPr>
            <w:r>
              <w:rPr>
                <w:rFonts w:ascii="Times New Roman" w:hAnsi="Times New Roman"/>
                <w:szCs w:val="21"/>
              </w:rPr>
              <w:t>0602</w:t>
            </w:r>
          </w:p>
        </w:tc>
        <w:tc>
          <w:tcPr>
            <w:tcW w:w="830" w:type="pct"/>
            <w:vMerge w:val="continue"/>
            <w:noWrap/>
            <w:vAlign w:val="center"/>
          </w:tcPr>
          <w:p w14:paraId="5D8F27DC">
            <w:pPr>
              <w:pStyle w:val="72"/>
              <w:rPr>
                <w:rFonts w:ascii="Times New Roman" w:hAnsi="Times New Roman"/>
                <w:szCs w:val="21"/>
              </w:rPr>
            </w:pPr>
          </w:p>
        </w:tc>
      </w:tr>
      <w:tr w14:paraId="0806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303" w:type="pct"/>
            <w:vAlign w:val="center"/>
          </w:tcPr>
          <w:p w14:paraId="71D8878C">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490m平硐工业广场</w:t>
            </w:r>
          </w:p>
        </w:tc>
        <w:tc>
          <w:tcPr>
            <w:tcW w:w="3255" w:type="dxa"/>
            <w:vAlign w:val="bottom"/>
          </w:tcPr>
          <w:p w14:paraId="34EE2698">
            <w:pPr>
              <w:pStyle w:val="72"/>
              <w:rPr>
                <w:rFonts w:hint="default" w:ascii="Times New Roman" w:hAnsi="Times New Roman"/>
                <w:szCs w:val="21"/>
                <w:lang w:val="en-US" w:eastAsia="zh-CN"/>
              </w:rPr>
            </w:pPr>
            <w:r>
              <w:rPr>
                <w:rFonts w:hint="default" w:ascii="Times New Roman" w:hAnsi="Times New Roman"/>
                <w:szCs w:val="21"/>
                <w:lang w:val="en-US" w:eastAsia="zh-CN"/>
              </w:rPr>
              <w:t>0.69</w:t>
            </w:r>
          </w:p>
        </w:tc>
        <w:tc>
          <w:tcPr>
            <w:tcW w:w="2326" w:type="dxa"/>
            <w:vAlign w:val="bottom"/>
          </w:tcPr>
          <w:p w14:paraId="453B4A3D">
            <w:pPr>
              <w:pStyle w:val="72"/>
              <w:rPr>
                <w:rFonts w:hint="eastAsia" w:ascii="Times New Roman" w:hAnsi="Times New Roman" w:eastAsia="仿宋"/>
                <w:szCs w:val="21"/>
                <w:lang w:val="en-US" w:eastAsia="zh-CN"/>
              </w:rPr>
            </w:pPr>
            <w:r>
              <w:rPr>
                <w:rFonts w:hint="eastAsia" w:ascii="Times New Roman" w:hAnsi="Times New Roman"/>
                <w:szCs w:val="21"/>
                <w:lang w:val="en-US" w:eastAsia="zh-CN"/>
              </w:rPr>
              <w:t>0</w:t>
            </w:r>
          </w:p>
        </w:tc>
        <w:tc>
          <w:tcPr>
            <w:tcW w:w="1617" w:type="dxa"/>
            <w:noWrap/>
            <w:vAlign w:val="bottom"/>
          </w:tcPr>
          <w:p w14:paraId="40B5583C">
            <w:pPr>
              <w:pStyle w:val="72"/>
              <w:rPr>
                <w:rFonts w:hint="default" w:ascii="Times New Roman" w:hAnsi="Times New Roman"/>
                <w:szCs w:val="21"/>
                <w:lang w:val="en-US" w:eastAsia="zh-CN"/>
              </w:rPr>
            </w:pPr>
            <w:r>
              <w:rPr>
                <w:rFonts w:hint="default" w:ascii="Times New Roman" w:hAnsi="Times New Roman"/>
                <w:szCs w:val="21"/>
                <w:lang w:val="en-US" w:eastAsia="zh-CN"/>
              </w:rPr>
              <w:t>0.69</w:t>
            </w:r>
          </w:p>
        </w:tc>
      </w:tr>
      <w:tr w14:paraId="35F1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03" w:type="pct"/>
            <w:vAlign w:val="center"/>
          </w:tcPr>
          <w:p w14:paraId="6968B456">
            <w:pPr>
              <w:pStyle w:val="72"/>
              <w:rPr>
                <w:rFonts w:hint="eastAsia" w:ascii="Times New Roman" w:hAnsi="Times New Roman"/>
                <w:szCs w:val="21"/>
                <w:lang w:eastAsia="zh-CN"/>
              </w:rPr>
            </w:pPr>
            <w:r>
              <w:rPr>
                <w:rFonts w:hint="eastAsia" w:ascii="Times New Roman" w:hAnsi="Times New Roman"/>
                <w:szCs w:val="21"/>
                <w:lang w:val="en-US" w:eastAsia="zh-CN"/>
              </w:rPr>
              <w:t>520m平硐工业广场</w:t>
            </w:r>
          </w:p>
        </w:tc>
        <w:tc>
          <w:tcPr>
            <w:tcW w:w="3255" w:type="dxa"/>
            <w:vAlign w:val="bottom"/>
          </w:tcPr>
          <w:p w14:paraId="39621F2A">
            <w:pPr>
              <w:pStyle w:val="72"/>
              <w:rPr>
                <w:rFonts w:hint="default" w:ascii="Times New Roman" w:hAnsi="Times New Roman"/>
                <w:szCs w:val="21"/>
                <w:lang w:val="en-US" w:eastAsia="zh-CN"/>
              </w:rPr>
            </w:pPr>
            <w:r>
              <w:rPr>
                <w:rFonts w:hint="default" w:ascii="Times New Roman" w:hAnsi="Times New Roman"/>
                <w:szCs w:val="21"/>
                <w:lang w:val="en-US" w:eastAsia="zh-CN"/>
              </w:rPr>
              <w:t>0.2</w:t>
            </w:r>
          </w:p>
        </w:tc>
        <w:tc>
          <w:tcPr>
            <w:tcW w:w="2326" w:type="dxa"/>
            <w:vAlign w:val="bottom"/>
          </w:tcPr>
          <w:p w14:paraId="11B50045">
            <w:pPr>
              <w:pStyle w:val="72"/>
              <w:rPr>
                <w:rFonts w:hint="default" w:ascii="Times New Roman" w:hAnsi="Times New Roman"/>
                <w:szCs w:val="21"/>
                <w:lang w:val="en-US" w:eastAsia="zh-CN"/>
              </w:rPr>
            </w:pPr>
            <w:r>
              <w:rPr>
                <w:rFonts w:hint="default" w:ascii="Times New Roman" w:hAnsi="Times New Roman"/>
                <w:szCs w:val="21"/>
                <w:lang w:val="en-US" w:eastAsia="zh-CN"/>
              </w:rPr>
              <w:t>0.1</w:t>
            </w:r>
          </w:p>
        </w:tc>
        <w:tc>
          <w:tcPr>
            <w:tcW w:w="1617" w:type="dxa"/>
            <w:noWrap/>
            <w:vAlign w:val="bottom"/>
          </w:tcPr>
          <w:p w14:paraId="5A2EF423">
            <w:pPr>
              <w:pStyle w:val="72"/>
              <w:rPr>
                <w:rFonts w:hint="default" w:ascii="Times New Roman" w:hAnsi="Times New Roman"/>
                <w:szCs w:val="21"/>
                <w:lang w:val="en-US" w:eastAsia="zh-CN"/>
              </w:rPr>
            </w:pPr>
            <w:r>
              <w:rPr>
                <w:rFonts w:hint="default" w:ascii="Times New Roman" w:hAnsi="Times New Roman"/>
                <w:szCs w:val="21"/>
                <w:lang w:val="en-US" w:eastAsia="zh-CN"/>
              </w:rPr>
              <w:t>0.3</w:t>
            </w:r>
          </w:p>
        </w:tc>
      </w:tr>
      <w:tr w14:paraId="358B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303" w:type="pct"/>
            <w:vAlign w:val="center"/>
          </w:tcPr>
          <w:p w14:paraId="7CCBCEAF">
            <w:pPr>
              <w:pStyle w:val="72"/>
              <w:rPr>
                <w:rFonts w:hint="eastAsia" w:ascii="Times New Roman" w:hAnsi="Times New Roman"/>
                <w:szCs w:val="21"/>
                <w:lang w:eastAsia="zh-CN"/>
              </w:rPr>
            </w:pPr>
            <w:r>
              <w:rPr>
                <w:rFonts w:hint="eastAsia" w:ascii="Times New Roman" w:hAnsi="Times New Roman"/>
                <w:szCs w:val="21"/>
                <w:lang w:val="en-US" w:eastAsia="zh-CN"/>
              </w:rPr>
              <w:t>548m平硐工业广场</w:t>
            </w:r>
          </w:p>
        </w:tc>
        <w:tc>
          <w:tcPr>
            <w:tcW w:w="3255" w:type="dxa"/>
            <w:vAlign w:val="bottom"/>
          </w:tcPr>
          <w:p w14:paraId="6C169C5A">
            <w:pPr>
              <w:pStyle w:val="72"/>
              <w:rPr>
                <w:rFonts w:hint="default" w:ascii="Times New Roman" w:hAnsi="Times New Roman"/>
                <w:szCs w:val="21"/>
                <w:lang w:val="en-US" w:eastAsia="zh-CN"/>
              </w:rPr>
            </w:pPr>
            <w:r>
              <w:rPr>
                <w:rFonts w:hint="default" w:ascii="Times New Roman" w:hAnsi="Times New Roman"/>
                <w:szCs w:val="21"/>
                <w:lang w:val="en-US" w:eastAsia="zh-CN"/>
              </w:rPr>
              <w:t>0.178</w:t>
            </w:r>
          </w:p>
        </w:tc>
        <w:tc>
          <w:tcPr>
            <w:tcW w:w="2326" w:type="dxa"/>
            <w:vAlign w:val="bottom"/>
          </w:tcPr>
          <w:p w14:paraId="32095839">
            <w:pPr>
              <w:pStyle w:val="72"/>
              <w:rPr>
                <w:rFonts w:hint="eastAsia" w:ascii="Times New Roman" w:hAnsi="Times New Roman" w:eastAsia="仿宋"/>
                <w:szCs w:val="21"/>
                <w:lang w:val="en-US" w:eastAsia="zh-CN"/>
              </w:rPr>
            </w:pPr>
            <w:r>
              <w:rPr>
                <w:rFonts w:hint="eastAsia" w:ascii="Times New Roman" w:hAnsi="Times New Roman"/>
                <w:szCs w:val="21"/>
                <w:lang w:val="en-US" w:eastAsia="zh-CN"/>
              </w:rPr>
              <w:t>0</w:t>
            </w:r>
          </w:p>
        </w:tc>
        <w:tc>
          <w:tcPr>
            <w:tcW w:w="1617" w:type="dxa"/>
            <w:noWrap/>
            <w:vAlign w:val="bottom"/>
          </w:tcPr>
          <w:p w14:paraId="702F8346">
            <w:pPr>
              <w:pStyle w:val="72"/>
              <w:rPr>
                <w:rFonts w:hint="default" w:ascii="Times New Roman" w:hAnsi="Times New Roman"/>
                <w:szCs w:val="21"/>
                <w:lang w:val="en-US" w:eastAsia="zh-CN"/>
              </w:rPr>
            </w:pPr>
            <w:r>
              <w:rPr>
                <w:rFonts w:hint="default" w:ascii="Times New Roman" w:hAnsi="Times New Roman"/>
                <w:szCs w:val="21"/>
                <w:lang w:val="en-US" w:eastAsia="zh-CN"/>
              </w:rPr>
              <w:t>0.178</w:t>
            </w:r>
          </w:p>
        </w:tc>
      </w:tr>
      <w:tr w14:paraId="5843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303" w:type="pct"/>
            <w:vAlign w:val="center"/>
          </w:tcPr>
          <w:p w14:paraId="6642A6D1">
            <w:pPr>
              <w:pStyle w:val="72"/>
              <w:rPr>
                <w:rFonts w:hint="default" w:ascii="Times New Roman" w:hAnsi="Times New Roman"/>
                <w:szCs w:val="21"/>
                <w:lang w:val="en-US" w:eastAsia="zh-CN"/>
              </w:rPr>
            </w:pPr>
            <w:r>
              <w:rPr>
                <w:rFonts w:hint="eastAsia" w:ascii="Times New Roman" w:hAnsi="Times New Roman"/>
                <w:szCs w:val="21"/>
                <w:lang w:val="en-US" w:eastAsia="zh-CN"/>
              </w:rPr>
              <w:t>地裂缝</w:t>
            </w:r>
          </w:p>
        </w:tc>
        <w:tc>
          <w:tcPr>
            <w:tcW w:w="3255" w:type="dxa"/>
            <w:vAlign w:val="bottom"/>
          </w:tcPr>
          <w:p w14:paraId="20AA22BB">
            <w:pPr>
              <w:pStyle w:val="72"/>
              <w:rPr>
                <w:rFonts w:hint="default" w:ascii="Times New Roman" w:hAnsi="Times New Roman"/>
                <w:szCs w:val="21"/>
                <w:lang w:val="en-US" w:eastAsia="zh-CN"/>
              </w:rPr>
            </w:pPr>
            <w:r>
              <w:rPr>
                <w:rFonts w:hint="eastAsia" w:ascii="Times New Roman" w:hAnsi="Times New Roman"/>
                <w:szCs w:val="21"/>
                <w:lang w:val="en-US" w:eastAsia="zh-CN"/>
              </w:rPr>
              <w:t>0</w:t>
            </w:r>
          </w:p>
        </w:tc>
        <w:tc>
          <w:tcPr>
            <w:tcW w:w="2326" w:type="dxa"/>
            <w:vAlign w:val="bottom"/>
          </w:tcPr>
          <w:p w14:paraId="56FAEBBE">
            <w:pPr>
              <w:pStyle w:val="72"/>
              <w:rPr>
                <w:rFonts w:hint="eastAsia" w:ascii="Times New Roman" w:hAnsi="Times New Roman" w:eastAsia="仿宋"/>
                <w:szCs w:val="21"/>
                <w:lang w:val="en-US" w:eastAsia="zh-CN"/>
              </w:rPr>
            </w:pPr>
            <w:r>
              <w:rPr>
                <w:rFonts w:hint="eastAsia" w:ascii="Times New Roman" w:hAnsi="Times New Roman"/>
                <w:szCs w:val="21"/>
                <w:lang w:val="en-US" w:eastAsia="zh-CN"/>
              </w:rPr>
              <w:t>0</w:t>
            </w:r>
          </w:p>
        </w:tc>
        <w:tc>
          <w:tcPr>
            <w:tcW w:w="1617" w:type="dxa"/>
            <w:noWrap/>
            <w:vAlign w:val="bottom"/>
          </w:tcPr>
          <w:p w14:paraId="106F9514">
            <w:pPr>
              <w:pStyle w:val="72"/>
              <w:rPr>
                <w:rFonts w:hint="default" w:ascii="Times New Roman" w:hAnsi="Times New Roman"/>
                <w:szCs w:val="21"/>
                <w:lang w:val="en-US" w:eastAsia="zh-CN"/>
              </w:rPr>
            </w:pPr>
            <w:r>
              <w:rPr>
                <w:rFonts w:hint="eastAsia" w:ascii="Times New Roman" w:hAnsi="Times New Roman"/>
                <w:szCs w:val="21"/>
                <w:lang w:val="en-US" w:eastAsia="zh-CN"/>
              </w:rPr>
              <w:t>0</w:t>
            </w:r>
          </w:p>
        </w:tc>
      </w:tr>
      <w:tr w14:paraId="0E95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03" w:type="pct"/>
            <w:vAlign w:val="center"/>
          </w:tcPr>
          <w:p w14:paraId="07DCD774">
            <w:pPr>
              <w:pStyle w:val="72"/>
              <w:rPr>
                <w:rFonts w:ascii="Times New Roman" w:hAnsi="Times New Roman"/>
                <w:szCs w:val="21"/>
              </w:rPr>
            </w:pPr>
            <w:r>
              <w:rPr>
                <w:rFonts w:ascii="Times New Roman" w:hAnsi="Times New Roman"/>
                <w:szCs w:val="21"/>
              </w:rPr>
              <w:t>合计</w:t>
            </w:r>
          </w:p>
        </w:tc>
        <w:tc>
          <w:tcPr>
            <w:tcW w:w="3255" w:type="dxa"/>
            <w:vAlign w:val="bottom"/>
          </w:tcPr>
          <w:p w14:paraId="21E855E4">
            <w:pPr>
              <w:pStyle w:val="72"/>
              <w:rPr>
                <w:rFonts w:hint="default" w:ascii="Times New Roman" w:hAnsi="Times New Roman"/>
                <w:szCs w:val="21"/>
                <w:lang w:val="en-US" w:eastAsia="zh-CN"/>
              </w:rPr>
            </w:pPr>
            <w:r>
              <w:rPr>
                <w:rFonts w:hint="default" w:ascii="Times New Roman" w:hAnsi="Times New Roman"/>
                <w:szCs w:val="21"/>
                <w:lang w:val="en-US" w:eastAsia="zh-CN"/>
              </w:rPr>
              <w:t>1.068</w:t>
            </w:r>
          </w:p>
        </w:tc>
        <w:tc>
          <w:tcPr>
            <w:tcW w:w="2326" w:type="dxa"/>
            <w:vAlign w:val="bottom"/>
          </w:tcPr>
          <w:p w14:paraId="0B916153">
            <w:pPr>
              <w:pStyle w:val="72"/>
              <w:rPr>
                <w:rFonts w:ascii="Times New Roman" w:hAnsi="Times New Roman"/>
                <w:szCs w:val="21"/>
              </w:rPr>
            </w:pPr>
            <w:r>
              <w:rPr>
                <w:rFonts w:hint="default" w:ascii="Times New Roman" w:hAnsi="Times New Roman"/>
                <w:szCs w:val="21"/>
                <w:lang w:val="en-US" w:eastAsia="zh-CN"/>
              </w:rPr>
              <w:t>0.1</w:t>
            </w:r>
          </w:p>
        </w:tc>
        <w:tc>
          <w:tcPr>
            <w:tcW w:w="1617" w:type="dxa"/>
            <w:noWrap/>
            <w:vAlign w:val="center"/>
          </w:tcPr>
          <w:p w14:paraId="6D707715">
            <w:pPr>
              <w:pStyle w:val="72"/>
              <w:rPr>
                <w:rFonts w:hint="default" w:ascii="Times New Roman" w:hAnsi="Times New Roman"/>
                <w:szCs w:val="21"/>
                <w:lang w:val="en-US" w:eastAsia="zh-CN"/>
              </w:rPr>
            </w:pPr>
            <w:r>
              <w:rPr>
                <w:rFonts w:hint="eastAsia" w:ascii="Times New Roman" w:hAnsi="Times New Roman"/>
                <w:szCs w:val="21"/>
                <w:lang w:val="en-US" w:eastAsia="zh-CN"/>
              </w:rPr>
              <w:t>1.168</w:t>
            </w:r>
          </w:p>
        </w:tc>
      </w:tr>
    </w:tbl>
    <w:p w14:paraId="45BCAA7B">
      <w:pPr>
        <w:pStyle w:val="5"/>
        <w:pageBreakBefore/>
      </w:pPr>
      <w:bookmarkStart w:id="111" w:name="_Toc211790756"/>
      <w:r>
        <w:t>（三）问题诊断评价结论</w:t>
      </w:r>
      <w:bookmarkEnd w:id="111"/>
    </w:p>
    <w:p w14:paraId="71E4FC5C">
      <w:pPr>
        <w:ind w:firstLine="562"/>
        <w:rPr>
          <w:b/>
          <w:bCs/>
        </w:rPr>
      </w:pPr>
      <w:r>
        <w:rPr>
          <w:b/>
          <w:bCs/>
          <w:szCs w:val="28"/>
        </w:rPr>
        <w:t>1.</w:t>
      </w:r>
      <w:r>
        <w:rPr>
          <w:b/>
          <w:bCs/>
        </w:rPr>
        <w:t>矿山地质环境问题评价结论</w:t>
      </w:r>
    </w:p>
    <w:p w14:paraId="78B240CA">
      <w:pPr>
        <w:ind w:firstLine="560"/>
      </w:pPr>
      <w:r>
        <w:t>（1）矿山地质环境影响问题现状结论</w:t>
      </w:r>
    </w:p>
    <w:p w14:paraId="696C90D2">
      <w:pPr>
        <w:ind w:firstLine="560"/>
      </w:pPr>
      <w:r>
        <w:t>地质灾害：评估区内现状矿山地质灾害</w:t>
      </w:r>
      <w:r>
        <w:rPr>
          <w:rFonts w:hint="eastAsia"/>
        </w:rPr>
        <w:t>不发育</w:t>
      </w:r>
      <w:r>
        <w:t>。</w:t>
      </w:r>
    </w:p>
    <w:p w14:paraId="04FCC9D8">
      <w:pPr>
        <w:ind w:firstLine="560"/>
      </w:pPr>
      <w:r>
        <w:t>含水层：评估区现状含水层破坏较</w:t>
      </w:r>
      <w:r>
        <w:rPr>
          <w:rFonts w:hint="eastAsia"/>
          <w:lang w:val="en-US" w:eastAsia="zh-CN"/>
        </w:rPr>
        <w:t>轻</w:t>
      </w:r>
      <w:r>
        <w:t>。</w:t>
      </w:r>
    </w:p>
    <w:p w14:paraId="70D8191D">
      <w:pPr>
        <w:ind w:firstLine="560"/>
        <w:rPr>
          <w:color w:val="000000"/>
        </w:rPr>
      </w:pPr>
      <w:r>
        <w:t>地形地貌：现状</w:t>
      </w:r>
      <w:r>
        <w:rPr>
          <w:color w:val="000000"/>
        </w:rPr>
        <w:t>矿山</w:t>
      </w:r>
      <w:r>
        <w:rPr>
          <w:rFonts w:hint="eastAsia"/>
          <w:color w:val="000000"/>
          <w:lang w:eastAsia="zh-CN"/>
        </w:rPr>
        <w:t>工业广场、三处废弃</w:t>
      </w:r>
      <w:r>
        <w:rPr>
          <w:rFonts w:hint="eastAsia"/>
          <w:color w:val="000000"/>
          <w:lang w:val="en-US" w:eastAsia="zh-CN"/>
        </w:rPr>
        <w:t>平硐</w:t>
      </w:r>
      <w:r>
        <w:rPr>
          <w:color w:val="000000"/>
        </w:rPr>
        <w:t>对矿区地形地貌影响程度严重，面积</w:t>
      </w:r>
      <w:r>
        <w:rPr>
          <w:rFonts w:hint="eastAsia"/>
          <w:color w:val="000000"/>
          <w:lang w:val="en-US" w:eastAsia="zh-CN"/>
        </w:rPr>
        <w:t>0.3608</w:t>
      </w:r>
      <w:r>
        <w:t>h</w:t>
      </w:r>
      <w:r>
        <w:rPr>
          <w:rFonts w:hint="eastAsia"/>
        </w:rPr>
        <w:t>m²</w:t>
      </w:r>
      <w:r>
        <w:rPr>
          <w:color w:val="000000"/>
        </w:rPr>
        <w:t>；其他地区对矿区地形地貌影响程度较轻，面积</w:t>
      </w:r>
      <w:r>
        <w:rPr>
          <w:rFonts w:hint="eastAsia"/>
          <w:lang w:eastAsia="zh-CN"/>
        </w:rPr>
        <w:t>46.6392</w:t>
      </w:r>
      <w:r>
        <w:t>h</w:t>
      </w:r>
      <w:r>
        <w:rPr>
          <w:rFonts w:hint="eastAsia"/>
        </w:rPr>
        <w:t>m²</w:t>
      </w:r>
      <w:r>
        <w:rPr>
          <w:color w:val="000000"/>
        </w:rPr>
        <w:t>。</w:t>
      </w:r>
    </w:p>
    <w:p w14:paraId="2D486FD6">
      <w:pPr>
        <w:ind w:firstLine="560"/>
        <w:rPr>
          <w:color w:val="000000"/>
        </w:rPr>
      </w:pPr>
      <w:r>
        <w:rPr>
          <w:color w:val="000000"/>
        </w:rPr>
        <w:t>水土环境：</w:t>
      </w:r>
      <w:r>
        <w:t>评估区现状矿山开采对矿区水土环境污染较</w:t>
      </w:r>
      <w:r>
        <w:rPr>
          <w:rFonts w:hint="eastAsia"/>
          <w:lang w:val="en-US" w:eastAsia="zh-CN"/>
        </w:rPr>
        <w:t>轻</w:t>
      </w:r>
      <w:r>
        <w:t>。</w:t>
      </w:r>
    </w:p>
    <w:p w14:paraId="4EF739C9">
      <w:pPr>
        <w:ind w:firstLine="560"/>
        <w:rPr>
          <w:color w:val="000000"/>
        </w:rPr>
      </w:pPr>
      <w:r>
        <w:rPr>
          <w:color w:val="000000"/>
        </w:rPr>
        <w:t>（2）矿山地质环境问题预测结论</w:t>
      </w:r>
    </w:p>
    <w:p w14:paraId="7D70B413">
      <w:pPr>
        <w:ind w:firstLine="560"/>
        <w:rPr>
          <w:rFonts w:hint="eastAsia" w:eastAsia="宋体"/>
          <w:color w:val="000000"/>
          <w:lang w:eastAsia="zh-CN"/>
        </w:rPr>
      </w:pPr>
      <w:r>
        <w:rPr>
          <w:color w:val="000000"/>
        </w:rPr>
        <w:t>地质灾害：</w:t>
      </w:r>
      <w:r>
        <w:rPr>
          <w:rFonts w:hint="eastAsia"/>
          <w:color w:val="000000"/>
        </w:rPr>
        <w:t>预测地下开采</w:t>
      </w:r>
      <w:r>
        <w:rPr>
          <w:color w:val="000000"/>
        </w:rPr>
        <w:t>发生</w:t>
      </w:r>
      <w:r>
        <w:rPr>
          <w:rFonts w:hint="eastAsia"/>
          <w:color w:val="000000"/>
          <w:lang w:val="en-US" w:eastAsia="zh-CN"/>
        </w:rPr>
        <w:t>地裂缝</w:t>
      </w:r>
      <w:r>
        <w:rPr>
          <w:rFonts w:hint="eastAsia"/>
          <w:color w:val="000000"/>
        </w:rPr>
        <w:t>的</w:t>
      </w:r>
      <w:r>
        <w:rPr>
          <w:color w:val="000000"/>
        </w:rPr>
        <w:t>可能性</w:t>
      </w:r>
      <w:r>
        <w:rPr>
          <w:rFonts w:hint="eastAsia"/>
          <w:color w:val="000000"/>
        </w:rPr>
        <w:t>较大</w:t>
      </w:r>
      <w:r>
        <w:rPr>
          <w:color w:val="000000"/>
        </w:rPr>
        <w:t>，危害程度</w:t>
      </w:r>
      <w:r>
        <w:rPr>
          <w:rFonts w:hint="eastAsia"/>
          <w:color w:val="000000"/>
          <w:lang w:val="en-US" w:eastAsia="zh-CN"/>
        </w:rPr>
        <w:t>小</w:t>
      </w:r>
      <w:r>
        <w:rPr>
          <w:color w:val="000000"/>
        </w:rPr>
        <w:t>，危险性</w:t>
      </w:r>
      <w:r>
        <w:rPr>
          <w:rFonts w:hint="eastAsia"/>
          <w:color w:val="000000"/>
          <w:lang w:val="en-US" w:eastAsia="zh-CN"/>
        </w:rPr>
        <w:t>小</w:t>
      </w:r>
      <w:r>
        <w:rPr>
          <w:color w:val="000000"/>
        </w:rPr>
        <w:t>，影响程度较</w:t>
      </w:r>
      <w:r>
        <w:rPr>
          <w:rFonts w:hint="eastAsia"/>
          <w:color w:val="000000"/>
          <w:lang w:val="en-US" w:eastAsia="zh-CN"/>
        </w:rPr>
        <w:t>轻</w:t>
      </w:r>
      <w:r>
        <w:rPr>
          <w:color w:val="000000"/>
        </w:rPr>
        <w:t>；</w:t>
      </w:r>
    </w:p>
    <w:p w14:paraId="67B937DC">
      <w:pPr>
        <w:ind w:firstLine="560"/>
        <w:rPr>
          <w:rFonts w:hint="eastAsia" w:eastAsia="宋体"/>
          <w:color w:val="000000"/>
          <w:lang w:eastAsia="zh-CN"/>
        </w:rPr>
      </w:pPr>
      <w:r>
        <w:rPr>
          <w:color w:val="000000"/>
        </w:rPr>
        <w:t>含水层：预测采矿活动对地下含水层的影响和破坏程度较</w:t>
      </w:r>
      <w:r>
        <w:rPr>
          <w:rFonts w:hint="eastAsia"/>
          <w:color w:val="000000"/>
        </w:rPr>
        <w:t>严重</w:t>
      </w:r>
      <w:r>
        <w:rPr>
          <w:color w:val="000000"/>
        </w:rPr>
        <w:t>；</w:t>
      </w:r>
    </w:p>
    <w:p w14:paraId="47A0CF9C">
      <w:pPr>
        <w:overflowPunct w:val="0"/>
        <w:ind w:firstLine="560"/>
        <w:rPr>
          <w:color w:val="000000"/>
        </w:rPr>
      </w:pPr>
      <w:r>
        <w:rPr>
          <w:color w:val="000000"/>
        </w:rPr>
        <w:t>地形地貌：</w:t>
      </w:r>
      <w:r>
        <w:rPr>
          <w:rFonts w:hint="eastAsia"/>
          <w:color w:val="000000"/>
          <w:lang w:val="en-US" w:eastAsia="zh-CN"/>
        </w:rPr>
        <w:t>原工业广场0.3608</w:t>
      </w:r>
      <w:r>
        <w:t>h</w:t>
      </w:r>
      <w:r>
        <w:rPr>
          <w:rFonts w:hint="eastAsia"/>
        </w:rPr>
        <w:t>m²</w:t>
      </w:r>
      <w:r>
        <w:rPr>
          <w:rFonts w:hint="eastAsia"/>
          <w:lang w:eastAsia="zh-CN"/>
        </w:rPr>
        <w:t>，</w:t>
      </w:r>
      <w:r>
        <w:rPr>
          <w:rFonts w:hint="eastAsia"/>
          <w:lang w:val="en-US" w:eastAsia="zh-CN"/>
        </w:rPr>
        <w:t>三处废弃平硐，和</w:t>
      </w:r>
      <w:r>
        <w:rPr>
          <w:rFonts w:hint="eastAsia"/>
          <w:color w:val="000000"/>
          <w:lang w:val="en-US" w:eastAsia="zh-CN"/>
        </w:rPr>
        <w:t>后期</w:t>
      </w:r>
      <w:r>
        <w:rPr>
          <w:rFonts w:hint="eastAsia"/>
          <w:color w:val="000000"/>
          <w:lang w:eastAsia="zh-CN"/>
        </w:rPr>
        <w:t>490m平硐工业广场</w:t>
      </w:r>
      <w:r>
        <w:rPr>
          <w:rFonts w:hint="eastAsia"/>
          <w:color w:val="000000"/>
          <w:lang w:val="en-US" w:eastAsia="zh-CN"/>
        </w:rPr>
        <w:t>0.69</w:t>
      </w:r>
      <w:r>
        <w:t>h</w:t>
      </w:r>
      <w:r>
        <w:rPr>
          <w:rFonts w:hint="eastAsia"/>
        </w:rPr>
        <w:t>m²</w:t>
      </w:r>
      <w:r>
        <w:rPr>
          <w:rFonts w:hint="eastAsia"/>
          <w:lang w:eastAsia="zh-CN"/>
        </w:rPr>
        <w:t>，</w:t>
      </w:r>
      <w:r>
        <w:rPr>
          <w:rFonts w:hint="eastAsia"/>
          <w:color w:val="000000"/>
          <w:lang w:eastAsia="zh-CN"/>
        </w:rPr>
        <w:t>、520m平硐工业广场</w:t>
      </w:r>
      <w:r>
        <w:rPr>
          <w:rFonts w:hint="eastAsia"/>
          <w:color w:val="000000"/>
          <w:lang w:val="en-US" w:eastAsia="zh-CN"/>
        </w:rPr>
        <w:t>0.6608</w:t>
      </w:r>
      <w:r>
        <w:t>h</w:t>
      </w:r>
      <w:r>
        <w:rPr>
          <w:rFonts w:hint="eastAsia"/>
        </w:rPr>
        <w:t>m²</w:t>
      </w:r>
      <w:r>
        <w:rPr>
          <w:rFonts w:hint="eastAsia"/>
          <w:lang w:eastAsia="zh-CN"/>
        </w:rPr>
        <w:t>（</w:t>
      </w:r>
      <w:r>
        <w:rPr>
          <w:rFonts w:hint="eastAsia"/>
          <w:lang w:val="en-US" w:eastAsia="zh-CN"/>
        </w:rPr>
        <w:t>含原来工业广场0.3608</w:t>
      </w:r>
      <w:r>
        <w:t>h</w:t>
      </w:r>
      <w:r>
        <w:rPr>
          <w:rFonts w:hint="eastAsia"/>
        </w:rPr>
        <w:t>m²</w:t>
      </w:r>
      <w:r>
        <w:rPr>
          <w:rFonts w:hint="eastAsia"/>
          <w:lang w:eastAsia="zh-CN"/>
        </w:rPr>
        <w:t>）</w:t>
      </w:r>
      <w:r>
        <w:rPr>
          <w:rFonts w:hint="eastAsia"/>
          <w:color w:val="000000"/>
          <w:lang w:eastAsia="zh-CN"/>
        </w:rPr>
        <w:t>、548m平硐工业广场</w:t>
      </w:r>
      <w:r>
        <w:rPr>
          <w:rFonts w:hint="eastAsia"/>
          <w:color w:val="000000"/>
          <w:lang w:val="en-US" w:eastAsia="zh-CN"/>
        </w:rPr>
        <w:t>0.178</w:t>
      </w:r>
      <w:r>
        <w:t>h</w:t>
      </w:r>
      <w:r>
        <w:rPr>
          <w:rFonts w:hint="eastAsia"/>
        </w:rPr>
        <w:t>m²</w:t>
      </w:r>
      <w:r>
        <w:rPr>
          <w:rFonts w:hint="eastAsia"/>
          <w:lang w:eastAsia="zh-CN"/>
        </w:rPr>
        <w:t>，</w:t>
      </w:r>
      <w:r>
        <w:rPr>
          <w:rFonts w:hint="eastAsia"/>
          <w:color w:val="000000"/>
        </w:rPr>
        <w:t>对</w:t>
      </w:r>
      <w:r>
        <w:rPr>
          <w:color w:val="000000"/>
        </w:rPr>
        <w:t>矿区地形地貌影响程度严重，面积</w:t>
      </w:r>
      <w:r>
        <w:rPr>
          <w:rFonts w:hint="eastAsia"/>
          <w:color w:val="000000"/>
          <w:lang w:val="en-US" w:eastAsia="zh-CN"/>
        </w:rPr>
        <w:t>1.5288</w:t>
      </w:r>
      <w:r>
        <w:t>h</w:t>
      </w:r>
      <w:r>
        <w:rPr>
          <w:rFonts w:hint="eastAsia"/>
        </w:rPr>
        <w:t>m²</w:t>
      </w:r>
      <w:r>
        <w:rPr>
          <w:color w:val="000000"/>
        </w:rPr>
        <w:t>；其他地区对矿区地形地貌影响程度较轻，面积</w:t>
      </w:r>
      <w:r>
        <w:rPr>
          <w:rFonts w:hint="eastAsia"/>
          <w:lang w:eastAsia="zh-CN"/>
        </w:rPr>
        <w:t>45.4712</w:t>
      </w:r>
      <w:r>
        <w:t>h</w:t>
      </w:r>
      <w:r>
        <w:rPr>
          <w:rFonts w:hint="eastAsia"/>
        </w:rPr>
        <w:t>m</w:t>
      </w:r>
      <w:r>
        <w:rPr>
          <w:rFonts w:hint="default" w:ascii="Times New Roman" w:hAnsi="Times New Roman" w:cs="Times New Roman"/>
        </w:rPr>
        <w:t>²</w:t>
      </w:r>
      <w:r>
        <w:rPr>
          <w:color w:val="000000"/>
        </w:rPr>
        <w:t>。</w:t>
      </w:r>
    </w:p>
    <w:p w14:paraId="7F496198">
      <w:pPr>
        <w:ind w:firstLine="560"/>
        <w:rPr>
          <w:color w:val="000000"/>
        </w:rPr>
      </w:pPr>
      <w:r>
        <w:rPr>
          <w:color w:val="000000"/>
        </w:rPr>
        <w:t>水土环境：预测对水土环境的影响和破坏程度较</w:t>
      </w:r>
      <w:r>
        <w:rPr>
          <w:rFonts w:hint="eastAsia"/>
          <w:color w:val="000000"/>
        </w:rPr>
        <w:t>严重</w:t>
      </w:r>
      <w:r>
        <w:rPr>
          <w:color w:val="000000"/>
        </w:rPr>
        <w:t>。</w:t>
      </w:r>
    </w:p>
    <w:p w14:paraId="3D3200D3">
      <w:pPr>
        <w:ind w:firstLine="560"/>
        <w:rPr>
          <w:color w:val="000000"/>
        </w:rPr>
      </w:pPr>
      <w:r>
        <w:rPr>
          <w:color w:val="000000"/>
        </w:rPr>
        <w:t>在对评估区地质灾害危险性、地下含水层破坏、地形地貌景观和水土环境影响等单因素预测评估的基础上，按单因素就高不就低的原则，综合考虑危害对象、损失与治理难度，就矿山开采破坏区单元，对矿山地质环境问题划分为“严重”“较严重”“较轻区”三个等级，详见表3-</w:t>
      </w:r>
      <w:r>
        <w:rPr>
          <w:rFonts w:hint="eastAsia"/>
          <w:color w:val="000000"/>
        </w:rPr>
        <w:t>1</w:t>
      </w:r>
      <w:r>
        <w:rPr>
          <w:rFonts w:hint="eastAsia"/>
          <w:color w:val="000000"/>
          <w:lang w:val="en-US" w:eastAsia="zh-CN"/>
        </w:rPr>
        <w:t>2</w:t>
      </w:r>
      <w:r>
        <w:rPr>
          <w:color w:val="000000"/>
        </w:rPr>
        <w:t>及图3-</w:t>
      </w:r>
      <w:r>
        <w:rPr>
          <w:rFonts w:hint="eastAsia"/>
          <w:color w:val="000000"/>
        </w:rPr>
        <w:t>10</w:t>
      </w:r>
      <w:r>
        <w:rPr>
          <w:color w:val="000000"/>
        </w:rPr>
        <w:t>矿区生态破坏程度综合评价图。</w:t>
      </w:r>
    </w:p>
    <w:p w14:paraId="2CE9DF77">
      <w:pPr>
        <w:widowControl/>
        <w:adjustRightInd/>
        <w:snapToGrid/>
        <w:spacing w:line="240" w:lineRule="auto"/>
        <w:ind w:firstLine="0" w:firstLineChars="0"/>
        <w:rPr>
          <w:color w:val="000000"/>
        </w:rPr>
      </w:pPr>
      <w:r>
        <w:rPr>
          <w:color w:val="000000"/>
        </w:rPr>
        <w:br w:type="page"/>
      </w:r>
    </w:p>
    <w:p w14:paraId="42567B30">
      <w:pPr>
        <w:pStyle w:val="57"/>
        <w:rPr>
          <w:rFonts w:ascii="Times New Roman" w:hAnsi="Times New Roman"/>
        </w:rPr>
      </w:pPr>
      <w:r>
        <w:rPr>
          <w:rFonts w:ascii="Times New Roman" w:hAnsi="Times New Roman"/>
        </w:rPr>
        <w:t>表3-</w:t>
      </w:r>
      <w:r>
        <w:rPr>
          <w:rFonts w:hint="eastAsia" w:ascii="Times New Roman" w:hAnsi="Times New Roman"/>
        </w:rPr>
        <w:t>1</w:t>
      </w:r>
      <w:r>
        <w:rPr>
          <w:rFonts w:hint="eastAsia" w:ascii="Times New Roman" w:hAnsi="Times New Roman"/>
          <w:lang w:val="en-US" w:eastAsia="zh-CN"/>
        </w:rPr>
        <w:t>2</w:t>
      </w:r>
      <w:r>
        <w:rPr>
          <w:rFonts w:ascii="Times New Roman" w:hAnsi="Times New Roman"/>
        </w:rPr>
        <w:t>矿区地质环境问题评价表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1126"/>
        <w:gridCol w:w="3337"/>
        <w:gridCol w:w="1270"/>
        <w:gridCol w:w="1447"/>
        <w:gridCol w:w="1654"/>
      </w:tblGrid>
      <w:tr w14:paraId="388C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463" w:type="pct"/>
            <w:vMerge w:val="restart"/>
            <w:vAlign w:val="center"/>
          </w:tcPr>
          <w:p w14:paraId="0AC0C6CB">
            <w:pPr>
              <w:pStyle w:val="72"/>
              <w:rPr>
                <w:rFonts w:ascii="Times New Roman" w:hAnsi="Times New Roman"/>
              </w:rPr>
            </w:pPr>
            <w:r>
              <w:rPr>
                <w:rFonts w:ascii="Times New Roman" w:hAnsi="Times New Roman"/>
              </w:rPr>
              <w:t>评价单元</w:t>
            </w:r>
          </w:p>
        </w:tc>
        <w:tc>
          <w:tcPr>
            <w:tcW w:w="578" w:type="pct"/>
            <w:vMerge w:val="restart"/>
            <w:vAlign w:val="center"/>
          </w:tcPr>
          <w:p w14:paraId="209711DF">
            <w:pPr>
              <w:pStyle w:val="72"/>
              <w:rPr>
                <w:rFonts w:ascii="Times New Roman" w:hAnsi="Times New Roman"/>
              </w:rPr>
            </w:pPr>
            <w:r>
              <w:rPr>
                <w:rFonts w:ascii="Times New Roman" w:hAnsi="Times New Roman"/>
              </w:rPr>
              <w:t>面积</w:t>
            </w:r>
          </w:p>
          <w:p w14:paraId="5E954D5C">
            <w:pPr>
              <w:pStyle w:val="72"/>
              <w:rPr>
                <w:rFonts w:ascii="Times New Roman" w:hAnsi="Times New Roman"/>
              </w:rPr>
            </w:pPr>
            <w:r>
              <w:rPr>
                <w:rFonts w:ascii="Times New Roman" w:hAnsi="Times New Roman"/>
              </w:rPr>
              <w:t>(h</w:t>
            </w:r>
            <w:r>
              <w:rPr>
                <w:rFonts w:hint="eastAsia" w:ascii="Times New Roman" w:hAnsi="Times New Roman"/>
              </w:rPr>
              <w:t>m²</w:t>
            </w:r>
            <w:r>
              <w:rPr>
                <w:rFonts w:ascii="Times New Roman" w:hAnsi="Times New Roman"/>
              </w:rPr>
              <w:t>)</w:t>
            </w:r>
          </w:p>
        </w:tc>
        <w:tc>
          <w:tcPr>
            <w:tcW w:w="3108" w:type="pct"/>
            <w:gridSpan w:val="3"/>
            <w:vAlign w:val="center"/>
          </w:tcPr>
          <w:p w14:paraId="20C5A8DA">
            <w:pPr>
              <w:pStyle w:val="72"/>
              <w:rPr>
                <w:rFonts w:ascii="Times New Roman" w:hAnsi="Times New Roman"/>
              </w:rPr>
            </w:pPr>
            <w:r>
              <w:rPr>
                <w:rFonts w:ascii="Times New Roman" w:hAnsi="Times New Roman"/>
              </w:rPr>
              <w:t>矿山地质环境影响程度评估</w:t>
            </w:r>
          </w:p>
        </w:tc>
        <w:tc>
          <w:tcPr>
            <w:tcW w:w="849" w:type="pct"/>
            <w:vMerge w:val="restart"/>
            <w:vAlign w:val="center"/>
          </w:tcPr>
          <w:p w14:paraId="59EB7249">
            <w:pPr>
              <w:pStyle w:val="72"/>
              <w:rPr>
                <w:rFonts w:ascii="Times New Roman" w:hAnsi="Times New Roman"/>
              </w:rPr>
            </w:pPr>
            <w:r>
              <w:rPr>
                <w:rFonts w:ascii="Times New Roman" w:hAnsi="Times New Roman"/>
              </w:rPr>
              <w:t>矿山地质环境破坏分区</w:t>
            </w:r>
          </w:p>
        </w:tc>
      </w:tr>
      <w:tr w14:paraId="6663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blHeader/>
          <w:jc w:val="center"/>
        </w:trPr>
        <w:tc>
          <w:tcPr>
            <w:tcW w:w="463" w:type="pct"/>
            <w:vMerge w:val="continue"/>
            <w:vAlign w:val="center"/>
          </w:tcPr>
          <w:p w14:paraId="756B42F8">
            <w:pPr>
              <w:pStyle w:val="72"/>
              <w:rPr>
                <w:rFonts w:ascii="Times New Roman" w:hAnsi="Times New Roman"/>
              </w:rPr>
            </w:pPr>
          </w:p>
        </w:tc>
        <w:tc>
          <w:tcPr>
            <w:tcW w:w="578" w:type="pct"/>
            <w:vMerge w:val="continue"/>
            <w:vAlign w:val="center"/>
          </w:tcPr>
          <w:p w14:paraId="2EF52C64">
            <w:pPr>
              <w:pStyle w:val="72"/>
              <w:rPr>
                <w:rFonts w:ascii="Times New Roman" w:hAnsi="Times New Roman"/>
              </w:rPr>
            </w:pPr>
          </w:p>
        </w:tc>
        <w:tc>
          <w:tcPr>
            <w:tcW w:w="1713" w:type="pct"/>
            <w:vAlign w:val="center"/>
          </w:tcPr>
          <w:p w14:paraId="0EB4BB64">
            <w:pPr>
              <w:pStyle w:val="72"/>
              <w:rPr>
                <w:rFonts w:ascii="Times New Roman" w:hAnsi="Times New Roman"/>
              </w:rPr>
            </w:pPr>
            <w:r>
              <w:rPr>
                <w:rFonts w:ascii="Times New Roman" w:hAnsi="Times New Roman"/>
              </w:rPr>
              <w:t>评估内容</w:t>
            </w:r>
          </w:p>
        </w:tc>
        <w:tc>
          <w:tcPr>
            <w:tcW w:w="652" w:type="pct"/>
            <w:vAlign w:val="center"/>
          </w:tcPr>
          <w:p w14:paraId="4685B49C">
            <w:pPr>
              <w:pStyle w:val="72"/>
              <w:rPr>
                <w:rFonts w:ascii="Times New Roman" w:hAnsi="Times New Roman"/>
              </w:rPr>
            </w:pPr>
            <w:r>
              <w:rPr>
                <w:rFonts w:ascii="Times New Roman" w:hAnsi="Times New Roman"/>
              </w:rPr>
              <w:t>现状评估</w:t>
            </w:r>
          </w:p>
        </w:tc>
        <w:tc>
          <w:tcPr>
            <w:tcW w:w="743" w:type="pct"/>
            <w:vAlign w:val="center"/>
          </w:tcPr>
          <w:p w14:paraId="126E90E1">
            <w:pPr>
              <w:pStyle w:val="72"/>
              <w:rPr>
                <w:rFonts w:ascii="Times New Roman" w:hAnsi="Times New Roman"/>
              </w:rPr>
            </w:pPr>
            <w:r>
              <w:rPr>
                <w:rFonts w:ascii="Times New Roman" w:hAnsi="Times New Roman"/>
              </w:rPr>
              <w:t>预测评估</w:t>
            </w:r>
          </w:p>
        </w:tc>
        <w:tc>
          <w:tcPr>
            <w:tcW w:w="849" w:type="pct"/>
            <w:vMerge w:val="continue"/>
            <w:vAlign w:val="center"/>
          </w:tcPr>
          <w:p w14:paraId="36B8B0CD">
            <w:pPr>
              <w:pStyle w:val="72"/>
              <w:rPr>
                <w:rFonts w:ascii="Times New Roman" w:hAnsi="Times New Roman"/>
              </w:rPr>
            </w:pPr>
          </w:p>
        </w:tc>
      </w:tr>
      <w:tr w14:paraId="50BF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restart"/>
            <w:vAlign w:val="center"/>
          </w:tcPr>
          <w:p w14:paraId="51F14F7D">
            <w:pPr>
              <w:pStyle w:val="72"/>
              <w:ind w:firstLine="0" w:firstLineChars="0"/>
              <w:rPr>
                <w:rFonts w:hint="default" w:ascii="Times New Roman" w:hAnsi="Times New Roman" w:eastAsia="仿宋"/>
                <w:lang w:val="en-US" w:eastAsia="zh-CN"/>
              </w:rPr>
            </w:pPr>
            <w:r>
              <w:rPr>
                <w:rFonts w:hint="eastAsia" w:ascii="Times New Roman" w:hAnsi="Times New Roman"/>
                <w:lang w:val="en-US" w:eastAsia="zh-CN"/>
              </w:rPr>
              <w:t>490m平硐工业广场</w:t>
            </w:r>
          </w:p>
        </w:tc>
        <w:tc>
          <w:tcPr>
            <w:tcW w:w="578" w:type="pct"/>
            <w:vMerge w:val="restart"/>
            <w:vAlign w:val="center"/>
          </w:tcPr>
          <w:p w14:paraId="31835750">
            <w:pPr>
              <w:pStyle w:val="72"/>
              <w:rPr>
                <w:rFonts w:hint="default" w:ascii="Times New Roman" w:hAnsi="Times New Roman" w:eastAsia="仿宋"/>
                <w:lang w:val="en-US" w:eastAsia="zh-CN"/>
              </w:rPr>
            </w:pPr>
            <w:r>
              <w:rPr>
                <w:rFonts w:hint="eastAsia" w:ascii="Times New Roman" w:hAnsi="Times New Roman"/>
                <w:lang w:val="en-US" w:eastAsia="zh-CN"/>
              </w:rPr>
              <w:t>0.69</w:t>
            </w:r>
          </w:p>
        </w:tc>
        <w:tc>
          <w:tcPr>
            <w:tcW w:w="1713" w:type="pct"/>
            <w:vAlign w:val="center"/>
          </w:tcPr>
          <w:p w14:paraId="16B956EE">
            <w:pPr>
              <w:pStyle w:val="72"/>
              <w:rPr>
                <w:rFonts w:ascii="Times New Roman" w:hAnsi="Times New Roman"/>
              </w:rPr>
            </w:pPr>
            <w:r>
              <w:rPr>
                <w:rFonts w:ascii="Times New Roman" w:hAnsi="Times New Roman"/>
              </w:rPr>
              <w:t>地质灾害危险性</w:t>
            </w:r>
          </w:p>
        </w:tc>
        <w:tc>
          <w:tcPr>
            <w:tcW w:w="652" w:type="pct"/>
            <w:vAlign w:val="center"/>
          </w:tcPr>
          <w:p w14:paraId="5F48AB25">
            <w:pPr>
              <w:pStyle w:val="72"/>
              <w:rPr>
                <w:rFonts w:hint="eastAsia" w:ascii="Times New Roman" w:hAnsi="Times New Roman"/>
              </w:rPr>
            </w:pPr>
            <w:r>
              <w:rPr>
                <w:rFonts w:hint="eastAsia" w:ascii="Times New Roman" w:hAnsi="Times New Roman"/>
              </w:rPr>
              <w:t>较轻</w:t>
            </w:r>
          </w:p>
        </w:tc>
        <w:tc>
          <w:tcPr>
            <w:tcW w:w="743" w:type="pct"/>
            <w:vAlign w:val="center"/>
          </w:tcPr>
          <w:p w14:paraId="01DA9D9C">
            <w:pPr>
              <w:pStyle w:val="72"/>
              <w:rPr>
                <w:rFonts w:ascii="Times New Roman" w:hAnsi="Times New Roman"/>
              </w:rPr>
            </w:pPr>
            <w:r>
              <w:rPr>
                <w:rFonts w:ascii="Times New Roman" w:hAnsi="Times New Roman"/>
              </w:rPr>
              <w:t>较严重</w:t>
            </w:r>
          </w:p>
        </w:tc>
        <w:tc>
          <w:tcPr>
            <w:tcW w:w="849" w:type="pct"/>
            <w:vMerge w:val="restart"/>
            <w:vAlign w:val="center"/>
          </w:tcPr>
          <w:p w14:paraId="3ADD241E">
            <w:pPr>
              <w:pStyle w:val="72"/>
              <w:rPr>
                <w:rFonts w:ascii="Times New Roman" w:hAnsi="Times New Roman"/>
              </w:rPr>
            </w:pPr>
            <w:r>
              <w:rPr>
                <w:rFonts w:ascii="Times New Roman" w:hAnsi="Times New Roman"/>
              </w:rPr>
              <w:t>严重区</w:t>
            </w:r>
          </w:p>
        </w:tc>
      </w:tr>
      <w:tr w14:paraId="338C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vAlign w:val="center"/>
          </w:tcPr>
          <w:p w14:paraId="58E40C8B">
            <w:pPr>
              <w:pStyle w:val="72"/>
              <w:rPr>
                <w:rFonts w:ascii="Times New Roman" w:hAnsi="Times New Roman"/>
              </w:rPr>
            </w:pPr>
          </w:p>
        </w:tc>
        <w:tc>
          <w:tcPr>
            <w:tcW w:w="578" w:type="pct"/>
            <w:vMerge w:val="continue"/>
            <w:vAlign w:val="center"/>
          </w:tcPr>
          <w:p w14:paraId="3FC2187F">
            <w:pPr>
              <w:pStyle w:val="72"/>
              <w:rPr>
                <w:rFonts w:ascii="Times New Roman" w:hAnsi="Times New Roman"/>
              </w:rPr>
            </w:pPr>
          </w:p>
        </w:tc>
        <w:tc>
          <w:tcPr>
            <w:tcW w:w="1713" w:type="pct"/>
            <w:vAlign w:val="center"/>
          </w:tcPr>
          <w:p w14:paraId="14329E79">
            <w:pPr>
              <w:pStyle w:val="72"/>
              <w:rPr>
                <w:rFonts w:ascii="Times New Roman" w:hAnsi="Times New Roman"/>
              </w:rPr>
            </w:pPr>
            <w:r>
              <w:rPr>
                <w:rFonts w:ascii="Times New Roman" w:hAnsi="Times New Roman"/>
              </w:rPr>
              <w:t>含水层破坏</w:t>
            </w:r>
          </w:p>
        </w:tc>
        <w:tc>
          <w:tcPr>
            <w:tcW w:w="652" w:type="pct"/>
          </w:tcPr>
          <w:p w14:paraId="74F655BB">
            <w:pPr>
              <w:pStyle w:val="72"/>
              <w:rPr>
                <w:rFonts w:hint="eastAsia" w:ascii="Times New Roman" w:hAnsi="Times New Roman"/>
              </w:rPr>
            </w:pPr>
            <w:r>
              <w:rPr>
                <w:rFonts w:hint="eastAsia" w:ascii="Times New Roman" w:hAnsi="Times New Roman"/>
              </w:rPr>
              <w:t>较轻</w:t>
            </w:r>
          </w:p>
        </w:tc>
        <w:tc>
          <w:tcPr>
            <w:tcW w:w="743" w:type="pct"/>
          </w:tcPr>
          <w:p w14:paraId="2943D59B">
            <w:pPr>
              <w:pStyle w:val="72"/>
              <w:rPr>
                <w:rFonts w:ascii="Times New Roman" w:hAnsi="Times New Roman"/>
              </w:rPr>
            </w:pPr>
            <w:r>
              <w:rPr>
                <w:rFonts w:ascii="Times New Roman" w:hAnsi="Times New Roman"/>
              </w:rPr>
              <w:t>严重</w:t>
            </w:r>
          </w:p>
        </w:tc>
        <w:tc>
          <w:tcPr>
            <w:tcW w:w="849" w:type="pct"/>
            <w:vMerge w:val="continue"/>
            <w:vAlign w:val="center"/>
          </w:tcPr>
          <w:p w14:paraId="2A6659BA">
            <w:pPr>
              <w:pStyle w:val="72"/>
              <w:rPr>
                <w:rFonts w:ascii="Times New Roman" w:hAnsi="Times New Roman"/>
              </w:rPr>
            </w:pPr>
          </w:p>
        </w:tc>
      </w:tr>
      <w:tr w14:paraId="0AB7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vAlign w:val="center"/>
          </w:tcPr>
          <w:p w14:paraId="417231BA">
            <w:pPr>
              <w:pStyle w:val="72"/>
              <w:rPr>
                <w:rFonts w:ascii="Times New Roman" w:hAnsi="Times New Roman"/>
              </w:rPr>
            </w:pPr>
          </w:p>
        </w:tc>
        <w:tc>
          <w:tcPr>
            <w:tcW w:w="578" w:type="pct"/>
            <w:vMerge w:val="continue"/>
            <w:vAlign w:val="center"/>
          </w:tcPr>
          <w:p w14:paraId="54EA8B21">
            <w:pPr>
              <w:pStyle w:val="72"/>
              <w:rPr>
                <w:rFonts w:ascii="Times New Roman" w:hAnsi="Times New Roman"/>
              </w:rPr>
            </w:pPr>
          </w:p>
        </w:tc>
        <w:tc>
          <w:tcPr>
            <w:tcW w:w="1713" w:type="pct"/>
            <w:vAlign w:val="center"/>
          </w:tcPr>
          <w:p w14:paraId="44E853AB">
            <w:pPr>
              <w:pStyle w:val="72"/>
              <w:rPr>
                <w:rFonts w:ascii="Times New Roman" w:hAnsi="Times New Roman"/>
              </w:rPr>
            </w:pPr>
            <w:r>
              <w:rPr>
                <w:rFonts w:ascii="Times New Roman" w:hAnsi="Times New Roman"/>
              </w:rPr>
              <w:t>水土环境污染</w:t>
            </w:r>
          </w:p>
        </w:tc>
        <w:tc>
          <w:tcPr>
            <w:tcW w:w="652" w:type="pct"/>
          </w:tcPr>
          <w:p w14:paraId="1FDEA96E">
            <w:pPr>
              <w:pStyle w:val="72"/>
              <w:rPr>
                <w:rFonts w:hint="eastAsia" w:ascii="Times New Roman" w:hAnsi="Times New Roman"/>
              </w:rPr>
            </w:pPr>
            <w:r>
              <w:rPr>
                <w:rFonts w:hint="eastAsia" w:ascii="Times New Roman" w:hAnsi="Times New Roman"/>
              </w:rPr>
              <w:t>较轻</w:t>
            </w:r>
          </w:p>
        </w:tc>
        <w:tc>
          <w:tcPr>
            <w:tcW w:w="743" w:type="pct"/>
          </w:tcPr>
          <w:p w14:paraId="3C16A06D">
            <w:pPr>
              <w:pStyle w:val="72"/>
              <w:rPr>
                <w:rFonts w:ascii="Times New Roman" w:hAnsi="Times New Roman"/>
              </w:rPr>
            </w:pPr>
            <w:r>
              <w:rPr>
                <w:rFonts w:ascii="Times New Roman" w:hAnsi="Times New Roman"/>
              </w:rPr>
              <w:t>严重</w:t>
            </w:r>
          </w:p>
        </w:tc>
        <w:tc>
          <w:tcPr>
            <w:tcW w:w="849" w:type="pct"/>
            <w:vMerge w:val="continue"/>
            <w:vAlign w:val="center"/>
          </w:tcPr>
          <w:p w14:paraId="4B1549AB">
            <w:pPr>
              <w:pStyle w:val="72"/>
              <w:rPr>
                <w:rFonts w:ascii="Times New Roman" w:hAnsi="Times New Roman"/>
              </w:rPr>
            </w:pPr>
          </w:p>
        </w:tc>
      </w:tr>
      <w:tr w14:paraId="7B77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vAlign w:val="center"/>
          </w:tcPr>
          <w:p w14:paraId="4E97C23B">
            <w:pPr>
              <w:pStyle w:val="72"/>
              <w:rPr>
                <w:rFonts w:ascii="Times New Roman" w:hAnsi="Times New Roman"/>
              </w:rPr>
            </w:pPr>
          </w:p>
        </w:tc>
        <w:tc>
          <w:tcPr>
            <w:tcW w:w="578" w:type="pct"/>
            <w:vMerge w:val="continue"/>
            <w:vAlign w:val="center"/>
          </w:tcPr>
          <w:p w14:paraId="2F03292D">
            <w:pPr>
              <w:pStyle w:val="72"/>
              <w:rPr>
                <w:rFonts w:ascii="Times New Roman" w:hAnsi="Times New Roman"/>
              </w:rPr>
            </w:pPr>
          </w:p>
        </w:tc>
        <w:tc>
          <w:tcPr>
            <w:tcW w:w="1713" w:type="pct"/>
            <w:vAlign w:val="center"/>
          </w:tcPr>
          <w:p w14:paraId="274F71B9">
            <w:pPr>
              <w:pStyle w:val="72"/>
              <w:rPr>
                <w:rFonts w:ascii="Times New Roman" w:hAnsi="Times New Roman"/>
              </w:rPr>
            </w:pPr>
            <w:r>
              <w:rPr>
                <w:rFonts w:ascii="Times New Roman" w:hAnsi="Times New Roman"/>
              </w:rPr>
              <w:t>地形地貌景观破坏</w:t>
            </w:r>
          </w:p>
        </w:tc>
        <w:tc>
          <w:tcPr>
            <w:tcW w:w="652" w:type="pct"/>
          </w:tcPr>
          <w:p w14:paraId="2DCA9FE6">
            <w:pPr>
              <w:pStyle w:val="72"/>
              <w:rPr>
                <w:rFonts w:hint="eastAsia" w:ascii="Times New Roman" w:hAnsi="Times New Roman"/>
              </w:rPr>
            </w:pPr>
            <w:r>
              <w:rPr>
                <w:rFonts w:hint="eastAsia" w:ascii="Times New Roman" w:hAnsi="Times New Roman"/>
              </w:rPr>
              <w:t>较轻</w:t>
            </w:r>
          </w:p>
        </w:tc>
        <w:tc>
          <w:tcPr>
            <w:tcW w:w="743" w:type="pct"/>
            <w:vAlign w:val="center"/>
          </w:tcPr>
          <w:p w14:paraId="5164FE4A">
            <w:pPr>
              <w:pStyle w:val="72"/>
              <w:rPr>
                <w:rFonts w:ascii="Times New Roman" w:hAnsi="Times New Roman"/>
              </w:rPr>
            </w:pPr>
            <w:r>
              <w:rPr>
                <w:rFonts w:ascii="Times New Roman" w:hAnsi="Times New Roman"/>
              </w:rPr>
              <w:t>严重</w:t>
            </w:r>
          </w:p>
        </w:tc>
        <w:tc>
          <w:tcPr>
            <w:tcW w:w="849" w:type="pct"/>
            <w:vMerge w:val="continue"/>
            <w:vAlign w:val="center"/>
          </w:tcPr>
          <w:p w14:paraId="2A7C3E84">
            <w:pPr>
              <w:pStyle w:val="72"/>
              <w:rPr>
                <w:rFonts w:ascii="Times New Roman" w:hAnsi="Times New Roman"/>
              </w:rPr>
            </w:pPr>
          </w:p>
        </w:tc>
      </w:tr>
      <w:tr w14:paraId="2BE2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restart"/>
            <w:vAlign w:val="center"/>
          </w:tcPr>
          <w:p w14:paraId="52D66A60">
            <w:pPr>
              <w:pStyle w:val="72"/>
              <w:ind w:firstLine="0" w:firstLineChars="0"/>
              <w:rPr>
                <w:rFonts w:hint="default" w:ascii="Times New Roman" w:hAnsi="Times New Roman" w:eastAsia="仿宋"/>
                <w:lang w:val="en-US" w:eastAsia="zh-CN"/>
              </w:rPr>
            </w:pPr>
            <w:r>
              <w:rPr>
                <w:rFonts w:hint="eastAsia" w:ascii="Times New Roman" w:hAnsi="Times New Roman"/>
                <w:lang w:val="en-US" w:eastAsia="zh-CN"/>
              </w:rPr>
              <w:t>520m平硐工业广场</w:t>
            </w:r>
          </w:p>
        </w:tc>
        <w:tc>
          <w:tcPr>
            <w:tcW w:w="578" w:type="pct"/>
            <w:vMerge w:val="restart"/>
            <w:vAlign w:val="center"/>
          </w:tcPr>
          <w:p w14:paraId="06BBC8FC">
            <w:pPr>
              <w:pStyle w:val="72"/>
              <w:rPr>
                <w:rFonts w:hint="default" w:ascii="Times New Roman" w:hAnsi="Times New Roman" w:eastAsia="仿宋"/>
                <w:lang w:val="en-US" w:eastAsia="zh-CN"/>
              </w:rPr>
            </w:pPr>
            <w:r>
              <w:rPr>
                <w:rFonts w:hint="eastAsia" w:ascii="Times New Roman" w:hAnsi="Times New Roman"/>
                <w:lang w:val="en-US" w:eastAsia="zh-CN"/>
              </w:rPr>
              <w:t>0.3</w:t>
            </w:r>
          </w:p>
        </w:tc>
        <w:tc>
          <w:tcPr>
            <w:tcW w:w="1713" w:type="pct"/>
            <w:vAlign w:val="center"/>
          </w:tcPr>
          <w:p w14:paraId="6D1A126F">
            <w:pPr>
              <w:pStyle w:val="72"/>
              <w:rPr>
                <w:rFonts w:ascii="Times New Roman" w:hAnsi="Times New Roman"/>
              </w:rPr>
            </w:pPr>
            <w:r>
              <w:rPr>
                <w:rFonts w:ascii="Times New Roman" w:hAnsi="Times New Roman"/>
              </w:rPr>
              <w:t>地质灾害危险性</w:t>
            </w:r>
          </w:p>
        </w:tc>
        <w:tc>
          <w:tcPr>
            <w:tcW w:w="652" w:type="pct"/>
          </w:tcPr>
          <w:p w14:paraId="1C421095">
            <w:pPr>
              <w:pStyle w:val="72"/>
              <w:rPr>
                <w:rFonts w:ascii="Times New Roman" w:hAnsi="Times New Roman"/>
              </w:rPr>
            </w:pPr>
            <w:r>
              <w:rPr>
                <w:rFonts w:ascii="Times New Roman" w:hAnsi="Times New Roman"/>
              </w:rPr>
              <w:t>较严重</w:t>
            </w:r>
          </w:p>
        </w:tc>
        <w:tc>
          <w:tcPr>
            <w:tcW w:w="1447" w:type="dxa"/>
            <w:vAlign w:val="center"/>
          </w:tcPr>
          <w:p w14:paraId="2D82D91B">
            <w:pPr>
              <w:pStyle w:val="72"/>
              <w:ind w:firstLine="0" w:firstLineChars="0"/>
              <w:rPr>
                <w:rFonts w:ascii="Times New Roman" w:hAnsi="Times New Roman"/>
              </w:rPr>
            </w:pPr>
            <w:r>
              <w:rPr>
                <w:rFonts w:ascii="Times New Roman" w:hAnsi="Times New Roman"/>
              </w:rPr>
              <w:t>较严重</w:t>
            </w:r>
          </w:p>
        </w:tc>
        <w:tc>
          <w:tcPr>
            <w:tcW w:w="849" w:type="pct"/>
            <w:vMerge w:val="restart"/>
            <w:vAlign w:val="center"/>
          </w:tcPr>
          <w:p w14:paraId="0FCFA466">
            <w:pPr>
              <w:pStyle w:val="72"/>
              <w:rPr>
                <w:rFonts w:ascii="Times New Roman" w:hAnsi="Times New Roman"/>
              </w:rPr>
            </w:pPr>
            <w:r>
              <w:rPr>
                <w:rFonts w:ascii="Times New Roman" w:hAnsi="Times New Roman"/>
              </w:rPr>
              <w:t>严重区</w:t>
            </w:r>
          </w:p>
        </w:tc>
      </w:tr>
      <w:tr w14:paraId="5F1A9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vAlign w:val="center"/>
          </w:tcPr>
          <w:p w14:paraId="2CE3CDAF">
            <w:pPr>
              <w:pStyle w:val="72"/>
              <w:rPr>
                <w:rFonts w:ascii="Times New Roman" w:hAnsi="Times New Roman"/>
              </w:rPr>
            </w:pPr>
          </w:p>
        </w:tc>
        <w:tc>
          <w:tcPr>
            <w:tcW w:w="578" w:type="pct"/>
            <w:vMerge w:val="continue"/>
            <w:vAlign w:val="center"/>
          </w:tcPr>
          <w:p w14:paraId="3A56849F">
            <w:pPr>
              <w:pStyle w:val="72"/>
              <w:rPr>
                <w:rFonts w:ascii="Times New Roman" w:hAnsi="Times New Roman"/>
              </w:rPr>
            </w:pPr>
          </w:p>
        </w:tc>
        <w:tc>
          <w:tcPr>
            <w:tcW w:w="1713" w:type="pct"/>
            <w:vAlign w:val="center"/>
          </w:tcPr>
          <w:p w14:paraId="242A9DA2">
            <w:pPr>
              <w:pStyle w:val="72"/>
              <w:rPr>
                <w:rFonts w:ascii="Times New Roman" w:hAnsi="Times New Roman"/>
              </w:rPr>
            </w:pPr>
            <w:r>
              <w:rPr>
                <w:rFonts w:ascii="Times New Roman" w:hAnsi="Times New Roman"/>
              </w:rPr>
              <w:t>含水层破坏</w:t>
            </w:r>
          </w:p>
        </w:tc>
        <w:tc>
          <w:tcPr>
            <w:tcW w:w="652" w:type="pct"/>
          </w:tcPr>
          <w:p w14:paraId="11EE0979">
            <w:pPr>
              <w:pStyle w:val="72"/>
              <w:rPr>
                <w:rFonts w:ascii="Times New Roman" w:hAnsi="Times New Roman"/>
              </w:rPr>
            </w:pPr>
            <w:r>
              <w:rPr>
                <w:rFonts w:ascii="Times New Roman" w:hAnsi="Times New Roman"/>
              </w:rPr>
              <w:t>较严重</w:t>
            </w:r>
          </w:p>
        </w:tc>
        <w:tc>
          <w:tcPr>
            <w:tcW w:w="1447" w:type="dxa"/>
            <w:vAlign w:val="top"/>
          </w:tcPr>
          <w:p w14:paraId="73EE3494">
            <w:pPr>
              <w:pStyle w:val="72"/>
              <w:ind w:firstLine="0" w:firstLineChars="0"/>
              <w:rPr>
                <w:rFonts w:ascii="Times New Roman" w:hAnsi="Times New Roman"/>
              </w:rPr>
            </w:pPr>
            <w:r>
              <w:rPr>
                <w:rFonts w:ascii="Times New Roman" w:hAnsi="Times New Roman"/>
              </w:rPr>
              <w:t>严重</w:t>
            </w:r>
          </w:p>
        </w:tc>
        <w:tc>
          <w:tcPr>
            <w:tcW w:w="849" w:type="pct"/>
            <w:vMerge w:val="continue"/>
            <w:vAlign w:val="center"/>
          </w:tcPr>
          <w:p w14:paraId="146418DD">
            <w:pPr>
              <w:pStyle w:val="72"/>
              <w:rPr>
                <w:rFonts w:ascii="Times New Roman" w:hAnsi="Times New Roman"/>
              </w:rPr>
            </w:pPr>
          </w:p>
        </w:tc>
      </w:tr>
      <w:tr w14:paraId="03D3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vAlign w:val="center"/>
          </w:tcPr>
          <w:p w14:paraId="1B03AE68">
            <w:pPr>
              <w:pStyle w:val="72"/>
              <w:rPr>
                <w:rFonts w:ascii="Times New Roman" w:hAnsi="Times New Roman"/>
              </w:rPr>
            </w:pPr>
          </w:p>
        </w:tc>
        <w:tc>
          <w:tcPr>
            <w:tcW w:w="578" w:type="pct"/>
            <w:vMerge w:val="continue"/>
            <w:vAlign w:val="center"/>
          </w:tcPr>
          <w:p w14:paraId="774691FC">
            <w:pPr>
              <w:pStyle w:val="72"/>
              <w:rPr>
                <w:rFonts w:ascii="Times New Roman" w:hAnsi="Times New Roman"/>
              </w:rPr>
            </w:pPr>
          </w:p>
        </w:tc>
        <w:tc>
          <w:tcPr>
            <w:tcW w:w="1713" w:type="pct"/>
            <w:vAlign w:val="center"/>
          </w:tcPr>
          <w:p w14:paraId="695B7851">
            <w:pPr>
              <w:pStyle w:val="72"/>
              <w:rPr>
                <w:rFonts w:ascii="Times New Roman" w:hAnsi="Times New Roman"/>
              </w:rPr>
            </w:pPr>
            <w:r>
              <w:rPr>
                <w:rFonts w:ascii="Times New Roman" w:hAnsi="Times New Roman"/>
              </w:rPr>
              <w:t>水土环境污染</w:t>
            </w:r>
          </w:p>
        </w:tc>
        <w:tc>
          <w:tcPr>
            <w:tcW w:w="652" w:type="pct"/>
          </w:tcPr>
          <w:p w14:paraId="75239A5B">
            <w:pPr>
              <w:pStyle w:val="72"/>
              <w:rPr>
                <w:rFonts w:ascii="Times New Roman" w:hAnsi="Times New Roman"/>
              </w:rPr>
            </w:pPr>
            <w:r>
              <w:rPr>
                <w:rFonts w:ascii="Times New Roman" w:hAnsi="Times New Roman"/>
              </w:rPr>
              <w:t>较轻</w:t>
            </w:r>
          </w:p>
        </w:tc>
        <w:tc>
          <w:tcPr>
            <w:tcW w:w="1447" w:type="dxa"/>
            <w:vAlign w:val="top"/>
          </w:tcPr>
          <w:p w14:paraId="71E59A94">
            <w:pPr>
              <w:pStyle w:val="72"/>
              <w:ind w:firstLine="0" w:firstLineChars="0"/>
              <w:rPr>
                <w:rFonts w:hint="eastAsia" w:ascii="Times New Roman" w:hAnsi="Times New Roman" w:eastAsia="仿宋"/>
                <w:lang w:eastAsia="zh-CN"/>
              </w:rPr>
            </w:pPr>
            <w:r>
              <w:rPr>
                <w:rFonts w:ascii="Times New Roman" w:hAnsi="Times New Roman"/>
              </w:rPr>
              <w:t>严重</w:t>
            </w:r>
          </w:p>
        </w:tc>
        <w:tc>
          <w:tcPr>
            <w:tcW w:w="849" w:type="pct"/>
            <w:vMerge w:val="continue"/>
            <w:vAlign w:val="center"/>
          </w:tcPr>
          <w:p w14:paraId="106813FC">
            <w:pPr>
              <w:pStyle w:val="72"/>
              <w:rPr>
                <w:rFonts w:ascii="Times New Roman" w:hAnsi="Times New Roman"/>
              </w:rPr>
            </w:pPr>
          </w:p>
        </w:tc>
      </w:tr>
      <w:tr w14:paraId="50BD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vAlign w:val="center"/>
          </w:tcPr>
          <w:p w14:paraId="5D386FF5">
            <w:pPr>
              <w:pStyle w:val="72"/>
              <w:rPr>
                <w:rFonts w:ascii="Times New Roman" w:hAnsi="Times New Roman"/>
              </w:rPr>
            </w:pPr>
          </w:p>
        </w:tc>
        <w:tc>
          <w:tcPr>
            <w:tcW w:w="578" w:type="pct"/>
            <w:vMerge w:val="continue"/>
            <w:vAlign w:val="center"/>
          </w:tcPr>
          <w:p w14:paraId="592BE4E4">
            <w:pPr>
              <w:pStyle w:val="72"/>
              <w:rPr>
                <w:rFonts w:ascii="Times New Roman" w:hAnsi="Times New Roman"/>
              </w:rPr>
            </w:pPr>
          </w:p>
        </w:tc>
        <w:tc>
          <w:tcPr>
            <w:tcW w:w="1713" w:type="pct"/>
            <w:vAlign w:val="center"/>
          </w:tcPr>
          <w:p w14:paraId="03F8E556">
            <w:pPr>
              <w:pStyle w:val="72"/>
              <w:rPr>
                <w:rFonts w:ascii="Times New Roman" w:hAnsi="Times New Roman"/>
              </w:rPr>
            </w:pPr>
            <w:r>
              <w:rPr>
                <w:rFonts w:ascii="Times New Roman" w:hAnsi="Times New Roman"/>
              </w:rPr>
              <w:t>地形地貌景观破坏</w:t>
            </w:r>
          </w:p>
        </w:tc>
        <w:tc>
          <w:tcPr>
            <w:tcW w:w="652" w:type="pct"/>
          </w:tcPr>
          <w:p w14:paraId="7E82B3EF">
            <w:pPr>
              <w:pStyle w:val="72"/>
              <w:rPr>
                <w:rFonts w:ascii="Times New Roman" w:hAnsi="Times New Roman"/>
              </w:rPr>
            </w:pPr>
            <w:r>
              <w:rPr>
                <w:rFonts w:ascii="Times New Roman" w:hAnsi="Times New Roman"/>
              </w:rPr>
              <w:t>较严重</w:t>
            </w:r>
          </w:p>
        </w:tc>
        <w:tc>
          <w:tcPr>
            <w:tcW w:w="1447" w:type="dxa"/>
            <w:vAlign w:val="center"/>
          </w:tcPr>
          <w:p w14:paraId="773DD1A8">
            <w:pPr>
              <w:pStyle w:val="72"/>
              <w:ind w:firstLine="0" w:firstLineChars="0"/>
              <w:rPr>
                <w:rFonts w:ascii="Times New Roman" w:hAnsi="Times New Roman"/>
              </w:rPr>
            </w:pPr>
            <w:r>
              <w:rPr>
                <w:rFonts w:ascii="Times New Roman" w:hAnsi="Times New Roman"/>
              </w:rPr>
              <w:t>严重</w:t>
            </w:r>
          </w:p>
        </w:tc>
        <w:tc>
          <w:tcPr>
            <w:tcW w:w="849" w:type="pct"/>
            <w:vMerge w:val="continue"/>
            <w:vAlign w:val="center"/>
          </w:tcPr>
          <w:p w14:paraId="19A1015C">
            <w:pPr>
              <w:pStyle w:val="72"/>
              <w:rPr>
                <w:rFonts w:ascii="Times New Roman" w:hAnsi="Times New Roman"/>
              </w:rPr>
            </w:pPr>
          </w:p>
        </w:tc>
      </w:tr>
      <w:tr w14:paraId="0FF0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restart"/>
            <w:vAlign w:val="center"/>
          </w:tcPr>
          <w:p w14:paraId="2125FE28">
            <w:pPr>
              <w:pStyle w:val="72"/>
              <w:ind w:firstLine="0" w:firstLineChars="0"/>
              <w:rPr>
                <w:rFonts w:ascii="Times New Roman" w:hAnsi="Times New Roman"/>
              </w:rPr>
            </w:pPr>
            <w:r>
              <w:rPr>
                <w:rFonts w:hint="eastAsia" w:ascii="Times New Roman" w:hAnsi="Times New Roman"/>
                <w:lang w:val="en-US" w:eastAsia="zh-CN"/>
              </w:rPr>
              <w:t>548m平硐工业广场</w:t>
            </w:r>
          </w:p>
        </w:tc>
        <w:tc>
          <w:tcPr>
            <w:tcW w:w="578" w:type="pct"/>
            <w:vMerge w:val="restart"/>
            <w:vAlign w:val="center"/>
          </w:tcPr>
          <w:p w14:paraId="49940558">
            <w:pPr>
              <w:pStyle w:val="72"/>
              <w:rPr>
                <w:rFonts w:hint="eastAsia" w:ascii="Times New Roman" w:hAnsi="Times New Roman" w:eastAsia="仿宋"/>
                <w:lang w:eastAsia="zh-CN"/>
              </w:rPr>
            </w:pPr>
            <w:r>
              <w:rPr>
                <w:rFonts w:hint="eastAsia" w:ascii="Times New Roman" w:hAnsi="Times New Roman"/>
                <w:lang w:val="en-US" w:eastAsia="zh-CN"/>
              </w:rPr>
              <w:t>0.178</w:t>
            </w:r>
          </w:p>
        </w:tc>
        <w:tc>
          <w:tcPr>
            <w:tcW w:w="1713" w:type="pct"/>
            <w:vAlign w:val="center"/>
          </w:tcPr>
          <w:p w14:paraId="4E9DDF61">
            <w:pPr>
              <w:pStyle w:val="72"/>
              <w:rPr>
                <w:rFonts w:ascii="Times New Roman" w:hAnsi="Times New Roman"/>
              </w:rPr>
            </w:pPr>
            <w:r>
              <w:rPr>
                <w:rFonts w:ascii="Times New Roman" w:hAnsi="Times New Roman"/>
              </w:rPr>
              <w:t>地质灾害危险性</w:t>
            </w:r>
          </w:p>
        </w:tc>
        <w:tc>
          <w:tcPr>
            <w:tcW w:w="652" w:type="pct"/>
          </w:tcPr>
          <w:p w14:paraId="198F60FC">
            <w:pPr>
              <w:pStyle w:val="72"/>
              <w:rPr>
                <w:rFonts w:ascii="Times New Roman" w:hAnsi="Times New Roman"/>
              </w:rPr>
            </w:pPr>
            <w:r>
              <w:rPr>
                <w:rFonts w:ascii="Times New Roman" w:hAnsi="Times New Roman"/>
              </w:rPr>
              <w:t>较轻</w:t>
            </w:r>
          </w:p>
        </w:tc>
        <w:tc>
          <w:tcPr>
            <w:tcW w:w="1447" w:type="dxa"/>
            <w:vAlign w:val="center"/>
          </w:tcPr>
          <w:p w14:paraId="2C8867BC">
            <w:pPr>
              <w:pStyle w:val="72"/>
              <w:ind w:firstLine="0" w:firstLineChars="0"/>
              <w:rPr>
                <w:rFonts w:ascii="Times New Roman" w:hAnsi="Times New Roman"/>
              </w:rPr>
            </w:pPr>
            <w:r>
              <w:rPr>
                <w:rFonts w:ascii="Times New Roman" w:hAnsi="Times New Roman"/>
              </w:rPr>
              <w:t>较严重</w:t>
            </w:r>
          </w:p>
        </w:tc>
        <w:tc>
          <w:tcPr>
            <w:tcW w:w="849" w:type="pct"/>
            <w:vMerge w:val="restart"/>
            <w:vAlign w:val="center"/>
          </w:tcPr>
          <w:p w14:paraId="08005604">
            <w:pPr>
              <w:pStyle w:val="72"/>
              <w:rPr>
                <w:rFonts w:ascii="Times New Roman" w:hAnsi="Times New Roman"/>
              </w:rPr>
            </w:pPr>
            <w:r>
              <w:rPr>
                <w:rFonts w:ascii="Times New Roman" w:hAnsi="Times New Roman"/>
              </w:rPr>
              <w:t>严重区</w:t>
            </w:r>
          </w:p>
        </w:tc>
      </w:tr>
      <w:tr w14:paraId="7495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vAlign w:val="center"/>
          </w:tcPr>
          <w:p w14:paraId="1A3F7BF0">
            <w:pPr>
              <w:pStyle w:val="72"/>
              <w:rPr>
                <w:rFonts w:ascii="Times New Roman" w:hAnsi="Times New Roman"/>
              </w:rPr>
            </w:pPr>
          </w:p>
        </w:tc>
        <w:tc>
          <w:tcPr>
            <w:tcW w:w="578" w:type="pct"/>
            <w:vMerge w:val="continue"/>
            <w:vAlign w:val="center"/>
          </w:tcPr>
          <w:p w14:paraId="10825FE3">
            <w:pPr>
              <w:pStyle w:val="72"/>
              <w:rPr>
                <w:rFonts w:ascii="Times New Roman" w:hAnsi="Times New Roman"/>
              </w:rPr>
            </w:pPr>
          </w:p>
        </w:tc>
        <w:tc>
          <w:tcPr>
            <w:tcW w:w="1713" w:type="pct"/>
            <w:vAlign w:val="center"/>
          </w:tcPr>
          <w:p w14:paraId="74A535B1">
            <w:pPr>
              <w:pStyle w:val="72"/>
              <w:rPr>
                <w:rFonts w:ascii="Times New Roman" w:hAnsi="Times New Roman"/>
              </w:rPr>
            </w:pPr>
            <w:r>
              <w:rPr>
                <w:rFonts w:ascii="Times New Roman" w:hAnsi="Times New Roman"/>
              </w:rPr>
              <w:t>含水层破坏</w:t>
            </w:r>
          </w:p>
        </w:tc>
        <w:tc>
          <w:tcPr>
            <w:tcW w:w="652" w:type="pct"/>
          </w:tcPr>
          <w:p w14:paraId="0109CA48">
            <w:pPr>
              <w:pStyle w:val="72"/>
              <w:rPr>
                <w:rFonts w:ascii="Times New Roman" w:hAnsi="Times New Roman"/>
              </w:rPr>
            </w:pPr>
            <w:r>
              <w:rPr>
                <w:rFonts w:ascii="Times New Roman" w:hAnsi="Times New Roman"/>
              </w:rPr>
              <w:t>较轻</w:t>
            </w:r>
          </w:p>
        </w:tc>
        <w:tc>
          <w:tcPr>
            <w:tcW w:w="1447" w:type="dxa"/>
            <w:vAlign w:val="top"/>
          </w:tcPr>
          <w:p w14:paraId="6FA1CCBF">
            <w:pPr>
              <w:pStyle w:val="72"/>
              <w:ind w:firstLine="0" w:firstLineChars="0"/>
              <w:rPr>
                <w:rFonts w:ascii="Times New Roman" w:hAnsi="Times New Roman"/>
              </w:rPr>
            </w:pPr>
            <w:r>
              <w:rPr>
                <w:rFonts w:ascii="Times New Roman" w:hAnsi="Times New Roman"/>
              </w:rPr>
              <w:t>严重</w:t>
            </w:r>
          </w:p>
        </w:tc>
        <w:tc>
          <w:tcPr>
            <w:tcW w:w="849" w:type="pct"/>
            <w:vMerge w:val="continue"/>
            <w:vAlign w:val="center"/>
          </w:tcPr>
          <w:p w14:paraId="2D38BC1E">
            <w:pPr>
              <w:pStyle w:val="72"/>
              <w:rPr>
                <w:rFonts w:ascii="Times New Roman" w:hAnsi="Times New Roman"/>
              </w:rPr>
            </w:pPr>
          </w:p>
        </w:tc>
      </w:tr>
      <w:tr w14:paraId="0E8A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vAlign w:val="center"/>
          </w:tcPr>
          <w:p w14:paraId="282EE2C1">
            <w:pPr>
              <w:pStyle w:val="72"/>
              <w:rPr>
                <w:rFonts w:ascii="Times New Roman" w:hAnsi="Times New Roman"/>
              </w:rPr>
            </w:pPr>
          </w:p>
        </w:tc>
        <w:tc>
          <w:tcPr>
            <w:tcW w:w="578" w:type="pct"/>
            <w:vMerge w:val="continue"/>
            <w:vAlign w:val="center"/>
          </w:tcPr>
          <w:p w14:paraId="29BDC248">
            <w:pPr>
              <w:pStyle w:val="72"/>
              <w:rPr>
                <w:rFonts w:ascii="Times New Roman" w:hAnsi="Times New Roman"/>
              </w:rPr>
            </w:pPr>
          </w:p>
        </w:tc>
        <w:tc>
          <w:tcPr>
            <w:tcW w:w="1713" w:type="pct"/>
            <w:vAlign w:val="center"/>
          </w:tcPr>
          <w:p w14:paraId="6FD31886">
            <w:pPr>
              <w:pStyle w:val="72"/>
              <w:rPr>
                <w:rFonts w:ascii="Times New Roman" w:hAnsi="Times New Roman"/>
              </w:rPr>
            </w:pPr>
            <w:r>
              <w:rPr>
                <w:rFonts w:ascii="Times New Roman" w:hAnsi="Times New Roman"/>
              </w:rPr>
              <w:t>水土环境污染</w:t>
            </w:r>
          </w:p>
        </w:tc>
        <w:tc>
          <w:tcPr>
            <w:tcW w:w="652" w:type="pct"/>
          </w:tcPr>
          <w:p w14:paraId="1060BAC1">
            <w:pPr>
              <w:pStyle w:val="72"/>
              <w:rPr>
                <w:rFonts w:ascii="Times New Roman" w:hAnsi="Times New Roman"/>
              </w:rPr>
            </w:pPr>
            <w:r>
              <w:rPr>
                <w:rFonts w:ascii="Times New Roman" w:hAnsi="Times New Roman"/>
              </w:rPr>
              <w:t>较轻</w:t>
            </w:r>
          </w:p>
        </w:tc>
        <w:tc>
          <w:tcPr>
            <w:tcW w:w="1447" w:type="dxa"/>
            <w:vAlign w:val="top"/>
          </w:tcPr>
          <w:p w14:paraId="69E92B25">
            <w:pPr>
              <w:pStyle w:val="72"/>
              <w:ind w:firstLine="0" w:firstLineChars="0"/>
              <w:rPr>
                <w:rFonts w:ascii="Times New Roman" w:hAnsi="Times New Roman"/>
              </w:rPr>
            </w:pPr>
            <w:r>
              <w:rPr>
                <w:rFonts w:ascii="Times New Roman" w:hAnsi="Times New Roman"/>
              </w:rPr>
              <w:t>严重</w:t>
            </w:r>
          </w:p>
        </w:tc>
        <w:tc>
          <w:tcPr>
            <w:tcW w:w="849" w:type="pct"/>
            <w:vMerge w:val="continue"/>
            <w:vAlign w:val="center"/>
          </w:tcPr>
          <w:p w14:paraId="31290AA7">
            <w:pPr>
              <w:pStyle w:val="72"/>
              <w:rPr>
                <w:rFonts w:ascii="Times New Roman" w:hAnsi="Times New Roman"/>
              </w:rPr>
            </w:pPr>
          </w:p>
        </w:tc>
      </w:tr>
      <w:tr w14:paraId="46F4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vAlign w:val="center"/>
          </w:tcPr>
          <w:p w14:paraId="6E4B3A1C">
            <w:pPr>
              <w:pStyle w:val="72"/>
              <w:rPr>
                <w:rFonts w:ascii="Times New Roman" w:hAnsi="Times New Roman"/>
              </w:rPr>
            </w:pPr>
          </w:p>
        </w:tc>
        <w:tc>
          <w:tcPr>
            <w:tcW w:w="578" w:type="pct"/>
            <w:vMerge w:val="continue"/>
            <w:vAlign w:val="center"/>
          </w:tcPr>
          <w:p w14:paraId="5701323E">
            <w:pPr>
              <w:pStyle w:val="72"/>
              <w:rPr>
                <w:rFonts w:ascii="Times New Roman" w:hAnsi="Times New Roman"/>
              </w:rPr>
            </w:pPr>
          </w:p>
        </w:tc>
        <w:tc>
          <w:tcPr>
            <w:tcW w:w="1713" w:type="pct"/>
            <w:vAlign w:val="center"/>
          </w:tcPr>
          <w:p w14:paraId="63F147EB">
            <w:pPr>
              <w:pStyle w:val="72"/>
              <w:rPr>
                <w:rFonts w:ascii="Times New Roman" w:hAnsi="Times New Roman"/>
              </w:rPr>
            </w:pPr>
            <w:r>
              <w:rPr>
                <w:rFonts w:ascii="Times New Roman" w:hAnsi="Times New Roman"/>
              </w:rPr>
              <w:t>地形地貌景观破坏</w:t>
            </w:r>
          </w:p>
        </w:tc>
        <w:tc>
          <w:tcPr>
            <w:tcW w:w="652" w:type="pct"/>
          </w:tcPr>
          <w:p w14:paraId="3A60E294">
            <w:pPr>
              <w:pStyle w:val="72"/>
              <w:rPr>
                <w:rFonts w:ascii="Times New Roman" w:hAnsi="Times New Roman"/>
              </w:rPr>
            </w:pPr>
            <w:r>
              <w:rPr>
                <w:rFonts w:ascii="Times New Roman" w:hAnsi="Times New Roman"/>
              </w:rPr>
              <w:t>较轻</w:t>
            </w:r>
          </w:p>
        </w:tc>
        <w:tc>
          <w:tcPr>
            <w:tcW w:w="1447" w:type="dxa"/>
            <w:vAlign w:val="center"/>
          </w:tcPr>
          <w:p w14:paraId="31E12A4C">
            <w:pPr>
              <w:pStyle w:val="72"/>
              <w:ind w:firstLine="0" w:firstLineChars="0"/>
              <w:rPr>
                <w:rFonts w:ascii="Times New Roman" w:hAnsi="Times New Roman"/>
              </w:rPr>
            </w:pPr>
            <w:r>
              <w:rPr>
                <w:rFonts w:ascii="Times New Roman" w:hAnsi="Times New Roman"/>
              </w:rPr>
              <w:t>严重</w:t>
            </w:r>
          </w:p>
        </w:tc>
        <w:tc>
          <w:tcPr>
            <w:tcW w:w="849" w:type="pct"/>
            <w:vMerge w:val="continue"/>
            <w:vAlign w:val="center"/>
          </w:tcPr>
          <w:p w14:paraId="262079FB">
            <w:pPr>
              <w:pStyle w:val="72"/>
              <w:rPr>
                <w:rFonts w:ascii="Times New Roman" w:hAnsi="Times New Roman"/>
              </w:rPr>
            </w:pPr>
          </w:p>
        </w:tc>
      </w:tr>
      <w:tr w14:paraId="2310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63" w:type="pct"/>
            <w:vMerge w:val="restart"/>
            <w:vAlign w:val="center"/>
          </w:tcPr>
          <w:p w14:paraId="07B37F3F">
            <w:pPr>
              <w:pStyle w:val="72"/>
              <w:rPr>
                <w:rFonts w:hint="eastAsia" w:ascii="Times New Roman" w:hAnsi="Times New Roman" w:eastAsia="仿宋"/>
                <w:lang w:val="en-US" w:eastAsia="zh-CN"/>
              </w:rPr>
            </w:pPr>
            <w:r>
              <w:rPr>
                <w:rFonts w:hint="eastAsia" w:ascii="Times New Roman" w:hAnsi="Times New Roman"/>
                <w:lang w:val="en-US" w:eastAsia="zh-CN"/>
              </w:rPr>
              <w:t>地裂缝</w:t>
            </w:r>
          </w:p>
        </w:tc>
        <w:tc>
          <w:tcPr>
            <w:tcW w:w="578" w:type="pct"/>
            <w:vMerge w:val="restart"/>
            <w:vAlign w:val="center"/>
          </w:tcPr>
          <w:p w14:paraId="58858E61">
            <w:pPr>
              <w:pStyle w:val="72"/>
              <w:rPr>
                <w:rFonts w:hint="eastAsia" w:ascii="Times New Roman" w:hAnsi="Times New Roman" w:eastAsia="仿宋"/>
                <w:lang w:val="en-US" w:eastAsia="zh-CN"/>
              </w:rPr>
            </w:pPr>
            <w:r>
              <w:rPr>
                <w:rFonts w:hint="eastAsia" w:ascii="Times New Roman" w:hAnsi="Times New Roman"/>
                <w:lang w:val="en-US" w:eastAsia="zh-CN"/>
              </w:rPr>
              <w:t>0</w:t>
            </w:r>
          </w:p>
        </w:tc>
        <w:tc>
          <w:tcPr>
            <w:tcW w:w="1713" w:type="pct"/>
            <w:vAlign w:val="center"/>
          </w:tcPr>
          <w:p w14:paraId="1390D291">
            <w:pPr>
              <w:pStyle w:val="72"/>
              <w:ind w:firstLine="0" w:firstLineChars="0"/>
              <w:rPr>
                <w:rFonts w:ascii="Times New Roman" w:hAnsi="Times New Roman"/>
              </w:rPr>
            </w:pPr>
            <w:r>
              <w:rPr>
                <w:rFonts w:ascii="Times New Roman" w:hAnsi="Times New Roman"/>
              </w:rPr>
              <w:t>地质灾害危险性</w:t>
            </w:r>
          </w:p>
        </w:tc>
        <w:tc>
          <w:tcPr>
            <w:tcW w:w="652" w:type="pct"/>
          </w:tcPr>
          <w:p w14:paraId="71F04B7D">
            <w:pPr>
              <w:pStyle w:val="72"/>
              <w:ind w:firstLine="0" w:firstLineChars="0"/>
              <w:rPr>
                <w:rFonts w:ascii="Times New Roman" w:hAnsi="Times New Roman"/>
              </w:rPr>
            </w:pPr>
            <w:r>
              <w:rPr>
                <w:rFonts w:ascii="Times New Roman" w:hAnsi="Times New Roman"/>
              </w:rPr>
              <w:t>较轻</w:t>
            </w:r>
          </w:p>
        </w:tc>
        <w:tc>
          <w:tcPr>
            <w:tcW w:w="743" w:type="pct"/>
          </w:tcPr>
          <w:p w14:paraId="7ADA4EDD">
            <w:pPr>
              <w:pStyle w:val="72"/>
              <w:ind w:firstLine="0" w:firstLineChars="0"/>
              <w:rPr>
                <w:rFonts w:hint="default" w:ascii="Times New Roman" w:hAnsi="Times New Roman"/>
                <w:lang w:val="en-US" w:eastAsia="zh-CN"/>
              </w:rPr>
            </w:pPr>
            <w:r>
              <w:rPr>
                <w:rFonts w:hint="eastAsia" w:ascii="Times New Roman" w:hAnsi="Times New Roman"/>
                <w:lang w:val="en-US" w:eastAsia="zh-CN"/>
              </w:rPr>
              <w:t>较严重</w:t>
            </w:r>
          </w:p>
        </w:tc>
        <w:tc>
          <w:tcPr>
            <w:tcW w:w="849" w:type="pct"/>
            <w:vMerge w:val="restart"/>
            <w:vAlign w:val="center"/>
          </w:tcPr>
          <w:p w14:paraId="44D59E79">
            <w:pPr>
              <w:pStyle w:val="72"/>
              <w:rPr>
                <w:rFonts w:hint="default" w:ascii="Times New Roman" w:hAnsi="Times New Roman" w:eastAsia="仿宋"/>
                <w:lang w:val="en-US" w:eastAsia="zh-CN"/>
              </w:rPr>
            </w:pPr>
            <w:r>
              <w:rPr>
                <w:rFonts w:hint="eastAsia" w:ascii="Times New Roman" w:hAnsi="Times New Roman"/>
                <w:lang w:val="en-US" w:eastAsia="zh-CN"/>
              </w:rPr>
              <w:t>较严重</w:t>
            </w:r>
          </w:p>
        </w:tc>
      </w:tr>
      <w:tr w14:paraId="217D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vAlign w:val="center"/>
          </w:tcPr>
          <w:p w14:paraId="6660CB53">
            <w:pPr>
              <w:pStyle w:val="72"/>
              <w:rPr>
                <w:rFonts w:ascii="Times New Roman" w:hAnsi="Times New Roman"/>
              </w:rPr>
            </w:pPr>
          </w:p>
        </w:tc>
        <w:tc>
          <w:tcPr>
            <w:tcW w:w="578" w:type="pct"/>
            <w:vMerge w:val="continue"/>
            <w:vAlign w:val="center"/>
          </w:tcPr>
          <w:p w14:paraId="08E717F7">
            <w:pPr>
              <w:pStyle w:val="72"/>
              <w:rPr>
                <w:rFonts w:ascii="Times New Roman" w:hAnsi="Times New Roman"/>
              </w:rPr>
            </w:pPr>
          </w:p>
        </w:tc>
        <w:tc>
          <w:tcPr>
            <w:tcW w:w="1713" w:type="pct"/>
            <w:vAlign w:val="center"/>
          </w:tcPr>
          <w:p w14:paraId="67930EBE">
            <w:pPr>
              <w:pStyle w:val="72"/>
              <w:ind w:firstLine="0" w:firstLineChars="0"/>
              <w:rPr>
                <w:rFonts w:ascii="Times New Roman" w:hAnsi="Times New Roman"/>
              </w:rPr>
            </w:pPr>
            <w:r>
              <w:rPr>
                <w:rFonts w:ascii="Times New Roman" w:hAnsi="Times New Roman"/>
              </w:rPr>
              <w:t>含水层破坏</w:t>
            </w:r>
          </w:p>
        </w:tc>
        <w:tc>
          <w:tcPr>
            <w:tcW w:w="652" w:type="pct"/>
          </w:tcPr>
          <w:p w14:paraId="6C907F02">
            <w:pPr>
              <w:pStyle w:val="72"/>
              <w:ind w:firstLine="0" w:firstLineChars="0"/>
              <w:rPr>
                <w:rFonts w:ascii="Times New Roman" w:hAnsi="Times New Roman"/>
              </w:rPr>
            </w:pPr>
            <w:r>
              <w:rPr>
                <w:rFonts w:ascii="Times New Roman" w:hAnsi="Times New Roman"/>
              </w:rPr>
              <w:t>较轻</w:t>
            </w:r>
          </w:p>
        </w:tc>
        <w:tc>
          <w:tcPr>
            <w:tcW w:w="743" w:type="pct"/>
          </w:tcPr>
          <w:p w14:paraId="3118732B">
            <w:pPr>
              <w:pStyle w:val="72"/>
              <w:ind w:firstLine="0" w:firstLineChars="0"/>
              <w:rPr>
                <w:rFonts w:ascii="Times New Roman" w:hAnsi="Times New Roman"/>
              </w:rPr>
            </w:pPr>
            <w:r>
              <w:rPr>
                <w:rFonts w:hint="eastAsia" w:ascii="Times New Roman" w:hAnsi="Times New Roman"/>
                <w:lang w:val="en-US" w:eastAsia="zh-CN"/>
              </w:rPr>
              <w:t>较严重</w:t>
            </w:r>
          </w:p>
        </w:tc>
        <w:tc>
          <w:tcPr>
            <w:tcW w:w="849" w:type="pct"/>
            <w:vMerge w:val="continue"/>
            <w:vAlign w:val="center"/>
          </w:tcPr>
          <w:p w14:paraId="443327E8">
            <w:pPr>
              <w:pStyle w:val="72"/>
              <w:rPr>
                <w:rFonts w:ascii="Times New Roman" w:hAnsi="Times New Roman"/>
              </w:rPr>
            </w:pPr>
          </w:p>
        </w:tc>
      </w:tr>
      <w:tr w14:paraId="7E25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vAlign w:val="center"/>
          </w:tcPr>
          <w:p w14:paraId="1B3931CB">
            <w:pPr>
              <w:pStyle w:val="72"/>
              <w:rPr>
                <w:rFonts w:ascii="Times New Roman" w:hAnsi="Times New Roman"/>
              </w:rPr>
            </w:pPr>
          </w:p>
        </w:tc>
        <w:tc>
          <w:tcPr>
            <w:tcW w:w="578" w:type="pct"/>
            <w:vMerge w:val="continue"/>
            <w:vAlign w:val="center"/>
          </w:tcPr>
          <w:p w14:paraId="22213C1F">
            <w:pPr>
              <w:pStyle w:val="72"/>
              <w:rPr>
                <w:rFonts w:ascii="Times New Roman" w:hAnsi="Times New Roman"/>
              </w:rPr>
            </w:pPr>
          </w:p>
        </w:tc>
        <w:tc>
          <w:tcPr>
            <w:tcW w:w="1713" w:type="pct"/>
            <w:vAlign w:val="center"/>
          </w:tcPr>
          <w:p w14:paraId="3BA9334E">
            <w:pPr>
              <w:pStyle w:val="72"/>
              <w:ind w:firstLine="0" w:firstLineChars="0"/>
              <w:rPr>
                <w:rFonts w:ascii="Times New Roman" w:hAnsi="Times New Roman"/>
              </w:rPr>
            </w:pPr>
            <w:r>
              <w:rPr>
                <w:rFonts w:ascii="Times New Roman" w:hAnsi="Times New Roman"/>
              </w:rPr>
              <w:t>水土环境污染</w:t>
            </w:r>
          </w:p>
        </w:tc>
        <w:tc>
          <w:tcPr>
            <w:tcW w:w="652" w:type="pct"/>
          </w:tcPr>
          <w:p w14:paraId="45CB7D11">
            <w:pPr>
              <w:pStyle w:val="72"/>
              <w:ind w:firstLine="0" w:firstLineChars="0"/>
              <w:rPr>
                <w:rFonts w:ascii="Times New Roman" w:hAnsi="Times New Roman"/>
              </w:rPr>
            </w:pPr>
            <w:r>
              <w:rPr>
                <w:rFonts w:ascii="Times New Roman" w:hAnsi="Times New Roman"/>
              </w:rPr>
              <w:t>较轻</w:t>
            </w:r>
          </w:p>
        </w:tc>
        <w:tc>
          <w:tcPr>
            <w:tcW w:w="743" w:type="pct"/>
          </w:tcPr>
          <w:p w14:paraId="51DC2803">
            <w:pPr>
              <w:pStyle w:val="72"/>
              <w:ind w:firstLine="0" w:firstLineChars="0"/>
              <w:rPr>
                <w:rFonts w:ascii="Times New Roman" w:hAnsi="Times New Roman"/>
              </w:rPr>
            </w:pPr>
            <w:r>
              <w:rPr>
                <w:rFonts w:hint="eastAsia" w:ascii="Times New Roman" w:hAnsi="Times New Roman"/>
                <w:lang w:val="en-US" w:eastAsia="zh-CN"/>
              </w:rPr>
              <w:t>较严重</w:t>
            </w:r>
          </w:p>
        </w:tc>
        <w:tc>
          <w:tcPr>
            <w:tcW w:w="849" w:type="pct"/>
            <w:vMerge w:val="continue"/>
            <w:vAlign w:val="center"/>
          </w:tcPr>
          <w:p w14:paraId="38C0A96C">
            <w:pPr>
              <w:pStyle w:val="72"/>
              <w:rPr>
                <w:rFonts w:ascii="Times New Roman" w:hAnsi="Times New Roman"/>
              </w:rPr>
            </w:pPr>
          </w:p>
        </w:tc>
      </w:tr>
      <w:tr w14:paraId="3072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vAlign w:val="center"/>
          </w:tcPr>
          <w:p w14:paraId="08662182">
            <w:pPr>
              <w:pStyle w:val="72"/>
              <w:rPr>
                <w:rFonts w:ascii="Times New Roman" w:hAnsi="Times New Roman"/>
              </w:rPr>
            </w:pPr>
          </w:p>
        </w:tc>
        <w:tc>
          <w:tcPr>
            <w:tcW w:w="578" w:type="pct"/>
            <w:vMerge w:val="continue"/>
            <w:vAlign w:val="center"/>
          </w:tcPr>
          <w:p w14:paraId="1639CB05">
            <w:pPr>
              <w:pStyle w:val="72"/>
              <w:rPr>
                <w:rFonts w:ascii="Times New Roman" w:hAnsi="Times New Roman"/>
              </w:rPr>
            </w:pPr>
          </w:p>
        </w:tc>
        <w:tc>
          <w:tcPr>
            <w:tcW w:w="1713" w:type="pct"/>
            <w:vAlign w:val="center"/>
          </w:tcPr>
          <w:p w14:paraId="1AEDCD91">
            <w:pPr>
              <w:pStyle w:val="72"/>
              <w:ind w:firstLine="0" w:firstLineChars="0"/>
              <w:rPr>
                <w:rFonts w:ascii="Times New Roman" w:hAnsi="Times New Roman"/>
              </w:rPr>
            </w:pPr>
            <w:r>
              <w:rPr>
                <w:rFonts w:ascii="Times New Roman" w:hAnsi="Times New Roman"/>
              </w:rPr>
              <w:t>地形地貌景观破坏</w:t>
            </w:r>
          </w:p>
        </w:tc>
        <w:tc>
          <w:tcPr>
            <w:tcW w:w="652" w:type="pct"/>
          </w:tcPr>
          <w:p w14:paraId="56D01AE8">
            <w:pPr>
              <w:pStyle w:val="72"/>
              <w:ind w:firstLine="0" w:firstLineChars="0"/>
              <w:rPr>
                <w:rFonts w:ascii="Times New Roman" w:hAnsi="Times New Roman"/>
              </w:rPr>
            </w:pPr>
            <w:r>
              <w:rPr>
                <w:rFonts w:ascii="Times New Roman" w:hAnsi="Times New Roman"/>
              </w:rPr>
              <w:t>较轻</w:t>
            </w:r>
          </w:p>
        </w:tc>
        <w:tc>
          <w:tcPr>
            <w:tcW w:w="743" w:type="pct"/>
          </w:tcPr>
          <w:p w14:paraId="3D77A5CB">
            <w:pPr>
              <w:pStyle w:val="72"/>
              <w:ind w:firstLine="0" w:firstLineChars="0"/>
              <w:rPr>
                <w:rFonts w:ascii="Times New Roman" w:hAnsi="Times New Roman"/>
              </w:rPr>
            </w:pPr>
            <w:r>
              <w:rPr>
                <w:rFonts w:hint="eastAsia" w:ascii="Times New Roman" w:hAnsi="Times New Roman"/>
                <w:lang w:val="en-US" w:eastAsia="zh-CN"/>
              </w:rPr>
              <w:t>较严重</w:t>
            </w:r>
          </w:p>
        </w:tc>
        <w:tc>
          <w:tcPr>
            <w:tcW w:w="849" w:type="pct"/>
            <w:vMerge w:val="continue"/>
            <w:vAlign w:val="center"/>
          </w:tcPr>
          <w:p w14:paraId="2A4F99F5">
            <w:pPr>
              <w:pStyle w:val="72"/>
              <w:rPr>
                <w:rFonts w:ascii="Times New Roman" w:hAnsi="Times New Roman"/>
              </w:rPr>
            </w:pPr>
          </w:p>
        </w:tc>
      </w:tr>
    </w:tbl>
    <w:p w14:paraId="2A462A6B">
      <w:pPr>
        <w:pStyle w:val="78"/>
        <w:ind w:firstLine="560"/>
        <w:rPr>
          <w:rFonts w:cs="Times New Roman"/>
        </w:rPr>
      </w:pPr>
    </w:p>
    <w:p w14:paraId="7767B20B">
      <w:pPr>
        <w:ind w:firstLine="562"/>
        <w:rPr>
          <w:b/>
          <w:bCs/>
          <w:szCs w:val="28"/>
        </w:rPr>
      </w:pPr>
      <w:r>
        <w:rPr>
          <w:b/>
          <w:bCs/>
          <w:szCs w:val="28"/>
        </w:rPr>
        <w:t>2.</w:t>
      </w:r>
      <w:r>
        <w:rPr>
          <w:b/>
          <w:bCs/>
        </w:rPr>
        <w:t>土地损毁评价</w:t>
      </w:r>
    </w:p>
    <w:p w14:paraId="602636A5">
      <w:pPr>
        <w:ind w:firstLine="560"/>
        <w:rPr>
          <w:szCs w:val="28"/>
        </w:rPr>
      </w:pPr>
      <w:r>
        <w:rPr>
          <w:szCs w:val="28"/>
        </w:rPr>
        <w:t>（1）</w:t>
      </w:r>
      <w:r>
        <w:t>土地损毁概况</w:t>
      </w:r>
    </w:p>
    <w:p w14:paraId="2D27F81E">
      <w:pPr>
        <w:ind w:firstLine="560"/>
        <w:rPr>
          <w:szCs w:val="28"/>
        </w:rPr>
      </w:pPr>
      <w:r>
        <w:rPr>
          <w:szCs w:val="28"/>
        </w:rPr>
        <w:t>根据现状问题和受损预测，</w:t>
      </w:r>
      <w:r>
        <w:rPr>
          <w:rFonts w:hint="eastAsia"/>
          <w:szCs w:val="28"/>
          <w:lang w:eastAsia="zh-CN"/>
        </w:rPr>
        <w:t>二道滑石矿</w:t>
      </w:r>
      <w:r>
        <w:rPr>
          <w:szCs w:val="28"/>
        </w:rPr>
        <w:t>总损毁土地面积</w:t>
      </w:r>
      <w:r>
        <w:rPr>
          <w:rFonts w:hint="eastAsia"/>
          <w:szCs w:val="28"/>
          <w:lang w:eastAsia="zh-CN"/>
        </w:rPr>
        <w:t>1.5288</w:t>
      </w:r>
      <w:r>
        <w:rPr>
          <w:szCs w:val="28"/>
        </w:rPr>
        <w:t>h</w:t>
      </w:r>
      <w:r>
        <w:rPr>
          <w:rFonts w:hint="eastAsia"/>
          <w:szCs w:val="28"/>
        </w:rPr>
        <w:t>m²</w:t>
      </w:r>
      <w:r>
        <w:rPr>
          <w:szCs w:val="28"/>
        </w:rPr>
        <w:t>，</w:t>
      </w:r>
      <w:r>
        <w:rPr>
          <w:rFonts w:hint="eastAsia"/>
          <w:szCs w:val="28"/>
        </w:rPr>
        <w:t>其中已损毁土地面积</w:t>
      </w:r>
      <w:r>
        <w:rPr>
          <w:rFonts w:hint="eastAsia"/>
          <w:szCs w:val="28"/>
          <w:lang w:val="en-US" w:eastAsia="zh-CN"/>
        </w:rPr>
        <w:t>0.3608</w:t>
      </w:r>
      <w:r>
        <w:rPr>
          <w:szCs w:val="28"/>
        </w:rPr>
        <w:t>h</w:t>
      </w:r>
      <w:r>
        <w:rPr>
          <w:rFonts w:hint="eastAsia"/>
          <w:szCs w:val="28"/>
        </w:rPr>
        <w:t>m²，损毁方式为挖损和压占；拟</w:t>
      </w:r>
      <w:r>
        <w:rPr>
          <w:szCs w:val="28"/>
        </w:rPr>
        <w:t>损毁土地</w:t>
      </w:r>
      <w:r>
        <w:rPr>
          <w:rFonts w:hint="eastAsia"/>
          <w:szCs w:val="28"/>
        </w:rPr>
        <w:t>面积</w:t>
      </w:r>
      <w:r>
        <w:rPr>
          <w:rFonts w:hint="eastAsia"/>
          <w:szCs w:val="28"/>
          <w:lang w:eastAsia="zh-CN"/>
        </w:rPr>
        <w:t>1.168</w:t>
      </w:r>
      <w:r>
        <w:rPr>
          <w:szCs w:val="28"/>
        </w:rPr>
        <w:t>h</w:t>
      </w:r>
      <w:r>
        <w:rPr>
          <w:rFonts w:hint="eastAsia"/>
          <w:szCs w:val="28"/>
        </w:rPr>
        <w:t>m²，损毁方式为</w:t>
      </w:r>
      <w:r>
        <w:rPr>
          <w:rFonts w:hint="eastAsia"/>
          <w:szCs w:val="28"/>
          <w:lang w:val="en-US" w:eastAsia="zh-CN"/>
        </w:rPr>
        <w:t>挖损和压占</w:t>
      </w:r>
      <w:r>
        <w:rPr>
          <w:szCs w:val="28"/>
        </w:rPr>
        <w:t>；矿区内损毁土地面积</w:t>
      </w:r>
      <w:r>
        <w:rPr>
          <w:rFonts w:hint="eastAsia"/>
          <w:szCs w:val="28"/>
          <w:lang w:eastAsia="zh-CN"/>
        </w:rPr>
        <w:t>1.4511</w:t>
      </w:r>
      <w:r>
        <w:rPr>
          <w:szCs w:val="28"/>
        </w:rPr>
        <w:t>h</w:t>
      </w:r>
      <w:r>
        <w:rPr>
          <w:rFonts w:hint="eastAsia"/>
          <w:szCs w:val="28"/>
        </w:rPr>
        <w:t>m²</w:t>
      </w:r>
      <w:r>
        <w:rPr>
          <w:szCs w:val="28"/>
        </w:rPr>
        <w:t>，矿区外损毁土地面积</w:t>
      </w:r>
      <w:r>
        <w:rPr>
          <w:rFonts w:hint="eastAsia"/>
          <w:szCs w:val="28"/>
          <w:lang w:eastAsia="zh-CN"/>
        </w:rPr>
        <w:t>0.0777</w:t>
      </w:r>
      <w:r>
        <w:rPr>
          <w:szCs w:val="28"/>
        </w:rPr>
        <w:t>h</w:t>
      </w:r>
      <w:r>
        <w:rPr>
          <w:rFonts w:hint="eastAsia"/>
          <w:szCs w:val="28"/>
        </w:rPr>
        <w:t>m²</w:t>
      </w:r>
      <w:r>
        <w:rPr>
          <w:szCs w:val="28"/>
        </w:rPr>
        <w:t>；损毁土地类型</w:t>
      </w:r>
      <w:r>
        <w:rPr>
          <w:rFonts w:hint="eastAsia"/>
          <w:szCs w:val="28"/>
        </w:rPr>
        <w:t>包括：乔木林地</w:t>
      </w:r>
      <w:r>
        <w:rPr>
          <w:rFonts w:hint="eastAsia"/>
          <w:szCs w:val="28"/>
          <w:lang w:eastAsia="zh-CN"/>
        </w:rPr>
        <w:t>1.3488</w:t>
      </w:r>
      <w:r>
        <w:rPr>
          <w:rFonts w:hint="eastAsia"/>
          <w:szCs w:val="28"/>
        </w:rPr>
        <w:t>hm</w:t>
      </w:r>
      <w:r>
        <w:rPr>
          <w:rFonts w:hint="eastAsia"/>
          <w:szCs w:val="28"/>
          <w:vertAlign w:val="superscript"/>
        </w:rPr>
        <w:t>2</w:t>
      </w:r>
      <w:r>
        <w:rPr>
          <w:szCs w:val="28"/>
        </w:rPr>
        <w:t>，</w:t>
      </w:r>
      <w:r>
        <w:rPr>
          <w:rFonts w:hint="eastAsia"/>
          <w:szCs w:val="28"/>
        </w:rPr>
        <w:t>采矿用地</w:t>
      </w:r>
      <w:r>
        <w:rPr>
          <w:rFonts w:hint="eastAsia"/>
          <w:szCs w:val="28"/>
          <w:lang w:eastAsia="zh-CN"/>
        </w:rPr>
        <w:t>0.18</w:t>
      </w:r>
      <w:r>
        <w:rPr>
          <w:rFonts w:hint="eastAsia"/>
          <w:szCs w:val="28"/>
        </w:rPr>
        <w:t>hm</w:t>
      </w:r>
      <w:r>
        <w:rPr>
          <w:rFonts w:hint="eastAsia"/>
          <w:szCs w:val="28"/>
          <w:vertAlign w:val="superscript"/>
        </w:rPr>
        <w:t>2</w:t>
      </w:r>
      <w:r>
        <w:rPr>
          <w:rFonts w:hint="eastAsia"/>
          <w:szCs w:val="28"/>
        </w:rPr>
        <w:t>。</w:t>
      </w:r>
    </w:p>
    <w:p w14:paraId="793B872E">
      <w:pPr>
        <w:pStyle w:val="57"/>
        <w:rPr>
          <w:rFonts w:ascii="Times New Roman" w:hAnsi="Times New Roman"/>
        </w:rPr>
      </w:pPr>
      <w:r>
        <w:rPr>
          <w:rFonts w:ascii="Times New Roman" w:hAnsi="Times New Roman"/>
        </w:rPr>
        <w:t>表3-</w:t>
      </w:r>
      <w:r>
        <w:rPr>
          <w:rFonts w:hint="eastAsia" w:ascii="Times New Roman" w:hAnsi="Times New Roman"/>
        </w:rPr>
        <w:t>1</w:t>
      </w:r>
      <w:r>
        <w:rPr>
          <w:rFonts w:hint="eastAsia" w:ascii="Times New Roman" w:hAnsi="Times New Roman"/>
          <w:lang w:val="en-US" w:eastAsia="zh-CN"/>
        </w:rPr>
        <w:t>3</w:t>
      </w:r>
      <w:r>
        <w:rPr>
          <w:rFonts w:ascii="Times New Roman" w:hAnsi="Times New Roman"/>
        </w:rPr>
        <w:t>土地损毁情况统计表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849"/>
        <w:gridCol w:w="1323"/>
        <w:gridCol w:w="1373"/>
        <w:gridCol w:w="1097"/>
        <w:gridCol w:w="1097"/>
        <w:gridCol w:w="1674"/>
      </w:tblGrid>
      <w:tr w14:paraId="205A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0" w:type="auto"/>
            <w:gridSpan w:val="4"/>
            <w:vAlign w:val="center"/>
          </w:tcPr>
          <w:p w14:paraId="3AD6BA07">
            <w:pPr>
              <w:pStyle w:val="72"/>
              <w:rPr>
                <w:rFonts w:hint="eastAsia"/>
              </w:rPr>
            </w:pPr>
            <w:r>
              <w:rPr>
                <w:rFonts w:hint="eastAsia"/>
              </w:rPr>
              <w:t>土地类型</w:t>
            </w:r>
          </w:p>
        </w:tc>
        <w:tc>
          <w:tcPr>
            <w:tcW w:w="0" w:type="auto"/>
            <w:gridSpan w:val="2"/>
            <w:vAlign w:val="center"/>
          </w:tcPr>
          <w:p w14:paraId="5AAB7815">
            <w:pPr>
              <w:pStyle w:val="72"/>
              <w:rPr>
                <w:rFonts w:hint="eastAsia"/>
              </w:rPr>
            </w:pPr>
            <w:r>
              <w:rPr>
                <w:rFonts w:hint="eastAsia"/>
              </w:rPr>
              <w:t>面积（</w:t>
            </w:r>
            <w:r>
              <w:t>hm</w:t>
            </w:r>
            <w:r>
              <w:rPr>
                <w:rFonts w:ascii="Calibri" w:hAnsi="Calibri" w:cs="Calibri"/>
              </w:rPr>
              <w:t>²</w:t>
            </w:r>
            <w:r>
              <w:rPr>
                <w:rFonts w:hint="eastAsia" w:cs="仿宋"/>
              </w:rPr>
              <w:t>）</w:t>
            </w:r>
          </w:p>
        </w:tc>
        <w:tc>
          <w:tcPr>
            <w:tcW w:w="0" w:type="auto"/>
            <w:vMerge w:val="restart"/>
            <w:vAlign w:val="center"/>
          </w:tcPr>
          <w:p w14:paraId="7F2A99CA">
            <w:pPr>
              <w:pStyle w:val="72"/>
              <w:rPr>
                <w:rFonts w:hint="eastAsia"/>
              </w:rPr>
            </w:pPr>
            <w:r>
              <w:rPr>
                <w:rFonts w:hint="eastAsia"/>
              </w:rPr>
              <w:t>合计（</w:t>
            </w:r>
            <w:r>
              <w:t>hm</w:t>
            </w:r>
            <w:r>
              <w:rPr>
                <w:rFonts w:ascii="Calibri" w:hAnsi="Calibri" w:cs="Calibri"/>
              </w:rPr>
              <w:t>²</w:t>
            </w:r>
            <w:r>
              <w:rPr>
                <w:rFonts w:hint="eastAsia" w:cs="仿宋"/>
              </w:rPr>
              <w:t>）</w:t>
            </w:r>
          </w:p>
        </w:tc>
      </w:tr>
      <w:tr w14:paraId="2EBF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0" w:type="auto"/>
            <w:gridSpan w:val="2"/>
            <w:vAlign w:val="center"/>
          </w:tcPr>
          <w:p w14:paraId="5527E4C7">
            <w:pPr>
              <w:pStyle w:val="72"/>
              <w:rPr>
                <w:rFonts w:hint="eastAsia"/>
              </w:rPr>
            </w:pPr>
            <w:r>
              <w:rPr>
                <w:rFonts w:hint="eastAsia"/>
              </w:rPr>
              <w:t>一级地类</w:t>
            </w:r>
          </w:p>
        </w:tc>
        <w:tc>
          <w:tcPr>
            <w:tcW w:w="0" w:type="auto"/>
            <w:gridSpan w:val="2"/>
            <w:vAlign w:val="center"/>
          </w:tcPr>
          <w:p w14:paraId="76808719">
            <w:pPr>
              <w:pStyle w:val="72"/>
              <w:rPr>
                <w:rFonts w:hint="eastAsia"/>
              </w:rPr>
            </w:pPr>
            <w:r>
              <w:rPr>
                <w:rFonts w:hint="eastAsia"/>
              </w:rPr>
              <w:t>二级地类</w:t>
            </w:r>
          </w:p>
        </w:tc>
        <w:tc>
          <w:tcPr>
            <w:tcW w:w="0" w:type="auto"/>
            <w:vMerge w:val="restart"/>
            <w:vAlign w:val="center"/>
          </w:tcPr>
          <w:p w14:paraId="3BCBBDFF">
            <w:pPr>
              <w:pStyle w:val="72"/>
              <w:rPr>
                <w:rFonts w:hint="eastAsia"/>
              </w:rPr>
            </w:pPr>
            <w:r>
              <w:rPr>
                <w:rFonts w:hint="eastAsia"/>
              </w:rPr>
              <w:t>矿区内</w:t>
            </w:r>
          </w:p>
        </w:tc>
        <w:tc>
          <w:tcPr>
            <w:tcW w:w="0" w:type="auto"/>
            <w:vMerge w:val="restart"/>
            <w:vAlign w:val="center"/>
          </w:tcPr>
          <w:p w14:paraId="1244B97B">
            <w:pPr>
              <w:pStyle w:val="72"/>
              <w:rPr>
                <w:rFonts w:hint="eastAsia"/>
              </w:rPr>
            </w:pPr>
            <w:r>
              <w:rPr>
                <w:rFonts w:hint="eastAsia"/>
              </w:rPr>
              <w:t>矿区外</w:t>
            </w:r>
          </w:p>
        </w:tc>
        <w:tc>
          <w:tcPr>
            <w:tcW w:w="0" w:type="auto"/>
            <w:vMerge w:val="continue"/>
            <w:vAlign w:val="center"/>
          </w:tcPr>
          <w:p w14:paraId="718C4EFD">
            <w:pPr>
              <w:pStyle w:val="72"/>
              <w:rPr>
                <w:rFonts w:hint="eastAsia"/>
              </w:rPr>
            </w:pPr>
          </w:p>
        </w:tc>
      </w:tr>
      <w:tr w14:paraId="3861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0" w:type="auto"/>
            <w:vAlign w:val="center"/>
          </w:tcPr>
          <w:p w14:paraId="79FA2B0E">
            <w:pPr>
              <w:pStyle w:val="72"/>
              <w:rPr>
                <w:rFonts w:hint="eastAsia"/>
              </w:rPr>
            </w:pPr>
            <w:r>
              <w:rPr>
                <w:rFonts w:hint="eastAsia"/>
              </w:rPr>
              <w:t>地类编码</w:t>
            </w:r>
          </w:p>
        </w:tc>
        <w:tc>
          <w:tcPr>
            <w:tcW w:w="0" w:type="auto"/>
            <w:vAlign w:val="center"/>
          </w:tcPr>
          <w:p w14:paraId="0D52B12C">
            <w:pPr>
              <w:pStyle w:val="72"/>
              <w:rPr>
                <w:rFonts w:hint="eastAsia"/>
              </w:rPr>
            </w:pPr>
            <w:r>
              <w:rPr>
                <w:rFonts w:hint="eastAsia"/>
              </w:rPr>
              <w:t>地类名称</w:t>
            </w:r>
          </w:p>
        </w:tc>
        <w:tc>
          <w:tcPr>
            <w:tcW w:w="0" w:type="auto"/>
            <w:vAlign w:val="center"/>
          </w:tcPr>
          <w:p w14:paraId="3863ACD7">
            <w:pPr>
              <w:pStyle w:val="72"/>
              <w:rPr>
                <w:rFonts w:hint="eastAsia"/>
              </w:rPr>
            </w:pPr>
            <w:r>
              <w:rPr>
                <w:rFonts w:hint="eastAsia"/>
              </w:rPr>
              <w:t>地类编码</w:t>
            </w:r>
          </w:p>
        </w:tc>
        <w:tc>
          <w:tcPr>
            <w:tcW w:w="0" w:type="auto"/>
            <w:vAlign w:val="center"/>
          </w:tcPr>
          <w:p w14:paraId="62EA955C">
            <w:pPr>
              <w:pStyle w:val="72"/>
              <w:rPr>
                <w:rFonts w:hint="eastAsia"/>
              </w:rPr>
            </w:pPr>
            <w:r>
              <w:rPr>
                <w:rFonts w:hint="eastAsia"/>
              </w:rPr>
              <w:t>地类名称</w:t>
            </w:r>
          </w:p>
        </w:tc>
        <w:tc>
          <w:tcPr>
            <w:tcW w:w="0" w:type="auto"/>
            <w:vMerge w:val="continue"/>
            <w:vAlign w:val="center"/>
          </w:tcPr>
          <w:p w14:paraId="5C70E1C8">
            <w:pPr>
              <w:pStyle w:val="72"/>
              <w:rPr>
                <w:rFonts w:hint="eastAsia"/>
              </w:rPr>
            </w:pPr>
          </w:p>
        </w:tc>
        <w:tc>
          <w:tcPr>
            <w:tcW w:w="0" w:type="auto"/>
            <w:vMerge w:val="continue"/>
            <w:vAlign w:val="center"/>
          </w:tcPr>
          <w:p w14:paraId="71929D0E">
            <w:pPr>
              <w:pStyle w:val="72"/>
              <w:rPr>
                <w:rFonts w:hint="eastAsia"/>
              </w:rPr>
            </w:pPr>
          </w:p>
        </w:tc>
        <w:tc>
          <w:tcPr>
            <w:tcW w:w="0" w:type="auto"/>
            <w:vMerge w:val="continue"/>
            <w:vAlign w:val="center"/>
          </w:tcPr>
          <w:p w14:paraId="20A01567">
            <w:pPr>
              <w:pStyle w:val="72"/>
              <w:rPr>
                <w:rFonts w:hint="eastAsia"/>
              </w:rPr>
            </w:pPr>
          </w:p>
        </w:tc>
      </w:tr>
      <w:tr w14:paraId="7172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0" w:type="auto"/>
            <w:vAlign w:val="center"/>
          </w:tcPr>
          <w:p w14:paraId="4E29989B">
            <w:pPr>
              <w:pStyle w:val="72"/>
              <w:rPr>
                <w:rFonts w:hint="eastAsia"/>
              </w:rPr>
            </w:pPr>
            <w:r>
              <w:rPr>
                <w:rFonts w:hint="eastAsia"/>
              </w:rPr>
              <w:t>0</w:t>
            </w:r>
            <w:r>
              <w:t>3</w:t>
            </w:r>
          </w:p>
        </w:tc>
        <w:tc>
          <w:tcPr>
            <w:tcW w:w="0" w:type="auto"/>
            <w:vAlign w:val="center"/>
          </w:tcPr>
          <w:p w14:paraId="2CD05C7C">
            <w:pPr>
              <w:pStyle w:val="72"/>
              <w:rPr>
                <w:rFonts w:hint="eastAsia"/>
              </w:rPr>
            </w:pPr>
            <w:r>
              <w:rPr>
                <w:rFonts w:hint="eastAsia"/>
              </w:rPr>
              <w:t>林地</w:t>
            </w:r>
          </w:p>
        </w:tc>
        <w:tc>
          <w:tcPr>
            <w:tcW w:w="0" w:type="auto"/>
            <w:vAlign w:val="center"/>
          </w:tcPr>
          <w:p w14:paraId="5078C348">
            <w:pPr>
              <w:pStyle w:val="72"/>
              <w:rPr>
                <w:rFonts w:hint="default" w:ascii="Times New Roman" w:hAnsi="Times New Roman" w:cs="Times New Roman"/>
                <w:sz w:val="22"/>
                <w:szCs w:val="22"/>
              </w:rPr>
            </w:pPr>
            <w:r>
              <w:rPr>
                <w:rFonts w:hint="default" w:ascii="Times New Roman" w:hAnsi="Times New Roman" w:cs="Times New Roman"/>
                <w:sz w:val="22"/>
                <w:szCs w:val="22"/>
              </w:rPr>
              <w:t>0301</w:t>
            </w:r>
          </w:p>
        </w:tc>
        <w:tc>
          <w:tcPr>
            <w:tcW w:w="0" w:type="auto"/>
            <w:vAlign w:val="center"/>
          </w:tcPr>
          <w:p w14:paraId="43E890E0">
            <w:pPr>
              <w:pStyle w:val="72"/>
              <w:rPr>
                <w:rFonts w:hint="eastAsia"/>
                <w:sz w:val="22"/>
                <w:szCs w:val="22"/>
              </w:rPr>
            </w:pPr>
            <w:r>
              <w:rPr>
                <w:rFonts w:hint="eastAsia"/>
                <w:sz w:val="22"/>
                <w:szCs w:val="22"/>
              </w:rPr>
              <w:t>乔木林地</w:t>
            </w:r>
          </w:p>
        </w:tc>
        <w:tc>
          <w:tcPr>
            <w:tcW w:w="0" w:type="auto"/>
            <w:noWrap/>
            <w:vAlign w:val="center"/>
          </w:tcPr>
          <w:p w14:paraId="4C0AB48C">
            <w:pPr>
              <w:pStyle w:val="72"/>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1.2711</w:t>
            </w:r>
          </w:p>
        </w:tc>
        <w:tc>
          <w:tcPr>
            <w:tcW w:w="0" w:type="auto"/>
            <w:vAlign w:val="center"/>
          </w:tcPr>
          <w:p w14:paraId="51BD2A29">
            <w:pPr>
              <w:pStyle w:val="72"/>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0.0777</w:t>
            </w:r>
          </w:p>
        </w:tc>
        <w:tc>
          <w:tcPr>
            <w:tcW w:w="1675" w:type="dxa"/>
            <w:vAlign w:val="center"/>
          </w:tcPr>
          <w:p w14:paraId="610755C9">
            <w:pPr>
              <w:pStyle w:val="72"/>
              <w:rPr>
                <w:rFonts w:hint="eastAsia" w:ascii="Times New Roman" w:hAnsi="Times New Roman"/>
                <w:color w:val="000000"/>
                <w:szCs w:val="21"/>
                <w:lang w:eastAsia="zh-CN"/>
              </w:rPr>
            </w:pPr>
            <w:r>
              <w:rPr>
                <w:rFonts w:hint="eastAsia" w:ascii="Times New Roman" w:hAnsi="Times New Roman"/>
                <w:color w:val="000000"/>
                <w:szCs w:val="21"/>
                <w:lang w:val="en-US" w:eastAsia="zh-CN"/>
              </w:rPr>
              <w:t>1.3488</w:t>
            </w:r>
          </w:p>
        </w:tc>
      </w:tr>
      <w:tr w14:paraId="3580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0" w:type="auto"/>
            <w:vAlign w:val="center"/>
          </w:tcPr>
          <w:p w14:paraId="39F314EE">
            <w:pPr>
              <w:pStyle w:val="72"/>
              <w:rPr>
                <w:rFonts w:hint="eastAsia"/>
              </w:rPr>
            </w:pPr>
            <w:r>
              <w:rPr>
                <w:rFonts w:ascii="Times New Roman" w:hAnsi="Times New Roman" w:eastAsia="等线"/>
                <w:color w:val="000000"/>
                <w:szCs w:val="21"/>
              </w:rPr>
              <w:t>06</w:t>
            </w:r>
          </w:p>
        </w:tc>
        <w:tc>
          <w:tcPr>
            <w:tcW w:w="0" w:type="auto"/>
            <w:vAlign w:val="center"/>
          </w:tcPr>
          <w:p w14:paraId="3D76C3BB">
            <w:pPr>
              <w:pStyle w:val="72"/>
              <w:rPr>
                <w:rFonts w:hint="eastAsia"/>
              </w:rPr>
            </w:pPr>
            <w:r>
              <w:rPr>
                <w:rFonts w:hint="eastAsia" w:ascii="仿宋" w:hAnsi="仿宋"/>
                <w:color w:val="000000"/>
                <w:szCs w:val="21"/>
              </w:rPr>
              <w:t>工矿仓储用地</w:t>
            </w:r>
          </w:p>
        </w:tc>
        <w:tc>
          <w:tcPr>
            <w:tcW w:w="0" w:type="auto"/>
            <w:vAlign w:val="center"/>
          </w:tcPr>
          <w:p w14:paraId="103FAB89">
            <w:pPr>
              <w:pStyle w:val="72"/>
              <w:rPr>
                <w:rFonts w:hint="default" w:ascii="Times New Roman" w:hAnsi="Times New Roman" w:cs="Times New Roman"/>
                <w:sz w:val="22"/>
                <w:szCs w:val="22"/>
              </w:rPr>
            </w:pPr>
            <w:r>
              <w:rPr>
                <w:rFonts w:hint="default" w:ascii="Times New Roman" w:hAnsi="Times New Roman" w:cs="Times New Roman"/>
                <w:sz w:val="22"/>
                <w:szCs w:val="22"/>
              </w:rPr>
              <w:t>0602</w:t>
            </w:r>
          </w:p>
        </w:tc>
        <w:tc>
          <w:tcPr>
            <w:tcW w:w="0" w:type="auto"/>
            <w:vAlign w:val="center"/>
          </w:tcPr>
          <w:p w14:paraId="75A46EFF">
            <w:pPr>
              <w:pStyle w:val="72"/>
              <w:rPr>
                <w:rFonts w:hint="eastAsia"/>
                <w:sz w:val="22"/>
                <w:szCs w:val="22"/>
              </w:rPr>
            </w:pPr>
            <w:r>
              <w:rPr>
                <w:rFonts w:hint="eastAsia"/>
                <w:sz w:val="22"/>
                <w:szCs w:val="22"/>
              </w:rPr>
              <w:t>采矿用地</w:t>
            </w:r>
          </w:p>
        </w:tc>
        <w:tc>
          <w:tcPr>
            <w:tcW w:w="0" w:type="auto"/>
            <w:noWrap/>
            <w:vAlign w:val="center"/>
          </w:tcPr>
          <w:p w14:paraId="404330BC">
            <w:pPr>
              <w:pStyle w:val="72"/>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0.18</w:t>
            </w:r>
          </w:p>
        </w:tc>
        <w:tc>
          <w:tcPr>
            <w:tcW w:w="0" w:type="auto"/>
            <w:vAlign w:val="center"/>
          </w:tcPr>
          <w:p w14:paraId="6CB17F20">
            <w:pPr>
              <w:pStyle w:val="72"/>
              <w:rPr>
                <w:rFonts w:hint="eastAsia" w:ascii="Times New Roman" w:hAnsi="Times New Roman"/>
                <w:color w:val="000000"/>
                <w:szCs w:val="21"/>
              </w:rPr>
            </w:pPr>
          </w:p>
        </w:tc>
        <w:tc>
          <w:tcPr>
            <w:tcW w:w="1675" w:type="dxa"/>
            <w:vAlign w:val="center"/>
          </w:tcPr>
          <w:p w14:paraId="7066DEDD">
            <w:pPr>
              <w:pStyle w:val="72"/>
              <w:rPr>
                <w:rFonts w:hint="eastAsia" w:ascii="Times New Roman" w:hAnsi="Times New Roman"/>
                <w:color w:val="000000"/>
                <w:szCs w:val="21"/>
              </w:rPr>
            </w:pPr>
            <w:r>
              <w:rPr>
                <w:rFonts w:hint="eastAsia" w:ascii="Times New Roman" w:hAnsi="Times New Roman"/>
                <w:color w:val="000000"/>
                <w:szCs w:val="21"/>
                <w:lang w:val="en-US" w:eastAsia="zh-CN"/>
              </w:rPr>
              <w:t>0.18</w:t>
            </w:r>
          </w:p>
        </w:tc>
      </w:tr>
      <w:tr w14:paraId="4E4B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0" w:type="auto"/>
            <w:vAlign w:val="center"/>
          </w:tcPr>
          <w:p w14:paraId="1DF8AD6F">
            <w:pPr>
              <w:pStyle w:val="72"/>
              <w:rPr>
                <w:rFonts w:hint="eastAsia"/>
              </w:rPr>
            </w:pPr>
            <w:r>
              <w:rPr>
                <w:rFonts w:hint="eastAsia"/>
              </w:rPr>
              <w:t>合计</w:t>
            </w:r>
          </w:p>
        </w:tc>
        <w:tc>
          <w:tcPr>
            <w:tcW w:w="0" w:type="auto"/>
            <w:vAlign w:val="center"/>
          </w:tcPr>
          <w:p w14:paraId="6822335E">
            <w:pPr>
              <w:pStyle w:val="72"/>
              <w:rPr>
                <w:rFonts w:hint="eastAsia"/>
              </w:rPr>
            </w:pPr>
            <w:r>
              <w:t>　</w:t>
            </w:r>
          </w:p>
        </w:tc>
        <w:tc>
          <w:tcPr>
            <w:tcW w:w="0" w:type="auto"/>
            <w:vAlign w:val="center"/>
          </w:tcPr>
          <w:p w14:paraId="03199842">
            <w:pPr>
              <w:pStyle w:val="72"/>
              <w:rPr>
                <w:rFonts w:hint="eastAsia"/>
              </w:rPr>
            </w:pPr>
            <w:r>
              <w:t>　</w:t>
            </w:r>
          </w:p>
        </w:tc>
        <w:tc>
          <w:tcPr>
            <w:tcW w:w="0" w:type="auto"/>
            <w:vAlign w:val="center"/>
          </w:tcPr>
          <w:p w14:paraId="07F2E02A">
            <w:pPr>
              <w:pStyle w:val="72"/>
              <w:rPr>
                <w:rFonts w:hint="eastAsia"/>
              </w:rPr>
            </w:pPr>
            <w:r>
              <w:t>　</w:t>
            </w:r>
          </w:p>
        </w:tc>
        <w:tc>
          <w:tcPr>
            <w:tcW w:w="1097" w:type="dxa"/>
            <w:vAlign w:val="center"/>
          </w:tcPr>
          <w:p w14:paraId="0B8E69FB">
            <w:pPr>
              <w:pStyle w:val="72"/>
              <w:rPr>
                <w:rFonts w:hint="eastAsia" w:ascii="Times New Roman" w:hAnsi="Times New Roman"/>
                <w:color w:val="000000"/>
                <w:szCs w:val="21"/>
              </w:rPr>
            </w:pPr>
            <w:r>
              <w:rPr>
                <w:rFonts w:hint="eastAsia" w:ascii="Times New Roman" w:hAnsi="Times New Roman"/>
                <w:color w:val="000000"/>
                <w:szCs w:val="21"/>
                <w:lang w:val="en-US" w:eastAsia="zh-CN"/>
              </w:rPr>
              <w:t>1.4511</w:t>
            </w:r>
          </w:p>
        </w:tc>
        <w:tc>
          <w:tcPr>
            <w:tcW w:w="1097" w:type="dxa"/>
            <w:vAlign w:val="center"/>
          </w:tcPr>
          <w:p w14:paraId="71846790">
            <w:pPr>
              <w:pStyle w:val="72"/>
              <w:rPr>
                <w:rFonts w:hint="eastAsia" w:ascii="Times New Roman" w:hAnsi="Times New Roman"/>
                <w:color w:val="000000"/>
                <w:szCs w:val="21"/>
                <w:lang w:eastAsia="zh-CN"/>
              </w:rPr>
            </w:pPr>
            <w:r>
              <w:rPr>
                <w:rFonts w:hint="eastAsia" w:ascii="Times New Roman" w:hAnsi="Times New Roman"/>
                <w:color w:val="000000"/>
                <w:szCs w:val="21"/>
                <w:lang w:val="en-US" w:eastAsia="zh-CN"/>
              </w:rPr>
              <w:t>0.0777</w:t>
            </w:r>
          </w:p>
        </w:tc>
        <w:tc>
          <w:tcPr>
            <w:tcW w:w="1675" w:type="dxa"/>
            <w:vAlign w:val="center"/>
          </w:tcPr>
          <w:p w14:paraId="7F85E264">
            <w:pPr>
              <w:pStyle w:val="72"/>
              <w:rPr>
                <w:rFonts w:hint="eastAsia" w:ascii="Times New Roman" w:hAnsi="Times New Roman"/>
                <w:color w:val="000000"/>
                <w:szCs w:val="21"/>
                <w:lang w:eastAsia="zh-CN"/>
              </w:rPr>
            </w:pPr>
            <w:r>
              <w:rPr>
                <w:rFonts w:hint="eastAsia" w:ascii="Times New Roman" w:hAnsi="Times New Roman"/>
                <w:color w:val="000000"/>
                <w:szCs w:val="21"/>
                <w:lang w:val="en-US" w:eastAsia="zh-CN"/>
              </w:rPr>
              <w:t>1.5288</w:t>
            </w:r>
          </w:p>
        </w:tc>
      </w:tr>
    </w:tbl>
    <w:p w14:paraId="33FC6316">
      <w:pPr>
        <w:ind w:firstLine="560"/>
        <w:rPr>
          <w:szCs w:val="28"/>
        </w:rPr>
        <w:sectPr>
          <w:footerReference r:id="rId14" w:type="default"/>
          <w:pgSz w:w="11906" w:h="16838"/>
          <w:pgMar w:top="1134" w:right="968" w:bottom="1134" w:left="1418" w:header="851" w:footer="567" w:gutter="0"/>
          <w:pgNumType w:fmt="decimal"/>
          <w:cols w:space="720" w:num="1"/>
          <w:docGrid w:type="linesAndChars" w:linePitch="381" w:charSpace="0"/>
        </w:sectPr>
      </w:pPr>
    </w:p>
    <w:p w14:paraId="2EE50CB3">
      <w:pPr>
        <w:pStyle w:val="57"/>
        <w:rPr>
          <w:rFonts w:hint="eastAsia"/>
        </w:rPr>
      </w:pPr>
      <w:r>
        <w:t>表3-</w:t>
      </w:r>
      <w:r>
        <w:rPr>
          <w:rFonts w:hint="eastAsia"/>
        </w:rPr>
        <w:t>1</w:t>
      </w:r>
      <w:r>
        <w:rPr>
          <w:rFonts w:hint="eastAsia"/>
          <w:lang w:val="en-US" w:eastAsia="zh-CN"/>
        </w:rPr>
        <w:t>4</w:t>
      </w:r>
      <w:r>
        <w:t>损毁土地利用现状统计表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2039"/>
        <w:gridCol w:w="1096"/>
        <w:gridCol w:w="1095"/>
        <w:gridCol w:w="1871"/>
        <w:gridCol w:w="3101"/>
        <w:gridCol w:w="2312"/>
      </w:tblGrid>
      <w:tr w14:paraId="5A7F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541" w:type="dxa"/>
            <w:gridSpan w:val="2"/>
            <w:vMerge w:val="restart"/>
            <w:vAlign w:val="center"/>
          </w:tcPr>
          <w:p w14:paraId="6C3C05C6">
            <w:pPr>
              <w:pStyle w:val="72"/>
              <w:rPr>
                <w:rFonts w:ascii="Times New Roman" w:hAnsi="Times New Roman"/>
                <w:szCs w:val="21"/>
              </w:rPr>
            </w:pPr>
            <w:r>
              <w:rPr>
                <w:rFonts w:ascii="Times New Roman" w:hAnsi="Times New Roman"/>
                <w:szCs w:val="21"/>
              </w:rPr>
              <w:t>项目名称</w:t>
            </w:r>
          </w:p>
        </w:tc>
        <w:tc>
          <w:tcPr>
            <w:tcW w:w="1096" w:type="dxa"/>
            <w:vMerge w:val="restart"/>
            <w:vAlign w:val="center"/>
          </w:tcPr>
          <w:p w14:paraId="55B67FC1">
            <w:pPr>
              <w:pStyle w:val="72"/>
              <w:rPr>
                <w:rFonts w:ascii="Times New Roman" w:hAnsi="Times New Roman"/>
                <w:szCs w:val="21"/>
              </w:rPr>
            </w:pPr>
            <w:r>
              <w:rPr>
                <w:rFonts w:ascii="Times New Roman" w:hAnsi="Times New Roman"/>
                <w:szCs w:val="21"/>
              </w:rPr>
              <w:t>破坏面积hm²</w:t>
            </w:r>
          </w:p>
        </w:tc>
        <w:tc>
          <w:tcPr>
            <w:tcW w:w="1095" w:type="dxa"/>
            <w:vMerge w:val="restart"/>
            <w:vAlign w:val="center"/>
          </w:tcPr>
          <w:p w14:paraId="554FEEA5">
            <w:pPr>
              <w:pStyle w:val="72"/>
              <w:rPr>
                <w:rFonts w:ascii="Times New Roman" w:hAnsi="Times New Roman"/>
                <w:szCs w:val="21"/>
              </w:rPr>
            </w:pPr>
            <w:r>
              <w:rPr>
                <w:rFonts w:ascii="Times New Roman" w:hAnsi="Times New Roman"/>
                <w:szCs w:val="21"/>
              </w:rPr>
              <w:t>损毁时序</w:t>
            </w:r>
          </w:p>
        </w:tc>
        <w:tc>
          <w:tcPr>
            <w:tcW w:w="1871" w:type="dxa"/>
            <w:vMerge w:val="restart"/>
            <w:vAlign w:val="center"/>
          </w:tcPr>
          <w:p w14:paraId="7683207B">
            <w:pPr>
              <w:pStyle w:val="72"/>
              <w:rPr>
                <w:rFonts w:ascii="Times New Roman" w:hAnsi="Times New Roman"/>
                <w:szCs w:val="21"/>
              </w:rPr>
            </w:pPr>
            <w:r>
              <w:rPr>
                <w:rFonts w:ascii="Times New Roman" w:hAnsi="Times New Roman"/>
                <w:szCs w:val="21"/>
              </w:rPr>
              <w:t>损毁方式</w:t>
            </w:r>
          </w:p>
        </w:tc>
        <w:tc>
          <w:tcPr>
            <w:tcW w:w="5413" w:type="dxa"/>
            <w:gridSpan w:val="2"/>
            <w:vAlign w:val="center"/>
          </w:tcPr>
          <w:p w14:paraId="01390970">
            <w:pPr>
              <w:pStyle w:val="72"/>
              <w:rPr>
                <w:rFonts w:ascii="Times New Roman" w:hAnsi="Times New Roman"/>
                <w:szCs w:val="21"/>
              </w:rPr>
            </w:pPr>
            <w:r>
              <w:rPr>
                <w:rFonts w:ascii="Times New Roman" w:hAnsi="Times New Roman"/>
                <w:szCs w:val="21"/>
              </w:rPr>
              <w:t>损毁土地类型及面积（hm²）　</w:t>
            </w:r>
          </w:p>
        </w:tc>
      </w:tr>
      <w:tr w14:paraId="2C90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3541" w:type="dxa"/>
            <w:gridSpan w:val="2"/>
            <w:vMerge w:val="continue"/>
            <w:vAlign w:val="center"/>
          </w:tcPr>
          <w:p w14:paraId="5D8E79D0">
            <w:pPr>
              <w:pStyle w:val="72"/>
              <w:rPr>
                <w:rFonts w:ascii="Times New Roman" w:hAnsi="Times New Roman"/>
                <w:szCs w:val="21"/>
              </w:rPr>
            </w:pPr>
          </w:p>
        </w:tc>
        <w:tc>
          <w:tcPr>
            <w:tcW w:w="1096" w:type="dxa"/>
            <w:vMerge w:val="continue"/>
            <w:vAlign w:val="center"/>
          </w:tcPr>
          <w:p w14:paraId="3DE415AD">
            <w:pPr>
              <w:pStyle w:val="72"/>
              <w:rPr>
                <w:rFonts w:ascii="Times New Roman" w:hAnsi="Times New Roman"/>
                <w:szCs w:val="21"/>
              </w:rPr>
            </w:pPr>
          </w:p>
        </w:tc>
        <w:tc>
          <w:tcPr>
            <w:tcW w:w="1095" w:type="dxa"/>
            <w:vMerge w:val="continue"/>
            <w:vAlign w:val="center"/>
          </w:tcPr>
          <w:p w14:paraId="72206403">
            <w:pPr>
              <w:pStyle w:val="72"/>
              <w:rPr>
                <w:rFonts w:ascii="Times New Roman" w:hAnsi="Times New Roman"/>
                <w:szCs w:val="21"/>
              </w:rPr>
            </w:pPr>
          </w:p>
        </w:tc>
        <w:tc>
          <w:tcPr>
            <w:tcW w:w="1871" w:type="dxa"/>
            <w:vMerge w:val="continue"/>
            <w:vAlign w:val="center"/>
          </w:tcPr>
          <w:p w14:paraId="5FA9C2F2">
            <w:pPr>
              <w:pStyle w:val="72"/>
              <w:rPr>
                <w:rFonts w:ascii="Times New Roman" w:hAnsi="Times New Roman"/>
                <w:szCs w:val="21"/>
              </w:rPr>
            </w:pPr>
          </w:p>
        </w:tc>
        <w:tc>
          <w:tcPr>
            <w:tcW w:w="3101" w:type="dxa"/>
            <w:noWrap/>
            <w:vAlign w:val="center"/>
          </w:tcPr>
          <w:p w14:paraId="45678C21">
            <w:pPr>
              <w:pStyle w:val="72"/>
              <w:rPr>
                <w:rFonts w:ascii="Times New Roman" w:hAnsi="Times New Roman"/>
                <w:szCs w:val="21"/>
              </w:rPr>
            </w:pPr>
            <w:r>
              <w:rPr>
                <w:rFonts w:ascii="Times New Roman" w:hAnsi="Times New Roman"/>
                <w:szCs w:val="21"/>
              </w:rPr>
              <w:t>0301</w:t>
            </w:r>
          </w:p>
          <w:p w14:paraId="3B57181B">
            <w:pPr>
              <w:pStyle w:val="72"/>
              <w:rPr>
                <w:rFonts w:ascii="Times New Roman" w:hAnsi="Times New Roman"/>
                <w:szCs w:val="21"/>
              </w:rPr>
            </w:pPr>
            <w:r>
              <w:rPr>
                <w:rFonts w:ascii="Times New Roman" w:hAnsi="Times New Roman"/>
                <w:szCs w:val="21"/>
              </w:rPr>
              <w:t>乔木林地</w:t>
            </w:r>
          </w:p>
        </w:tc>
        <w:tc>
          <w:tcPr>
            <w:tcW w:w="2312" w:type="dxa"/>
            <w:vAlign w:val="center"/>
          </w:tcPr>
          <w:p w14:paraId="23F52B73">
            <w:pPr>
              <w:pStyle w:val="72"/>
              <w:rPr>
                <w:rFonts w:ascii="Times New Roman" w:hAnsi="Times New Roman"/>
                <w:szCs w:val="21"/>
              </w:rPr>
            </w:pPr>
            <w:r>
              <w:rPr>
                <w:rFonts w:ascii="Times New Roman" w:hAnsi="Times New Roman"/>
                <w:szCs w:val="21"/>
              </w:rPr>
              <w:t>0602</w:t>
            </w:r>
          </w:p>
          <w:p w14:paraId="1C5688AD">
            <w:pPr>
              <w:pStyle w:val="72"/>
              <w:rPr>
                <w:rFonts w:ascii="Times New Roman" w:hAnsi="Times New Roman"/>
                <w:szCs w:val="21"/>
              </w:rPr>
            </w:pPr>
            <w:r>
              <w:rPr>
                <w:rFonts w:ascii="Times New Roman" w:hAnsi="Times New Roman"/>
                <w:szCs w:val="21"/>
              </w:rPr>
              <w:t>采矿用地</w:t>
            </w:r>
          </w:p>
        </w:tc>
      </w:tr>
      <w:tr w14:paraId="6D26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02" w:type="dxa"/>
            <w:vMerge w:val="restart"/>
            <w:vAlign w:val="center"/>
          </w:tcPr>
          <w:p w14:paraId="01624F31">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490m平硐广场</w:t>
            </w:r>
          </w:p>
        </w:tc>
        <w:tc>
          <w:tcPr>
            <w:tcW w:w="2039" w:type="dxa"/>
            <w:vAlign w:val="center"/>
          </w:tcPr>
          <w:p w14:paraId="3384BDAE">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矿石堆场</w:t>
            </w:r>
          </w:p>
        </w:tc>
        <w:tc>
          <w:tcPr>
            <w:tcW w:w="1096" w:type="dxa"/>
            <w:vAlign w:val="center"/>
          </w:tcPr>
          <w:p w14:paraId="066D7C81">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0.06</w:t>
            </w:r>
          </w:p>
        </w:tc>
        <w:tc>
          <w:tcPr>
            <w:tcW w:w="1095" w:type="dxa"/>
            <w:vAlign w:val="center"/>
          </w:tcPr>
          <w:p w14:paraId="314E19FF">
            <w:pPr>
              <w:pStyle w:val="72"/>
              <w:rPr>
                <w:rFonts w:hint="eastAsia" w:ascii="Times New Roman" w:hAnsi="Times New Roman"/>
                <w:szCs w:val="21"/>
                <w:lang w:eastAsia="zh-CN"/>
              </w:rPr>
            </w:pPr>
            <w:r>
              <w:rPr>
                <w:rFonts w:hint="eastAsia" w:ascii="Times New Roman" w:hAnsi="Times New Roman"/>
                <w:szCs w:val="21"/>
                <w:lang w:val="en-US" w:eastAsia="zh-CN"/>
              </w:rPr>
              <w:t>拟</w:t>
            </w:r>
          </w:p>
        </w:tc>
        <w:tc>
          <w:tcPr>
            <w:tcW w:w="1871" w:type="dxa"/>
            <w:vAlign w:val="center"/>
          </w:tcPr>
          <w:p w14:paraId="1C482584">
            <w:pPr>
              <w:pStyle w:val="72"/>
              <w:rPr>
                <w:rFonts w:ascii="Times New Roman" w:hAnsi="Times New Roman"/>
                <w:szCs w:val="21"/>
              </w:rPr>
            </w:pPr>
            <w:r>
              <w:rPr>
                <w:rFonts w:ascii="Times New Roman" w:hAnsi="Times New Roman"/>
                <w:szCs w:val="21"/>
              </w:rPr>
              <w:t>压占</w:t>
            </w:r>
          </w:p>
        </w:tc>
        <w:tc>
          <w:tcPr>
            <w:tcW w:w="3101" w:type="dxa"/>
            <w:noWrap/>
            <w:vAlign w:val="center"/>
          </w:tcPr>
          <w:p w14:paraId="1ECCD057">
            <w:pPr>
              <w:pStyle w:val="72"/>
              <w:rPr>
                <w:rFonts w:hint="eastAsia" w:ascii="Times New Roman" w:hAnsi="Times New Roman"/>
                <w:color w:val="000000"/>
                <w:szCs w:val="21"/>
                <w:lang w:val="en-US" w:eastAsia="zh-CN"/>
              </w:rPr>
            </w:pPr>
            <w:r>
              <w:rPr>
                <w:rFonts w:hint="default" w:ascii="Times New Roman" w:hAnsi="Times New Roman"/>
                <w:color w:val="000000"/>
                <w:szCs w:val="21"/>
                <w:lang w:val="en-US" w:eastAsia="zh-CN"/>
              </w:rPr>
              <w:t>0.06</w:t>
            </w:r>
          </w:p>
        </w:tc>
        <w:tc>
          <w:tcPr>
            <w:tcW w:w="2312" w:type="dxa"/>
            <w:noWrap/>
            <w:vAlign w:val="center"/>
          </w:tcPr>
          <w:p w14:paraId="514C2872">
            <w:pPr>
              <w:pStyle w:val="72"/>
              <w:rPr>
                <w:rFonts w:hint="eastAsia" w:ascii="Times New Roman" w:hAnsi="Times New Roman"/>
                <w:color w:val="000000"/>
                <w:szCs w:val="21"/>
                <w:lang w:val="en-US" w:eastAsia="zh-CN"/>
              </w:rPr>
            </w:pPr>
          </w:p>
        </w:tc>
      </w:tr>
      <w:tr w14:paraId="4B9B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502" w:type="dxa"/>
            <w:vMerge w:val="continue"/>
            <w:vAlign w:val="center"/>
          </w:tcPr>
          <w:p w14:paraId="6C4B7CEE">
            <w:pPr>
              <w:pStyle w:val="72"/>
              <w:rPr>
                <w:rFonts w:ascii="Times New Roman" w:hAnsi="Times New Roman"/>
                <w:szCs w:val="21"/>
              </w:rPr>
            </w:pPr>
          </w:p>
        </w:tc>
        <w:tc>
          <w:tcPr>
            <w:tcW w:w="2039" w:type="dxa"/>
            <w:vAlign w:val="center"/>
          </w:tcPr>
          <w:p w14:paraId="270494A6">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表土堆场</w:t>
            </w:r>
          </w:p>
        </w:tc>
        <w:tc>
          <w:tcPr>
            <w:tcW w:w="1096" w:type="dxa"/>
            <w:vAlign w:val="center"/>
          </w:tcPr>
          <w:p w14:paraId="75C76437">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0.03</w:t>
            </w:r>
          </w:p>
        </w:tc>
        <w:tc>
          <w:tcPr>
            <w:tcW w:w="1095" w:type="dxa"/>
            <w:vAlign w:val="center"/>
          </w:tcPr>
          <w:p w14:paraId="7D5C8FDB">
            <w:pPr>
              <w:pStyle w:val="72"/>
              <w:rPr>
                <w:rFonts w:ascii="Times New Roman" w:hAnsi="Times New Roman"/>
                <w:szCs w:val="21"/>
              </w:rPr>
            </w:pPr>
            <w:r>
              <w:rPr>
                <w:rFonts w:hint="eastAsia" w:ascii="Times New Roman" w:hAnsi="Times New Roman"/>
                <w:szCs w:val="21"/>
                <w:lang w:val="en-US" w:eastAsia="zh-CN"/>
              </w:rPr>
              <w:t>拟</w:t>
            </w:r>
          </w:p>
        </w:tc>
        <w:tc>
          <w:tcPr>
            <w:tcW w:w="1871" w:type="dxa"/>
            <w:vAlign w:val="center"/>
          </w:tcPr>
          <w:p w14:paraId="6307CAC1">
            <w:pPr>
              <w:pStyle w:val="72"/>
              <w:rPr>
                <w:rFonts w:ascii="Times New Roman" w:hAnsi="Times New Roman"/>
                <w:szCs w:val="21"/>
              </w:rPr>
            </w:pPr>
            <w:r>
              <w:rPr>
                <w:rFonts w:ascii="Times New Roman" w:hAnsi="Times New Roman"/>
                <w:szCs w:val="21"/>
              </w:rPr>
              <w:t>压占</w:t>
            </w:r>
          </w:p>
        </w:tc>
        <w:tc>
          <w:tcPr>
            <w:tcW w:w="3101" w:type="dxa"/>
            <w:noWrap/>
            <w:vAlign w:val="center"/>
          </w:tcPr>
          <w:p w14:paraId="262C116B">
            <w:pPr>
              <w:pStyle w:val="72"/>
              <w:rPr>
                <w:rFonts w:hint="eastAsia" w:ascii="Times New Roman" w:hAnsi="Times New Roman"/>
                <w:color w:val="000000"/>
                <w:szCs w:val="21"/>
                <w:lang w:val="en-US" w:eastAsia="zh-CN"/>
              </w:rPr>
            </w:pPr>
            <w:r>
              <w:rPr>
                <w:rFonts w:hint="default" w:ascii="Times New Roman" w:hAnsi="Times New Roman"/>
                <w:color w:val="000000"/>
                <w:szCs w:val="21"/>
                <w:lang w:val="en-US" w:eastAsia="zh-CN"/>
              </w:rPr>
              <w:t>0.03</w:t>
            </w:r>
          </w:p>
        </w:tc>
        <w:tc>
          <w:tcPr>
            <w:tcW w:w="2312" w:type="dxa"/>
            <w:noWrap/>
            <w:vAlign w:val="center"/>
          </w:tcPr>
          <w:p w14:paraId="501983E0">
            <w:pPr>
              <w:pStyle w:val="72"/>
              <w:rPr>
                <w:rFonts w:hint="eastAsia" w:ascii="Times New Roman" w:hAnsi="Times New Roman"/>
                <w:color w:val="000000"/>
                <w:szCs w:val="21"/>
                <w:lang w:val="en-US" w:eastAsia="zh-CN"/>
              </w:rPr>
            </w:pPr>
          </w:p>
        </w:tc>
      </w:tr>
      <w:tr w14:paraId="20D8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02" w:type="dxa"/>
            <w:vMerge w:val="continue"/>
            <w:vAlign w:val="center"/>
          </w:tcPr>
          <w:p w14:paraId="3A149E15">
            <w:pPr>
              <w:pStyle w:val="72"/>
              <w:rPr>
                <w:rFonts w:ascii="Times New Roman" w:hAnsi="Times New Roman"/>
                <w:szCs w:val="21"/>
              </w:rPr>
            </w:pPr>
          </w:p>
        </w:tc>
        <w:tc>
          <w:tcPr>
            <w:tcW w:w="2039" w:type="dxa"/>
            <w:vAlign w:val="center"/>
          </w:tcPr>
          <w:p w14:paraId="4401561C">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综合办公室等建筑</w:t>
            </w:r>
          </w:p>
        </w:tc>
        <w:tc>
          <w:tcPr>
            <w:tcW w:w="1096" w:type="dxa"/>
            <w:vAlign w:val="center"/>
          </w:tcPr>
          <w:p w14:paraId="025138C8">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0.04</w:t>
            </w:r>
          </w:p>
        </w:tc>
        <w:tc>
          <w:tcPr>
            <w:tcW w:w="1095" w:type="dxa"/>
            <w:vAlign w:val="center"/>
          </w:tcPr>
          <w:p w14:paraId="00FC0483">
            <w:pPr>
              <w:pStyle w:val="72"/>
              <w:rPr>
                <w:rFonts w:ascii="Times New Roman" w:hAnsi="Times New Roman"/>
                <w:szCs w:val="21"/>
              </w:rPr>
            </w:pPr>
            <w:r>
              <w:rPr>
                <w:rFonts w:hint="eastAsia" w:ascii="Times New Roman" w:hAnsi="Times New Roman"/>
                <w:szCs w:val="21"/>
                <w:lang w:val="en-US" w:eastAsia="zh-CN"/>
              </w:rPr>
              <w:t>拟</w:t>
            </w:r>
          </w:p>
        </w:tc>
        <w:tc>
          <w:tcPr>
            <w:tcW w:w="1871" w:type="dxa"/>
            <w:vAlign w:val="center"/>
          </w:tcPr>
          <w:p w14:paraId="5F45BD61">
            <w:pPr>
              <w:pStyle w:val="72"/>
              <w:rPr>
                <w:rFonts w:ascii="Times New Roman" w:hAnsi="Times New Roman"/>
                <w:szCs w:val="21"/>
              </w:rPr>
            </w:pPr>
            <w:r>
              <w:rPr>
                <w:rFonts w:ascii="Times New Roman" w:hAnsi="Times New Roman"/>
                <w:szCs w:val="21"/>
              </w:rPr>
              <w:t>压占</w:t>
            </w:r>
          </w:p>
        </w:tc>
        <w:tc>
          <w:tcPr>
            <w:tcW w:w="3101" w:type="dxa"/>
            <w:noWrap/>
            <w:vAlign w:val="center"/>
          </w:tcPr>
          <w:p w14:paraId="3E1ACB2C">
            <w:pPr>
              <w:pStyle w:val="72"/>
              <w:rPr>
                <w:rFonts w:hint="eastAsia" w:ascii="Times New Roman" w:hAnsi="Times New Roman"/>
                <w:color w:val="000000"/>
                <w:szCs w:val="21"/>
                <w:lang w:val="en-US" w:eastAsia="zh-CN"/>
              </w:rPr>
            </w:pPr>
            <w:r>
              <w:rPr>
                <w:rFonts w:hint="default" w:ascii="Times New Roman" w:hAnsi="Times New Roman"/>
                <w:color w:val="000000"/>
                <w:szCs w:val="21"/>
                <w:lang w:val="en-US" w:eastAsia="zh-CN"/>
              </w:rPr>
              <w:t>0.04</w:t>
            </w:r>
          </w:p>
        </w:tc>
        <w:tc>
          <w:tcPr>
            <w:tcW w:w="2312" w:type="dxa"/>
            <w:noWrap/>
            <w:vAlign w:val="center"/>
          </w:tcPr>
          <w:p w14:paraId="561143F6">
            <w:pPr>
              <w:pStyle w:val="72"/>
              <w:rPr>
                <w:rFonts w:hint="eastAsia" w:ascii="Times New Roman" w:hAnsi="Times New Roman"/>
                <w:color w:val="000000"/>
                <w:szCs w:val="21"/>
                <w:lang w:val="en-US" w:eastAsia="zh-CN"/>
              </w:rPr>
            </w:pPr>
          </w:p>
        </w:tc>
      </w:tr>
      <w:tr w14:paraId="5B4C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02" w:type="dxa"/>
            <w:vMerge w:val="continue"/>
            <w:vAlign w:val="center"/>
          </w:tcPr>
          <w:p w14:paraId="289C91B4">
            <w:pPr>
              <w:pStyle w:val="72"/>
              <w:rPr>
                <w:rFonts w:ascii="Times New Roman" w:hAnsi="Times New Roman"/>
                <w:szCs w:val="21"/>
              </w:rPr>
            </w:pPr>
          </w:p>
        </w:tc>
        <w:tc>
          <w:tcPr>
            <w:tcW w:w="2039" w:type="dxa"/>
            <w:vAlign w:val="center"/>
          </w:tcPr>
          <w:p w14:paraId="198E7C56">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490m平硐</w:t>
            </w:r>
          </w:p>
        </w:tc>
        <w:tc>
          <w:tcPr>
            <w:tcW w:w="1096" w:type="dxa"/>
            <w:vAlign w:val="center"/>
          </w:tcPr>
          <w:p w14:paraId="0A44AFD5">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0.01</w:t>
            </w:r>
          </w:p>
        </w:tc>
        <w:tc>
          <w:tcPr>
            <w:tcW w:w="1095" w:type="dxa"/>
            <w:vAlign w:val="center"/>
          </w:tcPr>
          <w:p w14:paraId="081A47E3">
            <w:pPr>
              <w:pStyle w:val="72"/>
              <w:rPr>
                <w:rFonts w:ascii="Times New Roman" w:hAnsi="Times New Roman"/>
                <w:szCs w:val="21"/>
              </w:rPr>
            </w:pPr>
            <w:r>
              <w:rPr>
                <w:rFonts w:hint="eastAsia" w:ascii="Times New Roman" w:hAnsi="Times New Roman"/>
                <w:szCs w:val="21"/>
                <w:lang w:val="en-US" w:eastAsia="zh-CN"/>
              </w:rPr>
              <w:t>拟</w:t>
            </w:r>
          </w:p>
        </w:tc>
        <w:tc>
          <w:tcPr>
            <w:tcW w:w="1871" w:type="dxa"/>
            <w:vAlign w:val="center"/>
          </w:tcPr>
          <w:p w14:paraId="73448A35">
            <w:pPr>
              <w:pStyle w:val="72"/>
              <w:rPr>
                <w:rFonts w:hint="eastAsia" w:ascii="Times New Roman" w:hAnsi="Times New Roman" w:eastAsia="仿宋"/>
                <w:szCs w:val="21"/>
                <w:lang w:eastAsia="zh-CN"/>
              </w:rPr>
            </w:pPr>
            <w:r>
              <w:rPr>
                <w:rFonts w:hint="eastAsia" w:ascii="Times New Roman" w:hAnsi="Times New Roman"/>
                <w:szCs w:val="21"/>
                <w:lang w:val="en-US" w:eastAsia="zh-CN"/>
              </w:rPr>
              <w:t>挖损</w:t>
            </w:r>
          </w:p>
        </w:tc>
        <w:tc>
          <w:tcPr>
            <w:tcW w:w="3101" w:type="dxa"/>
            <w:noWrap/>
            <w:vAlign w:val="center"/>
          </w:tcPr>
          <w:p w14:paraId="06CBD440">
            <w:pPr>
              <w:pStyle w:val="72"/>
              <w:rPr>
                <w:rFonts w:hint="eastAsia" w:ascii="Times New Roman" w:hAnsi="Times New Roman"/>
                <w:color w:val="000000"/>
                <w:szCs w:val="21"/>
                <w:lang w:val="en-US" w:eastAsia="zh-CN"/>
              </w:rPr>
            </w:pPr>
            <w:r>
              <w:rPr>
                <w:rFonts w:hint="default" w:ascii="Times New Roman" w:hAnsi="Times New Roman"/>
                <w:color w:val="000000"/>
                <w:szCs w:val="21"/>
                <w:lang w:val="en-US" w:eastAsia="zh-CN"/>
              </w:rPr>
              <w:t>0.01</w:t>
            </w:r>
          </w:p>
        </w:tc>
        <w:tc>
          <w:tcPr>
            <w:tcW w:w="2312" w:type="dxa"/>
            <w:noWrap/>
            <w:vAlign w:val="center"/>
          </w:tcPr>
          <w:p w14:paraId="2DD9C757">
            <w:pPr>
              <w:pStyle w:val="72"/>
              <w:rPr>
                <w:rFonts w:hint="eastAsia" w:ascii="Times New Roman" w:hAnsi="Times New Roman"/>
                <w:color w:val="000000"/>
                <w:szCs w:val="21"/>
                <w:lang w:val="en-US" w:eastAsia="zh-CN"/>
              </w:rPr>
            </w:pPr>
          </w:p>
        </w:tc>
      </w:tr>
      <w:tr w14:paraId="61FE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02" w:type="dxa"/>
            <w:vMerge w:val="continue"/>
            <w:vAlign w:val="center"/>
          </w:tcPr>
          <w:p w14:paraId="53F0250E">
            <w:pPr>
              <w:pStyle w:val="72"/>
              <w:rPr>
                <w:rFonts w:ascii="Times New Roman" w:hAnsi="Times New Roman"/>
                <w:szCs w:val="21"/>
              </w:rPr>
            </w:pPr>
          </w:p>
        </w:tc>
        <w:tc>
          <w:tcPr>
            <w:tcW w:w="2039" w:type="dxa"/>
            <w:vAlign w:val="center"/>
          </w:tcPr>
          <w:p w14:paraId="37577FED">
            <w:pPr>
              <w:pStyle w:val="72"/>
              <w:rPr>
                <w:rFonts w:hint="eastAsia" w:ascii="Times New Roman" w:hAnsi="Times New Roman" w:eastAsia="仿宋"/>
                <w:szCs w:val="21"/>
                <w:lang w:val="en-US" w:eastAsia="zh-CN"/>
              </w:rPr>
            </w:pPr>
            <w:r>
              <w:rPr>
                <w:rFonts w:hint="eastAsia" w:ascii="Times New Roman" w:hAnsi="Times New Roman"/>
                <w:szCs w:val="21"/>
                <w:lang w:val="en-US" w:eastAsia="zh-CN"/>
              </w:rPr>
              <w:t>其他区域</w:t>
            </w:r>
          </w:p>
        </w:tc>
        <w:tc>
          <w:tcPr>
            <w:tcW w:w="1096" w:type="dxa"/>
            <w:vAlign w:val="center"/>
          </w:tcPr>
          <w:p w14:paraId="2537577F">
            <w:pPr>
              <w:pStyle w:val="72"/>
              <w:rPr>
                <w:rFonts w:hint="default" w:ascii="Times New Roman" w:hAnsi="Times New Roman" w:eastAsia="仿宋"/>
                <w:color w:val="000000"/>
                <w:szCs w:val="21"/>
                <w:lang w:val="en-US" w:eastAsia="zh-CN"/>
              </w:rPr>
            </w:pPr>
            <w:r>
              <w:rPr>
                <w:rFonts w:hint="eastAsia" w:ascii="Times New Roman" w:hAnsi="Times New Roman"/>
                <w:color w:val="000000"/>
                <w:szCs w:val="21"/>
                <w:lang w:val="en-US" w:eastAsia="zh-CN"/>
              </w:rPr>
              <w:t>0.55</w:t>
            </w:r>
          </w:p>
        </w:tc>
        <w:tc>
          <w:tcPr>
            <w:tcW w:w="1095" w:type="dxa"/>
            <w:vAlign w:val="center"/>
          </w:tcPr>
          <w:p w14:paraId="02CFF2A0">
            <w:pPr>
              <w:pStyle w:val="72"/>
              <w:rPr>
                <w:rFonts w:ascii="Times New Roman" w:hAnsi="Times New Roman"/>
                <w:szCs w:val="21"/>
              </w:rPr>
            </w:pPr>
            <w:r>
              <w:rPr>
                <w:rFonts w:hint="eastAsia" w:ascii="Times New Roman" w:hAnsi="Times New Roman"/>
                <w:szCs w:val="21"/>
                <w:lang w:val="en-US" w:eastAsia="zh-CN"/>
              </w:rPr>
              <w:t>拟</w:t>
            </w:r>
          </w:p>
        </w:tc>
        <w:tc>
          <w:tcPr>
            <w:tcW w:w="1871" w:type="dxa"/>
            <w:vAlign w:val="center"/>
          </w:tcPr>
          <w:p w14:paraId="259589BE">
            <w:pPr>
              <w:pStyle w:val="72"/>
              <w:rPr>
                <w:rFonts w:ascii="Times New Roman" w:hAnsi="Times New Roman"/>
                <w:szCs w:val="21"/>
              </w:rPr>
            </w:pPr>
            <w:r>
              <w:rPr>
                <w:rFonts w:ascii="Times New Roman" w:hAnsi="Times New Roman"/>
                <w:szCs w:val="21"/>
              </w:rPr>
              <w:t>压占</w:t>
            </w:r>
          </w:p>
        </w:tc>
        <w:tc>
          <w:tcPr>
            <w:tcW w:w="3101" w:type="dxa"/>
            <w:noWrap/>
            <w:vAlign w:val="center"/>
          </w:tcPr>
          <w:p w14:paraId="5FDC0BC4">
            <w:pPr>
              <w:pStyle w:val="72"/>
              <w:rPr>
                <w:rFonts w:hint="eastAsia" w:ascii="Times New Roman" w:hAnsi="Times New Roman"/>
                <w:color w:val="000000"/>
                <w:szCs w:val="21"/>
                <w:lang w:val="en-US" w:eastAsia="zh-CN"/>
              </w:rPr>
            </w:pPr>
            <w:r>
              <w:rPr>
                <w:rFonts w:hint="default" w:ascii="Times New Roman" w:hAnsi="Times New Roman"/>
                <w:color w:val="000000"/>
                <w:szCs w:val="21"/>
                <w:lang w:val="en-US" w:eastAsia="zh-CN"/>
              </w:rPr>
              <w:t>0.55</w:t>
            </w:r>
          </w:p>
        </w:tc>
        <w:tc>
          <w:tcPr>
            <w:tcW w:w="2312" w:type="dxa"/>
            <w:noWrap/>
            <w:vAlign w:val="center"/>
          </w:tcPr>
          <w:p w14:paraId="53C81385">
            <w:pPr>
              <w:pStyle w:val="72"/>
              <w:rPr>
                <w:rFonts w:hint="eastAsia" w:ascii="Times New Roman" w:hAnsi="Times New Roman"/>
                <w:color w:val="000000"/>
                <w:szCs w:val="21"/>
                <w:lang w:val="en-US" w:eastAsia="zh-CN"/>
              </w:rPr>
            </w:pPr>
          </w:p>
        </w:tc>
      </w:tr>
      <w:tr w14:paraId="6DF9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02" w:type="dxa"/>
            <w:vMerge w:val="restart"/>
            <w:vAlign w:val="center"/>
          </w:tcPr>
          <w:p w14:paraId="1E5BCAD2">
            <w:pPr>
              <w:pStyle w:val="72"/>
              <w:rPr>
                <w:rFonts w:ascii="Times New Roman" w:hAnsi="Times New Roman"/>
                <w:szCs w:val="21"/>
              </w:rPr>
            </w:pPr>
            <w:r>
              <w:rPr>
                <w:rFonts w:hint="eastAsia" w:ascii="Times New Roman" w:hAnsi="Times New Roman"/>
                <w:szCs w:val="21"/>
                <w:lang w:val="en-US" w:eastAsia="zh-CN"/>
              </w:rPr>
              <w:t>520m平硐广场</w:t>
            </w:r>
          </w:p>
        </w:tc>
        <w:tc>
          <w:tcPr>
            <w:tcW w:w="2039" w:type="dxa"/>
            <w:vAlign w:val="center"/>
          </w:tcPr>
          <w:p w14:paraId="4280976E">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休息室等建筑物</w:t>
            </w:r>
          </w:p>
        </w:tc>
        <w:tc>
          <w:tcPr>
            <w:tcW w:w="1096" w:type="dxa"/>
            <w:vAlign w:val="center"/>
          </w:tcPr>
          <w:p w14:paraId="5A3E3931">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0.06</w:t>
            </w:r>
          </w:p>
        </w:tc>
        <w:tc>
          <w:tcPr>
            <w:tcW w:w="1095" w:type="dxa"/>
            <w:vAlign w:val="center"/>
          </w:tcPr>
          <w:p w14:paraId="2024EBAA">
            <w:pPr>
              <w:pStyle w:val="72"/>
              <w:rPr>
                <w:rFonts w:ascii="Times New Roman" w:hAnsi="Times New Roman"/>
                <w:szCs w:val="21"/>
              </w:rPr>
            </w:pPr>
            <w:r>
              <w:rPr>
                <w:rFonts w:ascii="Times New Roman" w:hAnsi="Times New Roman"/>
                <w:szCs w:val="21"/>
              </w:rPr>
              <w:t>已</w:t>
            </w:r>
          </w:p>
        </w:tc>
        <w:tc>
          <w:tcPr>
            <w:tcW w:w="1871" w:type="dxa"/>
            <w:vAlign w:val="center"/>
          </w:tcPr>
          <w:p w14:paraId="43718A96">
            <w:pPr>
              <w:pStyle w:val="72"/>
              <w:rPr>
                <w:rFonts w:ascii="Times New Roman" w:hAnsi="Times New Roman"/>
                <w:szCs w:val="21"/>
              </w:rPr>
            </w:pPr>
            <w:r>
              <w:rPr>
                <w:rFonts w:ascii="Times New Roman" w:hAnsi="Times New Roman"/>
                <w:szCs w:val="21"/>
              </w:rPr>
              <w:t>压占</w:t>
            </w:r>
          </w:p>
        </w:tc>
        <w:tc>
          <w:tcPr>
            <w:tcW w:w="3101" w:type="dxa"/>
            <w:noWrap/>
            <w:vAlign w:val="center"/>
          </w:tcPr>
          <w:p w14:paraId="72BE6271">
            <w:pPr>
              <w:pStyle w:val="72"/>
              <w:rPr>
                <w:rFonts w:hint="eastAsia" w:ascii="Times New Roman" w:hAnsi="Times New Roman"/>
                <w:color w:val="000000"/>
                <w:szCs w:val="21"/>
                <w:lang w:val="en-US" w:eastAsia="zh-CN"/>
              </w:rPr>
            </w:pPr>
            <w:r>
              <w:rPr>
                <w:rFonts w:hint="default" w:ascii="Times New Roman" w:hAnsi="Times New Roman"/>
                <w:color w:val="000000"/>
                <w:szCs w:val="21"/>
                <w:lang w:val="en-US" w:eastAsia="zh-CN"/>
              </w:rPr>
              <w:t>0.06</w:t>
            </w:r>
          </w:p>
        </w:tc>
        <w:tc>
          <w:tcPr>
            <w:tcW w:w="2312" w:type="dxa"/>
            <w:vAlign w:val="center"/>
          </w:tcPr>
          <w:p w14:paraId="089345F5">
            <w:pPr>
              <w:pStyle w:val="72"/>
              <w:rPr>
                <w:rFonts w:hint="eastAsia" w:ascii="Times New Roman" w:hAnsi="Times New Roman"/>
                <w:color w:val="000000"/>
                <w:szCs w:val="21"/>
                <w:lang w:val="en-US" w:eastAsia="zh-CN"/>
              </w:rPr>
            </w:pPr>
          </w:p>
        </w:tc>
      </w:tr>
      <w:tr w14:paraId="6B21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502" w:type="dxa"/>
            <w:vMerge w:val="continue"/>
            <w:vAlign w:val="center"/>
          </w:tcPr>
          <w:p w14:paraId="109814B3">
            <w:pPr>
              <w:pStyle w:val="72"/>
              <w:rPr>
                <w:rFonts w:ascii="Times New Roman" w:hAnsi="Times New Roman"/>
                <w:szCs w:val="21"/>
              </w:rPr>
            </w:pPr>
          </w:p>
        </w:tc>
        <w:tc>
          <w:tcPr>
            <w:tcW w:w="2039" w:type="dxa"/>
            <w:vAlign w:val="center"/>
          </w:tcPr>
          <w:p w14:paraId="355EDE96">
            <w:pPr>
              <w:pStyle w:val="72"/>
              <w:rPr>
                <w:rFonts w:hint="eastAsia" w:ascii="Times New Roman" w:hAnsi="Times New Roman" w:eastAsia="仿宋"/>
                <w:szCs w:val="21"/>
                <w:lang w:val="en-US" w:eastAsia="zh-CN"/>
              </w:rPr>
            </w:pPr>
            <w:r>
              <w:rPr>
                <w:rFonts w:hint="eastAsia" w:ascii="Times New Roman" w:hAnsi="Times New Roman"/>
                <w:szCs w:val="21"/>
                <w:lang w:val="en-US" w:eastAsia="zh-CN"/>
              </w:rPr>
              <w:t>渣堆</w:t>
            </w:r>
          </w:p>
        </w:tc>
        <w:tc>
          <w:tcPr>
            <w:tcW w:w="1096" w:type="dxa"/>
            <w:vAlign w:val="center"/>
          </w:tcPr>
          <w:p w14:paraId="138DE5E1">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0.058</w:t>
            </w:r>
          </w:p>
        </w:tc>
        <w:tc>
          <w:tcPr>
            <w:tcW w:w="1095" w:type="dxa"/>
            <w:vAlign w:val="center"/>
          </w:tcPr>
          <w:p w14:paraId="45B8A3DB">
            <w:pPr>
              <w:pStyle w:val="72"/>
              <w:rPr>
                <w:rFonts w:ascii="Times New Roman" w:hAnsi="Times New Roman"/>
                <w:szCs w:val="21"/>
              </w:rPr>
            </w:pPr>
            <w:r>
              <w:rPr>
                <w:rFonts w:ascii="Times New Roman" w:hAnsi="Times New Roman"/>
                <w:szCs w:val="21"/>
              </w:rPr>
              <w:t>已</w:t>
            </w:r>
          </w:p>
        </w:tc>
        <w:tc>
          <w:tcPr>
            <w:tcW w:w="1871" w:type="dxa"/>
            <w:vAlign w:val="center"/>
          </w:tcPr>
          <w:p w14:paraId="5772EE76">
            <w:pPr>
              <w:pStyle w:val="72"/>
              <w:rPr>
                <w:rFonts w:ascii="Times New Roman" w:hAnsi="Times New Roman"/>
                <w:szCs w:val="21"/>
              </w:rPr>
            </w:pPr>
            <w:r>
              <w:rPr>
                <w:rFonts w:ascii="Times New Roman" w:hAnsi="Times New Roman"/>
                <w:szCs w:val="21"/>
              </w:rPr>
              <w:t>压占</w:t>
            </w:r>
          </w:p>
        </w:tc>
        <w:tc>
          <w:tcPr>
            <w:tcW w:w="3101" w:type="dxa"/>
            <w:noWrap/>
            <w:vAlign w:val="center"/>
          </w:tcPr>
          <w:p w14:paraId="5D2B5D27">
            <w:pPr>
              <w:pStyle w:val="72"/>
              <w:rPr>
                <w:rFonts w:hint="eastAsia" w:ascii="Times New Roman" w:hAnsi="Times New Roman"/>
                <w:color w:val="000000"/>
                <w:szCs w:val="21"/>
                <w:lang w:val="en-US" w:eastAsia="zh-CN"/>
              </w:rPr>
            </w:pPr>
            <w:r>
              <w:rPr>
                <w:rFonts w:hint="default" w:ascii="Times New Roman" w:hAnsi="Times New Roman"/>
                <w:color w:val="000000"/>
                <w:szCs w:val="21"/>
                <w:lang w:val="en-US" w:eastAsia="zh-CN"/>
              </w:rPr>
              <w:t>0.058</w:t>
            </w:r>
          </w:p>
        </w:tc>
        <w:tc>
          <w:tcPr>
            <w:tcW w:w="2312" w:type="dxa"/>
            <w:vAlign w:val="center"/>
          </w:tcPr>
          <w:p w14:paraId="41FF33C1">
            <w:pPr>
              <w:pStyle w:val="72"/>
              <w:rPr>
                <w:rFonts w:hint="eastAsia" w:ascii="Times New Roman" w:hAnsi="Times New Roman"/>
                <w:color w:val="000000"/>
                <w:szCs w:val="21"/>
                <w:lang w:val="en-US" w:eastAsia="zh-CN"/>
              </w:rPr>
            </w:pPr>
          </w:p>
        </w:tc>
      </w:tr>
      <w:tr w14:paraId="094C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502" w:type="dxa"/>
            <w:vMerge w:val="continue"/>
            <w:vAlign w:val="center"/>
          </w:tcPr>
          <w:p w14:paraId="0FF867B8">
            <w:pPr>
              <w:pStyle w:val="72"/>
              <w:rPr>
                <w:rFonts w:ascii="Times New Roman" w:hAnsi="Times New Roman"/>
                <w:szCs w:val="21"/>
              </w:rPr>
            </w:pPr>
          </w:p>
        </w:tc>
        <w:tc>
          <w:tcPr>
            <w:tcW w:w="2039" w:type="dxa"/>
            <w:vAlign w:val="center"/>
          </w:tcPr>
          <w:p w14:paraId="27CA0180">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520平硐</w:t>
            </w:r>
          </w:p>
        </w:tc>
        <w:tc>
          <w:tcPr>
            <w:tcW w:w="1096" w:type="dxa"/>
            <w:vAlign w:val="center"/>
          </w:tcPr>
          <w:p w14:paraId="3975DF2D">
            <w:pPr>
              <w:pStyle w:val="72"/>
              <w:rPr>
                <w:rFonts w:hint="default" w:ascii="Times New Roman" w:hAnsi="Times New Roman" w:eastAsia="仿宋"/>
                <w:color w:val="000000"/>
                <w:szCs w:val="21"/>
                <w:lang w:val="en-US" w:eastAsia="zh-CN"/>
              </w:rPr>
            </w:pPr>
            <w:r>
              <w:rPr>
                <w:rFonts w:hint="eastAsia" w:ascii="Times New Roman" w:hAnsi="Times New Roman"/>
                <w:color w:val="000000"/>
                <w:szCs w:val="21"/>
                <w:lang w:val="en-US" w:eastAsia="zh-CN"/>
              </w:rPr>
              <w:t>0.01</w:t>
            </w:r>
          </w:p>
        </w:tc>
        <w:tc>
          <w:tcPr>
            <w:tcW w:w="1095" w:type="dxa"/>
            <w:vAlign w:val="center"/>
          </w:tcPr>
          <w:p w14:paraId="2A53182C">
            <w:pPr>
              <w:pStyle w:val="72"/>
              <w:rPr>
                <w:rFonts w:ascii="Times New Roman" w:hAnsi="Times New Roman"/>
                <w:szCs w:val="21"/>
              </w:rPr>
            </w:pPr>
            <w:r>
              <w:rPr>
                <w:rFonts w:hint="eastAsia" w:ascii="Times New Roman" w:hAnsi="Times New Roman"/>
                <w:szCs w:val="21"/>
                <w:lang w:val="en-US" w:eastAsia="zh-CN"/>
              </w:rPr>
              <w:t>拟</w:t>
            </w:r>
          </w:p>
        </w:tc>
        <w:tc>
          <w:tcPr>
            <w:tcW w:w="1871" w:type="dxa"/>
            <w:vAlign w:val="center"/>
          </w:tcPr>
          <w:p w14:paraId="7289075E">
            <w:pPr>
              <w:pStyle w:val="72"/>
              <w:rPr>
                <w:rFonts w:ascii="Times New Roman" w:hAnsi="Times New Roman"/>
                <w:szCs w:val="21"/>
              </w:rPr>
            </w:pPr>
            <w:r>
              <w:rPr>
                <w:rFonts w:hint="eastAsia" w:ascii="Times New Roman" w:hAnsi="Times New Roman"/>
                <w:szCs w:val="21"/>
                <w:lang w:val="en-US" w:eastAsia="zh-CN"/>
              </w:rPr>
              <w:t>挖损</w:t>
            </w:r>
          </w:p>
        </w:tc>
        <w:tc>
          <w:tcPr>
            <w:tcW w:w="3101" w:type="dxa"/>
            <w:noWrap/>
            <w:vAlign w:val="center"/>
          </w:tcPr>
          <w:p w14:paraId="343900AE">
            <w:pPr>
              <w:pStyle w:val="72"/>
              <w:rPr>
                <w:rFonts w:hint="eastAsia" w:ascii="Times New Roman" w:hAnsi="Times New Roman"/>
                <w:color w:val="000000"/>
                <w:szCs w:val="21"/>
                <w:lang w:val="en-US" w:eastAsia="zh-CN"/>
              </w:rPr>
            </w:pPr>
            <w:r>
              <w:rPr>
                <w:rFonts w:hint="default" w:ascii="Times New Roman" w:hAnsi="Times New Roman"/>
                <w:color w:val="000000"/>
                <w:szCs w:val="21"/>
                <w:lang w:val="en-US" w:eastAsia="zh-CN"/>
              </w:rPr>
              <w:t>0.01</w:t>
            </w:r>
          </w:p>
        </w:tc>
        <w:tc>
          <w:tcPr>
            <w:tcW w:w="2312" w:type="dxa"/>
            <w:vAlign w:val="center"/>
          </w:tcPr>
          <w:p w14:paraId="17E097DE">
            <w:pPr>
              <w:pStyle w:val="72"/>
              <w:rPr>
                <w:rFonts w:hint="eastAsia" w:ascii="Times New Roman" w:hAnsi="Times New Roman"/>
                <w:color w:val="000000"/>
                <w:szCs w:val="21"/>
                <w:lang w:val="en-US" w:eastAsia="zh-CN"/>
              </w:rPr>
            </w:pPr>
          </w:p>
        </w:tc>
      </w:tr>
      <w:tr w14:paraId="14B0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502" w:type="dxa"/>
            <w:vMerge w:val="continue"/>
            <w:vAlign w:val="center"/>
          </w:tcPr>
          <w:p w14:paraId="65C17401">
            <w:pPr>
              <w:pStyle w:val="72"/>
              <w:rPr>
                <w:rFonts w:ascii="Times New Roman" w:hAnsi="Times New Roman"/>
                <w:szCs w:val="21"/>
              </w:rPr>
            </w:pPr>
          </w:p>
        </w:tc>
        <w:tc>
          <w:tcPr>
            <w:tcW w:w="2039" w:type="dxa"/>
            <w:vAlign w:val="center"/>
          </w:tcPr>
          <w:p w14:paraId="2B037DCB">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其他区域</w:t>
            </w:r>
          </w:p>
        </w:tc>
        <w:tc>
          <w:tcPr>
            <w:tcW w:w="1096" w:type="dxa"/>
            <w:vAlign w:val="center"/>
          </w:tcPr>
          <w:p w14:paraId="67B35FBC">
            <w:pPr>
              <w:pStyle w:val="72"/>
              <w:rPr>
                <w:rFonts w:hint="default" w:ascii="Times New Roman" w:hAnsi="Times New Roman" w:eastAsia="仿宋"/>
                <w:color w:val="000000"/>
                <w:szCs w:val="21"/>
                <w:lang w:val="en-US" w:eastAsia="zh-CN"/>
              </w:rPr>
            </w:pPr>
            <w:r>
              <w:rPr>
                <w:rFonts w:hint="eastAsia" w:ascii="Times New Roman" w:hAnsi="Times New Roman"/>
                <w:color w:val="000000"/>
                <w:szCs w:val="21"/>
                <w:lang w:val="en-US" w:eastAsia="zh-CN"/>
              </w:rPr>
              <w:t>0.172</w:t>
            </w:r>
          </w:p>
        </w:tc>
        <w:tc>
          <w:tcPr>
            <w:tcW w:w="1095" w:type="dxa"/>
            <w:vAlign w:val="center"/>
          </w:tcPr>
          <w:p w14:paraId="3599C6CF">
            <w:pPr>
              <w:pStyle w:val="72"/>
              <w:rPr>
                <w:rFonts w:ascii="Times New Roman" w:hAnsi="Times New Roman"/>
                <w:szCs w:val="21"/>
              </w:rPr>
            </w:pPr>
            <w:r>
              <w:rPr>
                <w:rFonts w:hint="eastAsia" w:ascii="Times New Roman" w:hAnsi="Times New Roman"/>
                <w:szCs w:val="21"/>
                <w:lang w:val="en-US" w:eastAsia="zh-CN"/>
              </w:rPr>
              <w:t>拟</w:t>
            </w:r>
          </w:p>
        </w:tc>
        <w:tc>
          <w:tcPr>
            <w:tcW w:w="1871" w:type="dxa"/>
            <w:vAlign w:val="center"/>
          </w:tcPr>
          <w:p w14:paraId="5987BE38">
            <w:pPr>
              <w:pStyle w:val="72"/>
              <w:rPr>
                <w:rFonts w:ascii="Times New Roman" w:hAnsi="Times New Roman"/>
                <w:szCs w:val="21"/>
              </w:rPr>
            </w:pPr>
            <w:r>
              <w:rPr>
                <w:rFonts w:ascii="Times New Roman" w:hAnsi="Times New Roman"/>
                <w:szCs w:val="21"/>
              </w:rPr>
              <w:t>压占</w:t>
            </w:r>
          </w:p>
        </w:tc>
        <w:tc>
          <w:tcPr>
            <w:tcW w:w="3101" w:type="dxa"/>
            <w:noWrap/>
            <w:vAlign w:val="center"/>
          </w:tcPr>
          <w:p w14:paraId="1692E550">
            <w:pPr>
              <w:pStyle w:val="72"/>
              <w:rPr>
                <w:rFonts w:hint="default" w:ascii="Times New Roman" w:hAnsi="Times New Roman"/>
                <w:color w:val="000000"/>
                <w:szCs w:val="21"/>
                <w:lang w:val="en-US" w:eastAsia="zh-CN"/>
              </w:rPr>
            </w:pPr>
            <w:r>
              <w:rPr>
                <w:rFonts w:hint="default" w:ascii="Times New Roman" w:hAnsi="Times New Roman"/>
                <w:color w:val="000000"/>
                <w:szCs w:val="21"/>
                <w:lang w:val="en-US" w:eastAsia="zh-CN"/>
              </w:rPr>
              <w:t>0.072</w:t>
            </w:r>
          </w:p>
        </w:tc>
        <w:tc>
          <w:tcPr>
            <w:tcW w:w="2312" w:type="dxa"/>
            <w:vAlign w:val="center"/>
          </w:tcPr>
          <w:p w14:paraId="5958C55B">
            <w:pPr>
              <w:pStyle w:val="72"/>
              <w:rPr>
                <w:rFonts w:hint="default" w:ascii="Times New Roman" w:hAnsi="Times New Roman"/>
                <w:color w:val="000000"/>
                <w:szCs w:val="21"/>
                <w:lang w:val="en-US" w:eastAsia="zh-CN"/>
              </w:rPr>
            </w:pPr>
            <w:r>
              <w:rPr>
                <w:rFonts w:hint="default" w:ascii="Times New Roman" w:hAnsi="Times New Roman"/>
                <w:color w:val="000000"/>
                <w:szCs w:val="21"/>
                <w:lang w:val="en-US" w:eastAsia="zh-CN"/>
              </w:rPr>
              <w:t>0.1</w:t>
            </w:r>
          </w:p>
        </w:tc>
      </w:tr>
      <w:tr w14:paraId="2B26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502" w:type="dxa"/>
            <w:vMerge w:val="restart"/>
            <w:vAlign w:val="center"/>
          </w:tcPr>
          <w:p w14:paraId="0C83CF75">
            <w:pPr>
              <w:pStyle w:val="72"/>
              <w:rPr>
                <w:rFonts w:hint="eastAsia" w:ascii="Times New Roman" w:hAnsi="Times New Roman"/>
                <w:szCs w:val="21"/>
                <w:lang w:val="en-US" w:eastAsia="zh-CN"/>
              </w:rPr>
            </w:pPr>
            <w:r>
              <w:rPr>
                <w:rFonts w:hint="eastAsia" w:ascii="Times New Roman" w:hAnsi="Times New Roman"/>
                <w:szCs w:val="21"/>
                <w:lang w:val="en-US" w:eastAsia="zh-CN"/>
              </w:rPr>
              <w:t>548m平硐广场</w:t>
            </w:r>
          </w:p>
        </w:tc>
        <w:tc>
          <w:tcPr>
            <w:tcW w:w="2039" w:type="dxa"/>
            <w:vAlign w:val="center"/>
          </w:tcPr>
          <w:p w14:paraId="37140535">
            <w:pPr>
              <w:pStyle w:val="72"/>
              <w:rPr>
                <w:rFonts w:hint="default" w:ascii="Times New Roman" w:hAnsi="Times New Roman"/>
                <w:szCs w:val="21"/>
                <w:lang w:val="en-US" w:eastAsia="zh-CN"/>
              </w:rPr>
            </w:pPr>
            <w:r>
              <w:rPr>
                <w:rFonts w:hint="eastAsia" w:ascii="Times New Roman" w:hAnsi="Times New Roman"/>
                <w:szCs w:val="21"/>
                <w:lang w:val="en-US" w:eastAsia="zh-CN"/>
              </w:rPr>
              <w:t>打更房等建筑</w:t>
            </w:r>
          </w:p>
        </w:tc>
        <w:tc>
          <w:tcPr>
            <w:tcW w:w="1096" w:type="dxa"/>
            <w:vAlign w:val="center"/>
          </w:tcPr>
          <w:p w14:paraId="53CF4C6F">
            <w:pPr>
              <w:pStyle w:val="72"/>
              <w:rPr>
                <w:rFonts w:hint="default" w:ascii="Times New Roman" w:hAnsi="Times New Roman" w:eastAsia="仿宋"/>
                <w:color w:val="000000"/>
                <w:szCs w:val="21"/>
                <w:lang w:val="en-US" w:eastAsia="zh-CN"/>
              </w:rPr>
            </w:pPr>
            <w:r>
              <w:rPr>
                <w:rFonts w:hint="eastAsia" w:ascii="Times New Roman" w:hAnsi="Times New Roman"/>
                <w:color w:val="000000"/>
                <w:szCs w:val="21"/>
                <w:lang w:val="en-US" w:eastAsia="zh-CN"/>
              </w:rPr>
              <w:t>0.004</w:t>
            </w:r>
          </w:p>
        </w:tc>
        <w:tc>
          <w:tcPr>
            <w:tcW w:w="1095" w:type="dxa"/>
            <w:vAlign w:val="center"/>
          </w:tcPr>
          <w:p w14:paraId="5144F5C9">
            <w:pPr>
              <w:pStyle w:val="72"/>
              <w:rPr>
                <w:rFonts w:ascii="Times New Roman" w:hAnsi="Times New Roman"/>
                <w:szCs w:val="21"/>
              </w:rPr>
            </w:pPr>
            <w:r>
              <w:rPr>
                <w:rFonts w:hint="eastAsia" w:ascii="Times New Roman" w:hAnsi="Times New Roman"/>
                <w:szCs w:val="21"/>
                <w:lang w:val="en-US" w:eastAsia="zh-CN"/>
              </w:rPr>
              <w:t>拟</w:t>
            </w:r>
          </w:p>
        </w:tc>
        <w:tc>
          <w:tcPr>
            <w:tcW w:w="1871" w:type="dxa"/>
            <w:vAlign w:val="center"/>
          </w:tcPr>
          <w:p w14:paraId="4B9532AB">
            <w:pPr>
              <w:pStyle w:val="72"/>
              <w:rPr>
                <w:rFonts w:ascii="Times New Roman" w:hAnsi="Times New Roman"/>
                <w:szCs w:val="21"/>
              </w:rPr>
            </w:pPr>
            <w:r>
              <w:rPr>
                <w:rFonts w:ascii="Times New Roman" w:hAnsi="Times New Roman"/>
                <w:szCs w:val="21"/>
              </w:rPr>
              <w:t>压占</w:t>
            </w:r>
          </w:p>
        </w:tc>
        <w:tc>
          <w:tcPr>
            <w:tcW w:w="3101" w:type="dxa"/>
            <w:noWrap/>
            <w:vAlign w:val="center"/>
          </w:tcPr>
          <w:p w14:paraId="06549A33">
            <w:pPr>
              <w:pStyle w:val="72"/>
              <w:rPr>
                <w:rFonts w:hint="eastAsia" w:ascii="Times New Roman" w:hAnsi="Times New Roman"/>
                <w:color w:val="000000"/>
                <w:szCs w:val="21"/>
                <w:lang w:val="en-US" w:eastAsia="zh-CN"/>
              </w:rPr>
            </w:pPr>
            <w:r>
              <w:rPr>
                <w:rFonts w:hint="default" w:ascii="Times New Roman" w:hAnsi="Times New Roman"/>
                <w:color w:val="000000"/>
                <w:szCs w:val="21"/>
                <w:lang w:val="en-US" w:eastAsia="zh-CN"/>
              </w:rPr>
              <w:t>0.004</w:t>
            </w:r>
          </w:p>
        </w:tc>
        <w:tc>
          <w:tcPr>
            <w:tcW w:w="2312" w:type="dxa"/>
            <w:vAlign w:val="center"/>
          </w:tcPr>
          <w:p w14:paraId="64EC22F0">
            <w:pPr>
              <w:pStyle w:val="72"/>
              <w:rPr>
                <w:rFonts w:hint="eastAsia" w:ascii="Times New Roman" w:hAnsi="Times New Roman"/>
                <w:color w:val="000000"/>
                <w:szCs w:val="21"/>
                <w:lang w:val="en-US" w:eastAsia="zh-CN"/>
              </w:rPr>
            </w:pPr>
          </w:p>
        </w:tc>
      </w:tr>
      <w:tr w14:paraId="3AE8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502" w:type="dxa"/>
            <w:vMerge w:val="continue"/>
            <w:vAlign w:val="center"/>
          </w:tcPr>
          <w:p w14:paraId="0877CD00">
            <w:pPr>
              <w:pStyle w:val="72"/>
              <w:rPr>
                <w:rFonts w:hint="eastAsia" w:ascii="Times New Roman" w:hAnsi="Times New Roman"/>
                <w:szCs w:val="21"/>
                <w:lang w:val="en-US" w:eastAsia="zh-CN"/>
              </w:rPr>
            </w:pPr>
          </w:p>
        </w:tc>
        <w:tc>
          <w:tcPr>
            <w:tcW w:w="2039" w:type="dxa"/>
            <w:vAlign w:val="center"/>
          </w:tcPr>
          <w:p w14:paraId="61A75AB3">
            <w:pPr>
              <w:pStyle w:val="72"/>
              <w:rPr>
                <w:rFonts w:hint="default" w:ascii="Times New Roman" w:hAnsi="Times New Roman"/>
                <w:szCs w:val="21"/>
                <w:lang w:val="en-US" w:eastAsia="zh-CN"/>
              </w:rPr>
            </w:pPr>
            <w:r>
              <w:rPr>
                <w:rFonts w:hint="eastAsia" w:ascii="Times New Roman" w:hAnsi="Times New Roman"/>
                <w:szCs w:val="21"/>
                <w:lang w:val="en-US" w:eastAsia="zh-CN"/>
              </w:rPr>
              <w:t>548m平硐</w:t>
            </w:r>
          </w:p>
        </w:tc>
        <w:tc>
          <w:tcPr>
            <w:tcW w:w="1096" w:type="dxa"/>
            <w:vAlign w:val="center"/>
          </w:tcPr>
          <w:p w14:paraId="521C1287">
            <w:pPr>
              <w:pStyle w:val="72"/>
              <w:rPr>
                <w:rFonts w:hint="default" w:ascii="Times New Roman" w:hAnsi="Times New Roman" w:eastAsia="仿宋"/>
                <w:color w:val="000000"/>
                <w:szCs w:val="21"/>
                <w:lang w:val="en-US" w:eastAsia="zh-CN"/>
              </w:rPr>
            </w:pPr>
            <w:r>
              <w:rPr>
                <w:rFonts w:hint="eastAsia" w:ascii="Times New Roman" w:hAnsi="Times New Roman"/>
                <w:color w:val="000000"/>
                <w:szCs w:val="21"/>
                <w:lang w:val="en-US" w:eastAsia="zh-CN"/>
              </w:rPr>
              <w:t>0.01</w:t>
            </w:r>
          </w:p>
        </w:tc>
        <w:tc>
          <w:tcPr>
            <w:tcW w:w="1095" w:type="dxa"/>
            <w:vAlign w:val="center"/>
          </w:tcPr>
          <w:p w14:paraId="3FAABC57">
            <w:pPr>
              <w:pStyle w:val="72"/>
              <w:rPr>
                <w:rFonts w:ascii="Times New Roman" w:hAnsi="Times New Roman"/>
                <w:szCs w:val="21"/>
              </w:rPr>
            </w:pPr>
            <w:r>
              <w:rPr>
                <w:rFonts w:hint="eastAsia" w:ascii="Times New Roman" w:hAnsi="Times New Roman"/>
                <w:szCs w:val="21"/>
                <w:lang w:val="en-US" w:eastAsia="zh-CN"/>
              </w:rPr>
              <w:t>拟</w:t>
            </w:r>
          </w:p>
        </w:tc>
        <w:tc>
          <w:tcPr>
            <w:tcW w:w="1871" w:type="dxa"/>
            <w:vAlign w:val="center"/>
          </w:tcPr>
          <w:p w14:paraId="565521B5">
            <w:pPr>
              <w:pStyle w:val="72"/>
              <w:rPr>
                <w:rFonts w:ascii="Times New Roman" w:hAnsi="Times New Roman"/>
                <w:szCs w:val="21"/>
              </w:rPr>
            </w:pPr>
            <w:r>
              <w:rPr>
                <w:rFonts w:hint="eastAsia" w:ascii="Times New Roman" w:hAnsi="Times New Roman"/>
                <w:szCs w:val="21"/>
                <w:lang w:val="en-US" w:eastAsia="zh-CN"/>
              </w:rPr>
              <w:t>挖损</w:t>
            </w:r>
          </w:p>
        </w:tc>
        <w:tc>
          <w:tcPr>
            <w:tcW w:w="3101" w:type="dxa"/>
            <w:noWrap/>
            <w:vAlign w:val="center"/>
          </w:tcPr>
          <w:p w14:paraId="7B5F5B87">
            <w:pPr>
              <w:pStyle w:val="72"/>
              <w:rPr>
                <w:rFonts w:hint="eastAsia" w:ascii="Times New Roman" w:hAnsi="Times New Roman"/>
                <w:color w:val="000000"/>
                <w:szCs w:val="21"/>
                <w:lang w:val="en-US" w:eastAsia="zh-CN"/>
              </w:rPr>
            </w:pPr>
            <w:r>
              <w:rPr>
                <w:rFonts w:hint="default" w:ascii="Times New Roman" w:hAnsi="Times New Roman"/>
                <w:color w:val="000000"/>
                <w:szCs w:val="21"/>
                <w:lang w:val="en-US" w:eastAsia="zh-CN"/>
              </w:rPr>
              <w:t>0.01</w:t>
            </w:r>
          </w:p>
        </w:tc>
        <w:tc>
          <w:tcPr>
            <w:tcW w:w="2312" w:type="dxa"/>
            <w:vAlign w:val="center"/>
          </w:tcPr>
          <w:p w14:paraId="35DACCD7">
            <w:pPr>
              <w:pStyle w:val="72"/>
              <w:rPr>
                <w:rFonts w:hint="eastAsia" w:ascii="Times New Roman" w:hAnsi="Times New Roman"/>
                <w:color w:val="000000"/>
                <w:szCs w:val="21"/>
                <w:lang w:val="en-US" w:eastAsia="zh-CN"/>
              </w:rPr>
            </w:pPr>
          </w:p>
        </w:tc>
      </w:tr>
      <w:tr w14:paraId="748D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502" w:type="dxa"/>
            <w:vMerge w:val="continue"/>
            <w:vAlign w:val="center"/>
          </w:tcPr>
          <w:p w14:paraId="5D2AA6EF">
            <w:pPr>
              <w:pStyle w:val="72"/>
              <w:rPr>
                <w:rFonts w:hint="eastAsia" w:ascii="Times New Roman" w:hAnsi="Times New Roman"/>
                <w:szCs w:val="21"/>
                <w:lang w:val="en-US" w:eastAsia="zh-CN"/>
              </w:rPr>
            </w:pPr>
          </w:p>
        </w:tc>
        <w:tc>
          <w:tcPr>
            <w:tcW w:w="2039" w:type="dxa"/>
            <w:vAlign w:val="center"/>
          </w:tcPr>
          <w:p w14:paraId="1BEABC76">
            <w:pPr>
              <w:pStyle w:val="72"/>
              <w:rPr>
                <w:rFonts w:hint="default" w:ascii="Times New Roman" w:hAnsi="Times New Roman"/>
                <w:szCs w:val="21"/>
                <w:lang w:val="en-US" w:eastAsia="zh-CN"/>
              </w:rPr>
            </w:pPr>
            <w:r>
              <w:rPr>
                <w:rFonts w:hint="eastAsia" w:ascii="Times New Roman" w:hAnsi="Times New Roman"/>
                <w:szCs w:val="21"/>
                <w:lang w:val="en-US" w:eastAsia="zh-CN"/>
              </w:rPr>
              <w:t>其他区域</w:t>
            </w:r>
          </w:p>
        </w:tc>
        <w:tc>
          <w:tcPr>
            <w:tcW w:w="1096" w:type="dxa"/>
            <w:vAlign w:val="center"/>
          </w:tcPr>
          <w:p w14:paraId="51217471">
            <w:pPr>
              <w:pStyle w:val="72"/>
              <w:rPr>
                <w:rFonts w:hint="default" w:ascii="Times New Roman" w:hAnsi="Times New Roman" w:eastAsia="仿宋"/>
                <w:color w:val="000000"/>
                <w:szCs w:val="21"/>
                <w:lang w:val="en-US" w:eastAsia="zh-CN"/>
              </w:rPr>
            </w:pPr>
            <w:r>
              <w:rPr>
                <w:rFonts w:hint="eastAsia" w:ascii="Times New Roman" w:hAnsi="Times New Roman"/>
                <w:color w:val="000000"/>
                <w:szCs w:val="21"/>
                <w:lang w:val="en-US" w:eastAsia="zh-CN"/>
              </w:rPr>
              <w:t>0.164</w:t>
            </w:r>
          </w:p>
        </w:tc>
        <w:tc>
          <w:tcPr>
            <w:tcW w:w="1095" w:type="dxa"/>
            <w:vAlign w:val="center"/>
          </w:tcPr>
          <w:p w14:paraId="6A6FC2CE">
            <w:pPr>
              <w:pStyle w:val="72"/>
              <w:rPr>
                <w:rFonts w:ascii="Times New Roman" w:hAnsi="Times New Roman"/>
                <w:szCs w:val="21"/>
              </w:rPr>
            </w:pPr>
            <w:r>
              <w:rPr>
                <w:rFonts w:hint="eastAsia" w:ascii="Times New Roman" w:hAnsi="Times New Roman"/>
                <w:szCs w:val="21"/>
                <w:lang w:val="en-US" w:eastAsia="zh-CN"/>
              </w:rPr>
              <w:t>拟</w:t>
            </w:r>
          </w:p>
        </w:tc>
        <w:tc>
          <w:tcPr>
            <w:tcW w:w="1871" w:type="dxa"/>
            <w:vAlign w:val="center"/>
          </w:tcPr>
          <w:p w14:paraId="21619EAA">
            <w:pPr>
              <w:pStyle w:val="72"/>
              <w:rPr>
                <w:rFonts w:ascii="Times New Roman" w:hAnsi="Times New Roman"/>
                <w:szCs w:val="21"/>
              </w:rPr>
            </w:pPr>
            <w:r>
              <w:rPr>
                <w:rFonts w:ascii="Times New Roman" w:hAnsi="Times New Roman"/>
                <w:szCs w:val="21"/>
              </w:rPr>
              <w:t>压占</w:t>
            </w:r>
          </w:p>
        </w:tc>
        <w:tc>
          <w:tcPr>
            <w:tcW w:w="3101" w:type="dxa"/>
            <w:noWrap/>
            <w:vAlign w:val="center"/>
          </w:tcPr>
          <w:p w14:paraId="3F16DD21">
            <w:pPr>
              <w:pStyle w:val="72"/>
              <w:rPr>
                <w:rFonts w:hint="eastAsia" w:ascii="Times New Roman" w:hAnsi="Times New Roman"/>
                <w:color w:val="000000"/>
                <w:szCs w:val="21"/>
                <w:lang w:val="en-US" w:eastAsia="zh-CN"/>
              </w:rPr>
            </w:pPr>
            <w:r>
              <w:rPr>
                <w:rFonts w:hint="default" w:ascii="Times New Roman" w:hAnsi="Times New Roman"/>
                <w:color w:val="000000"/>
                <w:szCs w:val="21"/>
                <w:lang w:val="en-US" w:eastAsia="zh-CN"/>
              </w:rPr>
              <w:t>0.164</w:t>
            </w:r>
          </w:p>
        </w:tc>
        <w:tc>
          <w:tcPr>
            <w:tcW w:w="2312" w:type="dxa"/>
            <w:vAlign w:val="center"/>
          </w:tcPr>
          <w:p w14:paraId="0C10D337">
            <w:pPr>
              <w:pStyle w:val="72"/>
              <w:rPr>
                <w:rFonts w:hint="eastAsia" w:ascii="Times New Roman" w:hAnsi="Times New Roman"/>
                <w:color w:val="000000"/>
                <w:szCs w:val="21"/>
                <w:lang w:val="en-US" w:eastAsia="zh-CN"/>
              </w:rPr>
            </w:pPr>
          </w:p>
        </w:tc>
      </w:tr>
      <w:tr w14:paraId="6A22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502" w:type="dxa"/>
            <w:vAlign w:val="center"/>
          </w:tcPr>
          <w:p w14:paraId="71E8EEEB">
            <w:pPr>
              <w:pStyle w:val="72"/>
              <w:rPr>
                <w:rFonts w:hint="eastAsia" w:ascii="Times New Roman" w:hAnsi="Times New Roman"/>
                <w:szCs w:val="21"/>
                <w:lang w:val="en-US" w:eastAsia="zh-CN"/>
              </w:rPr>
            </w:pPr>
            <w:r>
              <w:rPr>
                <w:rFonts w:hint="eastAsia" w:ascii="Times New Roman" w:hAnsi="Times New Roman"/>
                <w:szCs w:val="21"/>
                <w:lang w:val="en-US" w:eastAsia="zh-CN"/>
              </w:rPr>
              <w:t>地裂缝</w:t>
            </w:r>
          </w:p>
        </w:tc>
        <w:tc>
          <w:tcPr>
            <w:tcW w:w="2039" w:type="dxa"/>
            <w:vAlign w:val="center"/>
          </w:tcPr>
          <w:p w14:paraId="6FCC262A">
            <w:pPr>
              <w:pStyle w:val="72"/>
              <w:rPr>
                <w:rFonts w:hint="eastAsia" w:ascii="Times New Roman" w:hAnsi="Times New Roman"/>
                <w:szCs w:val="21"/>
                <w:lang w:val="en-US" w:eastAsia="zh-CN"/>
              </w:rPr>
            </w:pPr>
            <w:r>
              <w:rPr>
                <w:rFonts w:hint="eastAsia" w:ascii="Times New Roman" w:hAnsi="Times New Roman"/>
                <w:szCs w:val="21"/>
                <w:lang w:val="en-US" w:eastAsia="zh-CN"/>
              </w:rPr>
              <w:t>地裂缝</w:t>
            </w:r>
          </w:p>
        </w:tc>
        <w:tc>
          <w:tcPr>
            <w:tcW w:w="1096" w:type="dxa"/>
            <w:vAlign w:val="center"/>
          </w:tcPr>
          <w:p w14:paraId="7110A3AF">
            <w:pPr>
              <w:pStyle w:val="72"/>
              <w:rPr>
                <w:rFonts w:hint="eastAsia" w:ascii="Times New Roman" w:hAnsi="Times New Roman" w:eastAsia="仿宋"/>
                <w:color w:val="000000"/>
                <w:szCs w:val="21"/>
                <w:lang w:val="en-US" w:eastAsia="zh-CN"/>
              </w:rPr>
            </w:pPr>
            <w:r>
              <w:rPr>
                <w:rFonts w:hint="eastAsia" w:ascii="Times New Roman" w:hAnsi="Times New Roman"/>
                <w:color w:val="000000"/>
                <w:szCs w:val="21"/>
                <w:lang w:val="en-US" w:eastAsia="zh-CN"/>
              </w:rPr>
              <w:t>0</w:t>
            </w:r>
          </w:p>
        </w:tc>
        <w:tc>
          <w:tcPr>
            <w:tcW w:w="1095" w:type="dxa"/>
            <w:vAlign w:val="center"/>
          </w:tcPr>
          <w:p w14:paraId="035ECB49">
            <w:pPr>
              <w:pStyle w:val="72"/>
              <w:rPr>
                <w:rFonts w:ascii="Times New Roman" w:hAnsi="Times New Roman"/>
                <w:szCs w:val="21"/>
              </w:rPr>
            </w:pPr>
            <w:r>
              <w:rPr>
                <w:rFonts w:hint="eastAsia" w:ascii="Times New Roman" w:hAnsi="Times New Roman"/>
                <w:szCs w:val="21"/>
                <w:lang w:val="en-US" w:eastAsia="zh-CN"/>
              </w:rPr>
              <w:t>拟</w:t>
            </w:r>
          </w:p>
        </w:tc>
        <w:tc>
          <w:tcPr>
            <w:tcW w:w="1871" w:type="dxa"/>
            <w:vAlign w:val="center"/>
          </w:tcPr>
          <w:p w14:paraId="11BCA28B">
            <w:pPr>
              <w:pStyle w:val="72"/>
              <w:rPr>
                <w:rFonts w:ascii="Times New Roman" w:hAnsi="Times New Roman"/>
                <w:szCs w:val="21"/>
              </w:rPr>
            </w:pPr>
          </w:p>
        </w:tc>
        <w:tc>
          <w:tcPr>
            <w:tcW w:w="3101" w:type="dxa"/>
            <w:noWrap/>
            <w:vAlign w:val="center"/>
          </w:tcPr>
          <w:p w14:paraId="2D998299">
            <w:pPr>
              <w:pStyle w:val="72"/>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0</w:t>
            </w:r>
          </w:p>
        </w:tc>
        <w:tc>
          <w:tcPr>
            <w:tcW w:w="2312" w:type="dxa"/>
            <w:vAlign w:val="center"/>
          </w:tcPr>
          <w:p w14:paraId="6AF792BE">
            <w:pPr>
              <w:pStyle w:val="72"/>
              <w:rPr>
                <w:rFonts w:hint="eastAsia" w:ascii="Times New Roman" w:hAnsi="Times New Roman"/>
                <w:color w:val="000000"/>
                <w:szCs w:val="21"/>
                <w:lang w:val="en-US" w:eastAsia="zh-CN"/>
              </w:rPr>
            </w:pPr>
          </w:p>
        </w:tc>
      </w:tr>
      <w:tr w14:paraId="02B5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541" w:type="dxa"/>
            <w:gridSpan w:val="2"/>
            <w:vAlign w:val="center"/>
          </w:tcPr>
          <w:p w14:paraId="3D949857">
            <w:pPr>
              <w:pStyle w:val="72"/>
              <w:rPr>
                <w:rFonts w:ascii="Times New Roman" w:hAnsi="Times New Roman"/>
                <w:szCs w:val="21"/>
              </w:rPr>
            </w:pPr>
            <w:r>
              <w:rPr>
                <w:rFonts w:ascii="Times New Roman" w:hAnsi="Times New Roman"/>
                <w:szCs w:val="21"/>
              </w:rPr>
              <w:t>合计</w:t>
            </w:r>
          </w:p>
        </w:tc>
        <w:tc>
          <w:tcPr>
            <w:tcW w:w="1096" w:type="dxa"/>
            <w:vAlign w:val="center"/>
          </w:tcPr>
          <w:p w14:paraId="08A512FB">
            <w:pPr>
              <w:pStyle w:val="72"/>
              <w:rPr>
                <w:rFonts w:hint="eastAsia" w:ascii="Times New Roman" w:hAnsi="Times New Roman" w:eastAsia="仿宋"/>
                <w:szCs w:val="21"/>
                <w:lang w:eastAsia="zh-CN"/>
              </w:rPr>
            </w:pPr>
          </w:p>
        </w:tc>
        <w:tc>
          <w:tcPr>
            <w:tcW w:w="1095" w:type="dxa"/>
            <w:vAlign w:val="center"/>
          </w:tcPr>
          <w:p w14:paraId="3FD5E4B3">
            <w:pPr>
              <w:pStyle w:val="72"/>
              <w:rPr>
                <w:rFonts w:ascii="Times New Roman" w:hAnsi="Times New Roman"/>
                <w:szCs w:val="21"/>
              </w:rPr>
            </w:pPr>
          </w:p>
        </w:tc>
        <w:tc>
          <w:tcPr>
            <w:tcW w:w="1871" w:type="dxa"/>
            <w:vAlign w:val="center"/>
          </w:tcPr>
          <w:p w14:paraId="0BB385BD">
            <w:pPr>
              <w:pStyle w:val="72"/>
              <w:rPr>
                <w:rFonts w:ascii="Times New Roman" w:hAnsi="Times New Roman"/>
                <w:szCs w:val="21"/>
              </w:rPr>
            </w:pPr>
            <w:r>
              <w:rPr>
                <w:rFonts w:ascii="Times New Roman" w:hAnsi="Times New Roman"/>
                <w:szCs w:val="21"/>
              </w:rPr>
              <w:t>　</w:t>
            </w:r>
          </w:p>
        </w:tc>
        <w:tc>
          <w:tcPr>
            <w:tcW w:w="3101" w:type="dxa"/>
            <w:vAlign w:val="center"/>
          </w:tcPr>
          <w:p w14:paraId="5DC1838E">
            <w:pPr>
              <w:pStyle w:val="72"/>
              <w:rPr>
                <w:rFonts w:hint="eastAsia" w:ascii="Times New Roman" w:hAnsi="Times New Roman"/>
                <w:color w:val="000000"/>
                <w:szCs w:val="21"/>
                <w:lang w:val="en-US" w:eastAsia="zh-CN"/>
              </w:rPr>
            </w:pPr>
            <w:r>
              <w:rPr>
                <w:rFonts w:hint="default" w:ascii="Times New Roman" w:hAnsi="Times New Roman"/>
                <w:color w:val="000000"/>
                <w:szCs w:val="21"/>
                <w:lang w:val="en-US" w:eastAsia="zh-CN"/>
              </w:rPr>
              <w:t>1.068</w:t>
            </w:r>
          </w:p>
        </w:tc>
        <w:tc>
          <w:tcPr>
            <w:tcW w:w="2312" w:type="dxa"/>
            <w:vAlign w:val="center"/>
          </w:tcPr>
          <w:p w14:paraId="28CA76E0">
            <w:pPr>
              <w:pStyle w:val="72"/>
              <w:rPr>
                <w:rFonts w:hint="eastAsia" w:ascii="Times New Roman" w:hAnsi="Times New Roman"/>
                <w:color w:val="000000"/>
                <w:szCs w:val="21"/>
                <w:lang w:val="en-US" w:eastAsia="zh-CN"/>
              </w:rPr>
            </w:pPr>
            <w:r>
              <w:rPr>
                <w:rFonts w:hint="default" w:ascii="Times New Roman" w:hAnsi="Times New Roman"/>
                <w:color w:val="000000"/>
                <w:szCs w:val="21"/>
                <w:lang w:val="en-US" w:eastAsia="zh-CN"/>
              </w:rPr>
              <w:t>0.1</w:t>
            </w:r>
          </w:p>
        </w:tc>
      </w:tr>
    </w:tbl>
    <w:p w14:paraId="3B0DBE52">
      <w:pPr>
        <w:pStyle w:val="57"/>
        <w:rPr>
          <w:rFonts w:ascii="Times New Roman" w:hAnsi="Times New Roman"/>
        </w:rPr>
      </w:pPr>
    </w:p>
    <w:p w14:paraId="2A88C35D">
      <w:pPr>
        <w:widowControl/>
        <w:adjustRightInd/>
        <w:snapToGrid/>
        <w:spacing w:line="240" w:lineRule="auto"/>
        <w:ind w:firstLine="0" w:firstLineChars="0"/>
        <w:rPr>
          <w:rFonts w:hint="eastAsia" w:eastAsia="宋体"/>
          <w:lang w:eastAsia="zh-CN"/>
        </w:rPr>
      </w:pPr>
    </w:p>
    <w:p w14:paraId="74720693">
      <w:pPr>
        <w:ind w:firstLine="560"/>
        <w:rPr>
          <w:kern w:val="0"/>
          <w:szCs w:val="28"/>
        </w:rPr>
        <w:sectPr>
          <w:pgSz w:w="16838" w:h="11906" w:orient="landscape"/>
          <w:pgMar w:top="1418" w:right="1134" w:bottom="1134" w:left="1134" w:header="851" w:footer="567" w:gutter="0"/>
          <w:pgNumType w:fmt="decimal"/>
          <w:cols w:space="720" w:num="1"/>
          <w:docGrid w:type="linesAndChars" w:linePitch="381" w:charSpace="0"/>
        </w:sectPr>
      </w:pPr>
    </w:p>
    <w:p w14:paraId="281D0BDB">
      <w:pPr>
        <w:ind w:firstLine="560"/>
        <w:rPr>
          <w:kern w:val="0"/>
          <w:szCs w:val="28"/>
          <w:highlight w:val="none"/>
        </w:rPr>
      </w:pPr>
      <w:r>
        <w:rPr>
          <w:kern w:val="0"/>
          <w:szCs w:val="28"/>
          <w:highlight w:val="none"/>
        </w:rPr>
        <w:t>（2）</w:t>
      </w:r>
      <w:r>
        <w:rPr>
          <w:highlight w:val="none"/>
        </w:rPr>
        <w:t>土地损毁分级标准</w:t>
      </w:r>
    </w:p>
    <w:p w14:paraId="7D5C96EA">
      <w:pPr>
        <w:ind w:firstLine="560"/>
        <w:jc w:val="both"/>
        <w:rPr>
          <w:rFonts w:eastAsia="黑体"/>
          <w:b/>
          <w:bCs/>
          <w:sz w:val="24"/>
          <w:szCs w:val="28"/>
          <w:highlight w:val="none"/>
        </w:rPr>
      </w:pPr>
      <w:r>
        <w:rPr>
          <w:szCs w:val="28"/>
          <w:highlight w:val="none"/>
        </w:rPr>
        <w:t>对损毁区分析评估应对照损毁前地形地貌景观、土壤类型、土地利用类型、土地生产力及生物多样性等方面进行，按土地损毁类型的不同，将每种损毁类型的损毁程度分为3个级别（轻度、中度、重度）。</w:t>
      </w:r>
    </w:p>
    <w:p w14:paraId="10EA38D6">
      <w:pPr>
        <w:pStyle w:val="57"/>
        <w:rPr>
          <w:rFonts w:ascii="Times New Roman" w:hAnsi="Times New Roman"/>
          <w:highlight w:val="none"/>
        </w:rPr>
      </w:pPr>
      <w:r>
        <w:rPr>
          <w:rFonts w:ascii="Times New Roman" w:hAnsi="Times New Roman"/>
          <w:highlight w:val="none"/>
        </w:rPr>
        <w:t>表3-1</w:t>
      </w:r>
      <w:r>
        <w:rPr>
          <w:rFonts w:hint="eastAsia" w:ascii="Times New Roman" w:hAnsi="Times New Roman"/>
          <w:highlight w:val="none"/>
          <w:lang w:val="en-US" w:eastAsia="zh-CN"/>
        </w:rPr>
        <w:t>5</w:t>
      </w:r>
      <w:r>
        <w:rPr>
          <w:rFonts w:ascii="Times New Roman" w:hAnsi="Times New Roman"/>
          <w:highlight w:val="none"/>
        </w:rPr>
        <w:t>压占土地损毁程度定性描述表</w:t>
      </w:r>
    </w:p>
    <w:tbl>
      <w:tblPr>
        <w:tblStyle w:val="42"/>
        <w:tblW w:w="5000" w:type="pct"/>
        <w:tblInd w:w="0" w:type="dxa"/>
        <w:tblLayout w:type="autofit"/>
        <w:tblCellMar>
          <w:top w:w="0" w:type="dxa"/>
          <w:left w:w="108" w:type="dxa"/>
          <w:bottom w:w="0" w:type="dxa"/>
          <w:right w:w="108" w:type="dxa"/>
        </w:tblCellMar>
      </w:tblPr>
      <w:tblGrid>
        <w:gridCol w:w="1462"/>
        <w:gridCol w:w="2706"/>
        <w:gridCol w:w="1834"/>
        <w:gridCol w:w="1504"/>
        <w:gridCol w:w="2064"/>
      </w:tblGrid>
      <w:tr w14:paraId="65884326">
        <w:tblPrEx>
          <w:tblCellMar>
            <w:top w:w="0" w:type="dxa"/>
            <w:left w:w="108" w:type="dxa"/>
            <w:bottom w:w="0" w:type="dxa"/>
            <w:right w:w="108" w:type="dxa"/>
          </w:tblCellMar>
        </w:tblPrEx>
        <w:trPr>
          <w:trHeight w:val="285" w:hRule="atLeast"/>
        </w:trPr>
        <w:tc>
          <w:tcPr>
            <w:tcW w:w="764" w:type="pct"/>
            <w:vMerge w:val="restart"/>
            <w:tcBorders>
              <w:top w:val="single" w:color="000000" w:sz="4" w:space="0"/>
              <w:left w:val="single" w:color="000000" w:sz="4" w:space="0"/>
              <w:bottom w:val="single" w:color="000000" w:sz="4" w:space="0"/>
              <w:right w:val="single" w:color="000000" w:sz="4" w:space="0"/>
            </w:tcBorders>
            <w:noWrap/>
            <w:vAlign w:val="center"/>
          </w:tcPr>
          <w:p w14:paraId="04931953">
            <w:pPr>
              <w:pStyle w:val="72"/>
              <w:rPr>
                <w:rFonts w:ascii="Times New Roman" w:hAnsi="Times New Roman"/>
                <w:highlight w:val="none"/>
              </w:rPr>
            </w:pPr>
            <w:r>
              <w:rPr>
                <w:rFonts w:ascii="Times New Roman" w:hAnsi="Times New Roman"/>
                <w:highlight w:val="none"/>
                <w:lang w:bidi="ar"/>
              </w:rPr>
              <w:t>评价因素</w:t>
            </w:r>
          </w:p>
        </w:tc>
        <w:tc>
          <w:tcPr>
            <w:tcW w:w="1414" w:type="pct"/>
            <w:vMerge w:val="restart"/>
            <w:tcBorders>
              <w:top w:val="single" w:color="000000" w:sz="4" w:space="0"/>
              <w:left w:val="single" w:color="000000" w:sz="4" w:space="0"/>
              <w:bottom w:val="single" w:color="000000" w:sz="4" w:space="0"/>
              <w:right w:val="single" w:color="000000" w:sz="4" w:space="0"/>
            </w:tcBorders>
            <w:noWrap/>
            <w:vAlign w:val="center"/>
          </w:tcPr>
          <w:p w14:paraId="1A3F45BE">
            <w:pPr>
              <w:pStyle w:val="72"/>
              <w:rPr>
                <w:rFonts w:ascii="Times New Roman" w:hAnsi="Times New Roman"/>
                <w:highlight w:val="none"/>
              </w:rPr>
            </w:pPr>
            <w:r>
              <w:rPr>
                <w:rFonts w:ascii="Times New Roman" w:hAnsi="Times New Roman"/>
                <w:highlight w:val="none"/>
                <w:lang w:bidi="ar"/>
              </w:rPr>
              <w:t>评价因子</w:t>
            </w:r>
          </w:p>
        </w:tc>
        <w:tc>
          <w:tcPr>
            <w:tcW w:w="2822" w:type="pct"/>
            <w:gridSpan w:val="3"/>
            <w:tcBorders>
              <w:top w:val="single" w:color="000000" w:sz="4" w:space="0"/>
              <w:left w:val="single" w:color="000000" w:sz="4" w:space="0"/>
              <w:bottom w:val="single" w:color="000000" w:sz="4" w:space="0"/>
              <w:right w:val="single" w:color="000000" w:sz="4" w:space="0"/>
            </w:tcBorders>
            <w:noWrap/>
            <w:vAlign w:val="center"/>
          </w:tcPr>
          <w:p w14:paraId="08635388">
            <w:pPr>
              <w:pStyle w:val="72"/>
              <w:rPr>
                <w:rFonts w:ascii="Times New Roman" w:hAnsi="Times New Roman"/>
                <w:highlight w:val="none"/>
              </w:rPr>
            </w:pPr>
            <w:r>
              <w:rPr>
                <w:rFonts w:ascii="Times New Roman" w:hAnsi="Times New Roman"/>
                <w:highlight w:val="none"/>
                <w:lang w:bidi="ar"/>
              </w:rPr>
              <w:t>评价等级</w:t>
            </w:r>
          </w:p>
        </w:tc>
      </w:tr>
      <w:tr w14:paraId="2184A88B">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3784F23B">
            <w:pPr>
              <w:pStyle w:val="72"/>
              <w:rPr>
                <w:rFonts w:ascii="Times New Roman" w:hAnsi="Times New Roman"/>
                <w:highlight w:val="none"/>
              </w:rPr>
            </w:pPr>
          </w:p>
        </w:tc>
        <w:tc>
          <w:tcPr>
            <w:tcW w:w="1414" w:type="pct"/>
            <w:vMerge w:val="continue"/>
            <w:tcBorders>
              <w:top w:val="single" w:color="000000" w:sz="4" w:space="0"/>
              <w:left w:val="single" w:color="000000" w:sz="4" w:space="0"/>
              <w:bottom w:val="single" w:color="000000" w:sz="4" w:space="0"/>
              <w:right w:val="single" w:color="000000" w:sz="4" w:space="0"/>
            </w:tcBorders>
            <w:noWrap/>
            <w:vAlign w:val="center"/>
          </w:tcPr>
          <w:p w14:paraId="024D8AB8">
            <w:pPr>
              <w:pStyle w:val="72"/>
              <w:rPr>
                <w:rFonts w:ascii="Times New Roman" w:hAnsi="Times New Roman"/>
                <w:highlight w:val="none"/>
              </w:rPr>
            </w:pP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73CF5AAE">
            <w:pPr>
              <w:pStyle w:val="72"/>
              <w:rPr>
                <w:rFonts w:ascii="Times New Roman" w:hAnsi="Times New Roman"/>
                <w:highlight w:val="none"/>
              </w:rPr>
            </w:pPr>
            <w:r>
              <w:rPr>
                <w:rFonts w:ascii="Times New Roman" w:hAnsi="Times New Roman"/>
                <w:highlight w:val="none"/>
                <w:lang w:bidi="ar"/>
              </w:rPr>
              <w:t>轻度</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74D6BAFF">
            <w:pPr>
              <w:pStyle w:val="72"/>
              <w:rPr>
                <w:rFonts w:ascii="Times New Roman" w:hAnsi="Times New Roman"/>
                <w:highlight w:val="none"/>
              </w:rPr>
            </w:pPr>
            <w:r>
              <w:rPr>
                <w:rFonts w:ascii="Times New Roman" w:hAnsi="Times New Roman"/>
                <w:highlight w:val="none"/>
                <w:lang w:bidi="ar"/>
              </w:rPr>
              <w:t>中度</w:t>
            </w:r>
          </w:p>
        </w:tc>
        <w:tc>
          <w:tcPr>
            <w:tcW w:w="1078" w:type="pct"/>
            <w:tcBorders>
              <w:top w:val="single" w:color="000000" w:sz="4" w:space="0"/>
              <w:left w:val="single" w:color="000000" w:sz="4" w:space="0"/>
              <w:bottom w:val="single" w:color="000000" w:sz="4" w:space="0"/>
              <w:right w:val="single" w:color="000000" w:sz="4" w:space="0"/>
            </w:tcBorders>
            <w:noWrap/>
            <w:vAlign w:val="center"/>
          </w:tcPr>
          <w:p w14:paraId="6CD0CE3B">
            <w:pPr>
              <w:pStyle w:val="72"/>
              <w:rPr>
                <w:rFonts w:ascii="Times New Roman" w:hAnsi="Times New Roman"/>
                <w:highlight w:val="none"/>
              </w:rPr>
            </w:pPr>
            <w:r>
              <w:rPr>
                <w:rFonts w:ascii="Times New Roman" w:hAnsi="Times New Roman"/>
                <w:highlight w:val="none"/>
                <w:lang w:bidi="ar"/>
              </w:rPr>
              <w:t>重度</w:t>
            </w:r>
          </w:p>
        </w:tc>
      </w:tr>
      <w:tr w14:paraId="760D05C9">
        <w:tblPrEx>
          <w:tblCellMar>
            <w:top w:w="0" w:type="dxa"/>
            <w:left w:w="108" w:type="dxa"/>
            <w:bottom w:w="0" w:type="dxa"/>
            <w:right w:w="108" w:type="dxa"/>
          </w:tblCellMar>
        </w:tblPrEx>
        <w:trPr>
          <w:trHeight w:val="285" w:hRule="atLeast"/>
        </w:trPr>
        <w:tc>
          <w:tcPr>
            <w:tcW w:w="764" w:type="pct"/>
            <w:vMerge w:val="restart"/>
            <w:tcBorders>
              <w:top w:val="single" w:color="000000" w:sz="4" w:space="0"/>
              <w:left w:val="single" w:color="000000" w:sz="4" w:space="0"/>
              <w:bottom w:val="single" w:color="000000" w:sz="4" w:space="0"/>
              <w:right w:val="single" w:color="000000" w:sz="4" w:space="0"/>
            </w:tcBorders>
            <w:noWrap/>
            <w:vAlign w:val="center"/>
          </w:tcPr>
          <w:p w14:paraId="7942A0C1">
            <w:pPr>
              <w:pStyle w:val="72"/>
              <w:rPr>
                <w:rFonts w:ascii="Times New Roman" w:hAnsi="Times New Roman"/>
                <w:highlight w:val="none"/>
              </w:rPr>
            </w:pPr>
            <w:r>
              <w:rPr>
                <w:rFonts w:ascii="Times New Roman" w:hAnsi="Times New Roman"/>
                <w:highlight w:val="none"/>
                <w:lang w:bidi="ar"/>
              </w:rPr>
              <w:t>地表变形</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0C1DF82A">
            <w:pPr>
              <w:pStyle w:val="72"/>
              <w:rPr>
                <w:rFonts w:ascii="Times New Roman" w:hAnsi="Times New Roman"/>
                <w:highlight w:val="none"/>
              </w:rPr>
            </w:pPr>
            <w:r>
              <w:rPr>
                <w:rFonts w:ascii="Times New Roman" w:hAnsi="Times New Roman"/>
                <w:highlight w:val="none"/>
                <w:lang w:bidi="ar"/>
              </w:rPr>
              <w:t>压占面积（m²）</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74C61409">
            <w:pPr>
              <w:pStyle w:val="72"/>
              <w:rPr>
                <w:rFonts w:ascii="Times New Roman" w:hAnsi="Times New Roman"/>
                <w:highlight w:val="none"/>
              </w:rPr>
            </w:pPr>
            <w:r>
              <w:rPr>
                <w:rFonts w:ascii="Times New Roman" w:hAnsi="Times New Roman"/>
                <w:highlight w:val="none"/>
                <w:lang w:bidi="ar"/>
              </w:rPr>
              <w:t>&lt;10000</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6DFB809F">
            <w:pPr>
              <w:pStyle w:val="72"/>
              <w:rPr>
                <w:rFonts w:ascii="Times New Roman" w:hAnsi="Times New Roman"/>
                <w:highlight w:val="none"/>
              </w:rPr>
            </w:pPr>
            <w:r>
              <w:rPr>
                <w:rFonts w:ascii="Times New Roman" w:hAnsi="Times New Roman"/>
                <w:highlight w:val="none"/>
                <w:lang w:bidi="ar"/>
              </w:rPr>
              <w:t>10000~50000</w:t>
            </w:r>
          </w:p>
        </w:tc>
        <w:tc>
          <w:tcPr>
            <w:tcW w:w="1078" w:type="pct"/>
            <w:tcBorders>
              <w:top w:val="single" w:color="000000" w:sz="4" w:space="0"/>
              <w:left w:val="single" w:color="000000" w:sz="4" w:space="0"/>
              <w:bottom w:val="single" w:color="000000" w:sz="4" w:space="0"/>
              <w:right w:val="single" w:color="000000" w:sz="4" w:space="0"/>
            </w:tcBorders>
            <w:noWrap/>
            <w:vAlign w:val="center"/>
          </w:tcPr>
          <w:p w14:paraId="64824E91">
            <w:pPr>
              <w:pStyle w:val="72"/>
              <w:rPr>
                <w:rFonts w:ascii="Times New Roman" w:hAnsi="Times New Roman"/>
                <w:highlight w:val="none"/>
              </w:rPr>
            </w:pPr>
            <w:r>
              <w:rPr>
                <w:rFonts w:ascii="Times New Roman" w:hAnsi="Times New Roman"/>
                <w:highlight w:val="none"/>
                <w:lang w:bidi="ar"/>
              </w:rPr>
              <w:t>&gt;50000</w:t>
            </w:r>
          </w:p>
        </w:tc>
      </w:tr>
      <w:tr w14:paraId="4A446660">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6CA3EC8C">
            <w:pPr>
              <w:pStyle w:val="72"/>
              <w:rPr>
                <w:rFonts w:ascii="Times New Roman" w:hAnsi="Times New Roman"/>
                <w:highlight w:val="none"/>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67B6B2DD">
            <w:pPr>
              <w:pStyle w:val="72"/>
              <w:rPr>
                <w:rFonts w:ascii="Times New Roman" w:hAnsi="Times New Roman"/>
                <w:highlight w:val="none"/>
              </w:rPr>
            </w:pPr>
            <w:r>
              <w:rPr>
                <w:rFonts w:ascii="Times New Roman" w:hAnsi="Times New Roman"/>
                <w:highlight w:val="none"/>
                <w:lang w:bidi="ar"/>
              </w:rPr>
              <w:t>堆积、建筑高度（m）</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66F8B9CD">
            <w:pPr>
              <w:pStyle w:val="72"/>
              <w:rPr>
                <w:rFonts w:ascii="Times New Roman" w:hAnsi="Times New Roman"/>
                <w:highlight w:val="none"/>
              </w:rPr>
            </w:pPr>
            <w:r>
              <w:rPr>
                <w:rFonts w:ascii="Times New Roman" w:hAnsi="Times New Roman"/>
                <w:highlight w:val="none"/>
                <w:lang w:bidi="ar"/>
              </w:rPr>
              <w:t>&lt;5</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6EFCCE6D">
            <w:pPr>
              <w:pStyle w:val="72"/>
              <w:rPr>
                <w:rFonts w:ascii="Times New Roman" w:hAnsi="Times New Roman"/>
                <w:highlight w:val="none"/>
              </w:rPr>
            </w:pPr>
            <w:r>
              <w:rPr>
                <w:rFonts w:ascii="Times New Roman" w:hAnsi="Times New Roman"/>
                <w:highlight w:val="none"/>
                <w:lang w:bidi="ar"/>
              </w:rPr>
              <w:t>5-10</w:t>
            </w:r>
          </w:p>
        </w:tc>
        <w:tc>
          <w:tcPr>
            <w:tcW w:w="1078" w:type="pct"/>
            <w:tcBorders>
              <w:top w:val="single" w:color="000000" w:sz="4" w:space="0"/>
              <w:left w:val="single" w:color="000000" w:sz="4" w:space="0"/>
              <w:bottom w:val="single" w:color="000000" w:sz="4" w:space="0"/>
              <w:right w:val="single" w:color="000000" w:sz="4" w:space="0"/>
            </w:tcBorders>
            <w:noWrap/>
            <w:vAlign w:val="center"/>
          </w:tcPr>
          <w:p w14:paraId="73882D72">
            <w:pPr>
              <w:pStyle w:val="72"/>
              <w:rPr>
                <w:rFonts w:ascii="Times New Roman" w:hAnsi="Times New Roman"/>
                <w:highlight w:val="none"/>
              </w:rPr>
            </w:pPr>
            <w:r>
              <w:rPr>
                <w:rFonts w:ascii="Times New Roman" w:hAnsi="Times New Roman"/>
                <w:highlight w:val="none"/>
                <w:lang w:bidi="ar"/>
              </w:rPr>
              <w:t>&gt;10</w:t>
            </w:r>
          </w:p>
        </w:tc>
      </w:tr>
      <w:tr w14:paraId="4BF3E797">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3D18435F">
            <w:pPr>
              <w:pStyle w:val="72"/>
              <w:rPr>
                <w:rFonts w:ascii="Times New Roman" w:hAnsi="Times New Roman"/>
                <w:highlight w:val="none"/>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66DD6CD3">
            <w:pPr>
              <w:pStyle w:val="72"/>
              <w:rPr>
                <w:rFonts w:ascii="Times New Roman" w:hAnsi="Times New Roman"/>
                <w:highlight w:val="none"/>
              </w:rPr>
            </w:pPr>
            <w:r>
              <w:rPr>
                <w:rFonts w:ascii="Times New Roman" w:hAnsi="Times New Roman"/>
                <w:highlight w:val="none"/>
                <w:lang w:bidi="ar"/>
              </w:rPr>
              <w:t>边坡角（°）</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57A4C845">
            <w:pPr>
              <w:pStyle w:val="72"/>
              <w:rPr>
                <w:rFonts w:ascii="Times New Roman" w:hAnsi="Times New Roman"/>
                <w:highlight w:val="none"/>
              </w:rPr>
            </w:pPr>
            <w:r>
              <w:rPr>
                <w:rFonts w:ascii="Times New Roman" w:hAnsi="Times New Roman"/>
                <w:highlight w:val="none"/>
                <w:lang w:bidi="ar"/>
              </w:rPr>
              <w:t>&lt;25</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67A3F54D">
            <w:pPr>
              <w:pStyle w:val="72"/>
              <w:rPr>
                <w:rFonts w:ascii="Times New Roman" w:hAnsi="Times New Roman"/>
                <w:highlight w:val="none"/>
              </w:rPr>
            </w:pPr>
            <w:r>
              <w:rPr>
                <w:rFonts w:ascii="Times New Roman" w:hAnsi="Times New Roman"/>
                <w:highlight w:val="none"/>
                <w:lang w:bidi="ar"/>
              </w:rPr>
              <w:t>25-35</w:t>
            </w:r>
          </w:p>
        </w:tc>
        <w:tc>
          <w:tcPr>
            <w:tcW w:w="1078" w:type="pct"/>
            <w:tcBorders>
              <w:top w:val="single" w:color="000000" w:sz="4" w:space="0"/>
              <w:left w:val="single" w:color="000000" w:sz="4" w:space="0"/>
              <w:bottom w:val="single" w:color="000000" w:sz="4" w:space="0"/>
              <w:right w:val="single" w:color="000000" w:sz="4" w:space="0"/>
            </w:tcBorders>
            <w:noWrap/>
            <w:vAlign w:val="center"/>
          </w:tcPr>
          <w:p w14:paraId="18067CF1">
            <w:pPr>
              <w:pStyle w:val="72"/>
              <w:rPr>
                <w:rFonts w:ascii="Times New Roman" w:hAnsi="Times New Roman"/>
                <w:highlight w:val="none"/>
              </w:rPr>
            </w:pPr>
            <w:r>
              <w:rPr>
                <w:rFonts w:ascii="Times New Roman" w:hAnsi="Times New Roman"/>
                <w:highlight w:val="none"/>
                <w:lang w:bidi="ar"/>
              </w:rPr>
              <w:t>&gt;35</w:t>
            </w:r>
          </w:p>
        </w:tc>
      </w:tr>
      <w:tr w14:paraId="6D4A23B5">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670874FA">
            <w:pPr>
              <w:pStyle w:val="72"/>
              <w:rPr>
                <w:rFonts w:ascii="Times New Roman" w:hAnsi="Times New Roman"/>
                <w:highlight w:val="none"/>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4A7C94F4">
            <w:pPr>
              <w:pStyle w:val="72"/>
              <w:rPr>
                <w:rFonts w:ascii="Times New Roman" w:hAnsi="Times New Roman"/>
                <w:highlight w:val="none"/>
              </w:rPr>
            </w:pPr>
            <w:r>
              <w:rPr>
                <w:rFonts w:ascii="Times New Roman" w:hAnsi="Times New Roman"/>
                <w:highlight w:val="none"/>
                <w:lang w:bidi="ar"/>
              </w:rPr>
              <w:t>道路压占表土深度（cm）</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286B3154">
            <w:pPr>
              <w:pStyle w:val="72"/>
              <w:rPr>
                <w:rFonts w:ascii="Times New Roman" w:hAnsi="Times New Roman"/>
                <w:highlight w:val="none"/>
              </w:rPr>
            </w:pPr>
            <w:r>
              <w:rPr>
                <w:rFonts w:ascii="Times New Roman" w:hAnsi="Times New Roman"/>
                <w:highlight w:val="none"/>
                <w:lang w:bidi="ar"/>
              </w:rPr>
              <w:t>&lt;50</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33503171">
            <w:pPr>
              <w:pStyle w:val="72"/>
              <w:rPr>
                <w:rFonts w:ascii="Times New Roman" w:hAnsi="Times New Roman"/>
                <w:highlight w:val="none"/>
              </w:rPr>
            </w:pPr>
            <w:r>
              <w:rPr>
                <w:rFonts w:ascii="Times New Roman" w:hAnsi="Times New Roman"/>
                <w:highlight w:val="none"/>
                <w:lang w:bidi="ar"/>
              </w:rPr>
              <w:t>50~100</w:t>
            </w:r>
          </w:p>
        </w:tc>
        <w:tc>
          <w:tcPr>
            <w:tcW w:w="1078" w:type="pct"/>
            <w:tcBorders>
              <w:top w:val="single" w:color="000000" w:sz="4" w:space="0"/>
              <w:left w:val="single" w:color="000000" w:sz="4" w:space="0"/>
              <w:bottom w:val="single" w:color="000000" w:sz="4" w:space="0"/>
              <w:right w:val="single" w:color="000000" w:sz="4" w:space="0"/>
            </w:tcBorders>
            <w:noWrap/>
            <w:vAlign w:val="center"/>
          </w:tcPr>
          <w:p w14:paraId="2685924C">
            <w:pPr>
              <w:pStyle w:val="72"/>
              <w:rPr>
                <w:rFonts w:ascii="Times New Roman" w:hAnsi="Times New Roman"/>
                <w:highlight w:val="none"/>
              </w:rPr>
            </w:pPr>
            <w:r>
              <w:rPr>
                <w:rFonts w:ascii="Times New Roman" w:hAnsi="Times New Roman"/>
                <w:highlight w:val="none"/>
                <w:lang w:bidi="ar"/>
              </w:rPr>
              <w:t>&gt;100</w:t>
            </w:r>
          </w:p>
        </w:tc>
      </w:tr>
      <w:tr w14:paraId="25D7402C">
        <w:tblPrEx>
          <w:tblCellMar>
            <w:top w:w="0" w:type="dxa"/>
            <w:left w:w="108" w:type="dxa"/>
            <w:bottom w:w="0" w:type="dxa"/>
            <w:right w:w="108" w:type="dxa"/>
          </w:tblCellMar>
        </w:tblPrEx>
        <w:trPr>
          <w:trHeight w:val="285" w:hRule="atLeast"/>
        </w:trPr>
        <w:tc>
          <w:tcPr>
            <w:tcW w:w="764" w:type="pct"/>
            <w:vMerge w:val="restart"/>
            <w:tcBorders>
              <w:top w:val="nil"/>
              <w:left w:val="single" w:color="000000" w:sz="4" w:space="0"/>
              <w:bottom w:val="single" w:color="000000" w:sz="4" w:space="0"/>
              <w:right w:val="single" w:color="000000" w:sz="4" w:space="0"/>
            </w:tcBorders>
            <w:noWrap/>
            <w:vAlign w:val="center"/>
          </w:tcPr>
          <w:p w14:paraId="5048B623">
            <w:pPr>
              <w:pStyle w:val="72"/>
              <w:rPr>
                <w:rFonts w:ascii="Times New Roman" w:hAnsi="Times New Roman"/>
                <w:highlight w:val="none"/>
              </w:rPr>
            </w:pPr>
            <w:r>
              <w:rPr>
                <w:rFonts w:ascii="Times New Roman" w:hAnsi="Times New Roman"/>
                <w:highlight w:val="none"/>
                <w:lang w:bidi="ar"/>
              </w:rPr>
              <w:t>占压物性状</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10803F66">
            <w:pPr>
              <w:pStyle w:val="72"/>
              <w:rPr>
                <w:rFonts w:ascii="Times New Roman" w:hAnsi="Times New Roman"/>
                <w:highlight w:val="none"/>
              </w:rPr>
            </w:pPr>
            <w:r>
              <w:rPr>
                <w:rFonts w:ascii="Times New Roman" w:hAnsi="Times New Roman"/>
                <w:highlight w:val="none"/>
                <w:lang w:bidi="ar"/>
              </w:rPr>
              <w:t>压占时间（年）</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230CE800">
            <w:pPr>
              <w:pStyle w:val="72"/>
              <w:rPr>
                <w:rFonts w:ascii="Times New Roman" w:hAnsi="Times New Roman"/>
                <w:highlight w:val="none"/>
              </w:rPr>
            </w:pPr>
            <w:r>
              <w:rPr>
                <w:rFonts w:ascii="Times New Roman" w:hAnsi="Times New Roman"/>
                <w:highlight w:val="none"/>
                <w:lang w:bidi="ar"/>
              </w:rPr>
              <w:t>&lt;1</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412D0777">
            <w:pPr>
              <w:pStyle w:val="72"/>
              <w:rPr>
                <w:rFonts w:ascii="Times New Roman" w:hAnsi="Times New Roman"/>
                <w:highlight w:val="none"/>
              </w:rPr>
            </w:pPr>
            <w:r>
              <w:rPr>
                <w:rFonts w:ascii="Times New Roman" w:hAnsi="Times New Roman"/>
                <w:highlight w:val="none"/>
                <w:lang w:bidi="ar"/>
              </w:rPr>
              <w:t>1-3</w:t>
            </w:r>
          </w:p>
        </w:tc>
        <w:tc>
          <w:tcPr>
            <w:tcW w:w="1078" w:type="pct"/>
            <w:tcBorders>
              <w:top w:val="single" w:color="000000" w:sz="4" w:space="0"/>
              <w:left w:val="single" w:color="000000" w:sz="4" w:space="0"/>
              <w:bottom w:val="single" w:color="000000" w:sz="4" w:space="0"/>
              <w:right w:val="single" w:color="000000" w:sz="4" w:space="0"/>
            </w:tcBorders>
            <w:noWrap/>
            <w:vAlign w:val="center"/>
          </w:tcPr>
          <w:p w14:paraId="7784344C">
            <w:pPr>
              <w:pStyle w:val="72"/>
              <w:rPr>
                <w:rFonts w:ascii="Times New Roman" w:hAnsi="Times New Roman"/>
                <w:highlight w:val="none"/>
              </w:rPr>
            </w:pPr>
            <w:r>
              <w:rPr>
                <w:rFonts w:ascii="Times New Roman" w:hAnsi="Times New Roman"/>
                <w:highlight w:val="none"/>
                <w:lang w:bidi="ar"/>
              </w:rPr>
              <w:t>&gt;3</w:t>
            </w:r>
          </w:p>
        </w:tc>
      </w:tr>
      <w:tr w14:paraId="1563BEB6">
        <w:tblPrEx>
          <w:tblCellMar>
            <w:top w:w="0" w:type="dxa"/>
            <w:left w:w="108" w:type="dxa"/>
            <w:bottom w:w="0" w:type="dxa"/>
            <w:right w:w="108" w:type="dxa"/>
          </w:tblCellMar>
        </w:tblPrEx>
        <w:trPr>
          <w:trHeight w:val="285" w:hRule="atLeast"/>
        </w:trPr>
        <w:tc>
          <w:tcPr>
            <w:tcW w:w="764" w:type="pct"/>
            <w:vMerge w:val="continue"/>
            <w:tcBorders>
              <w:top w:val="nil"/>
              <w:left w:val="single" w:color="000000" w:sz="4" w:space="0"/>
              <w:bottom w:val="single" w:color="000000" w:sz="4" w:space="0"/>
              <w:right w:val="single" w:color="000000" w:sz="4" w:space="0"/>
            </w:tcBorders>
            <w:noWrap/>
            <w:vAlign w:val="center"/>
          </w:tcPr>
          <w:p w14:paraId="4DC59580">
            <w:pPr>
              <w:pStyle w:val="72"/>
              <w:rPr>
                <w:rFonts w:ascii="Times New Roman" w:hAnsi="Times New Roman"/>
                <w:highlight w:val="none"/>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30052E36">
            <w:pPr>
              <w:pStyle w:val="72"/>
              <w:rPr>
                <w:rFonts w:ascii="Times New Roman" w:hAnsi="Times New Roman"/>
                <w:highlight w:val="none"/>
              </w:rPr>
            </w:pPr>
            <w:r>
              <w:rPr>
                <w:rFonts w:ascii="Times New Roman" w:hAnsi="Times New Roman"/>
                <w:highlight w:val="none"/>
                <w:lang w:bidi="ar"/>
              </w:rPr>
              <w:t>地表附着物处置难度</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51CA97DF">
            <w:pPr>
              <w:pStyle w:val="72"/>
              <w:rPr>
                <w:rFonts w:ascii="Times New Roman" w:hAnsi="Times New Roman"/>
                <w:highlight w:val="none"/>
              </w:rPr>
            </w:pPr>
            <w:r>
              <w:rPr>
                <w:rFonts w:ascii="Times New Roman" w:hAnsi="Times New Roman"/>
                <w:highlight w:val="none"/>
                <w:lang w:bidi="ar"/>
              </w:rPr>
              <w:t>容易</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64312013">
            <w:pPr>
              <w:pStyle w:val="72"/>
              <w:rPr>
                <w:rFonts w:ascii="Times New Roman" w:hAnsi="Times New Roman"/>
                <w:highlight w:val="none"/>
              </w:rPr>
            </w:pPr>
            <w:r>
              <w:rPr>
                <w:rFonts w:ascii="Times New Roman" w:hAnsi="Times New Roman"/>
                <w:highlight w:val="none"/>
                <w:lang w:bidi="ar"/>
              </w:rPr>
              <w:t>较容易</w:t>
            </w:r>
          </w:p>
        </w:tc>
        <w:tc>
          <w:tcPr>
            <w:tcW w:w="1078" w:type="pct"/>
            <w:tcBorders>
              <w:top w:val="single" w:color="000000" w:sz="4" w:space="0"/>
              <w:left w:val="single" w:color="000000" w:sz="4" w:space="0"/>
              <w:bottom w:val="single" w:color="000000" w:sz="4" w:space="0"/>
              <w:right w:val="single" w:color="000000" w:sz="4" w:space="0"/>
            </w:tcBorders>
            <w:noWrap/>
            <w:vAlign w:val="center"/>
          </w:tcPr>
          <w:p w14:paraId="4BA85F7B">
            <w:pPr>
              <w:pStyle w:val="72"/>
              <w:rPr>
                <w:rFonts w:ascii="Times New Roman" w:hAnsi="Times New Roman"/>
                <w:highlight w:val="none"/>
              </w:rPr>
            </w:pPr>
            <w:r>
              <w:rPr>
                <w:rFonts w:ascii="Times New Roman" w:hAnsi="Times New Roman"/>
                <w:highlight w:val="none"/>
                <w:lang w:bidi="ar"/>
              </w:rPr>
              <w:t>较困难</w:t>
            </w:r>
          </w:p>
        </w:tc>
      </w:tr>
      <w:tr w14:paraId="25B06DEC">
        <w:tblPrEx>
          <w:tblCellMar>
            <w:top w:w="0" w:type="dxa"/>
            <w:left w:w="108" w:type="dxa"/>
            <w:bottom w:w="0" w:type="dxa"/>
            <w:right w:w="108" w:type="dxa"/>
          </w:tblCellMar>
        </w:tblPrEx>
        <w:trPr>
          <w:trHeight w:val="285" w:hRule="atLeast"/>
        </w:trPr>
        <w:tc>
          <w:tcPr>
            <w:tcW w:w="764" w:type="pct"/>
            <w:tcBorders>
              <w:top w:val="single" w:color="000000" w:sz="4" w:space="0"/>
              <w:left w:val="single" w:color="000000" w:sz="4" w:space="0"/>
              <w:bottom w:val="single" w:color="000000" w:sz="4" w:space="0"/>
              <w:right w:val="single" w:color="000000" w:sz="4" w:space="0"/>
            </w:tcBorders>
            <w:noWrap/>
            <w:vAlign w:val="center"/>
          </w:tcPr>
          <w:p w14:paraId="2E981B78">
            <w:pPr>
              <w:pStyle w:val="72"/>
              <w:rPr>
                <w:rFonts w:ascii="Times New Roman" w:hAnsi="Times New Roman"/>
                <w:highlight w:val="none"/>
              </w:rPr>
            </w:pPr>
            <w:r>
              <w:rPr>
                <w:rFonts w:ascii="Times New Roman" w:hAnsi="Times New Roman"/>
                <w:highlight w:val="none"/>
                <w:lang w:bidi="ar"/>
              </w:rPr>
              <w:t>稳定性</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1C628BC9">
            <w:pPr>
              <w:pStyle w:val="72"/>
              <w:rPr>
                <w:rFonts w:ascii="Times New Roman" w:hAnsi="Times New Roman"/>
                <w:highlight w:val="none"/>
              </w:rPr>
            </w:pPr>
            <w:r>
              <w:rPr>
                <w:rFonts w:ascii="Times New Roman" w:hAnsi="Times New Roman"/>
                <w:highlight w:val="none"/>
                <w:lang w:bidi="ar"/>
              </w:rPr>
              <w:t>稳定性</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0B99528C">
            <w:pPr>
              <w:pStyle w:val="72"/>
              <w:rPr>
                <w:rFonts w:ascii="Times New Roman" w:hAnsi="Times New Roman"/>
                <w:highlight w:val="none"/>
              </w:rPr>
            </w:pPr>
            <w:r>
              <w:rPr>
                <w:rFonts w:ascii="Times New Roman" w:hAnsi="Times New Roman"/>
                <w:highlight w:val="none"/>
                <w:lang w:bidi="ar"/>
              </w:rPr>
              <w:t>稳定</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14008500">
            <w:pPr>
              <w:pStyle w:val="72"/>
              <w:rPr>
                <w:rFonts w:ascii="Times New Roman" w:hAnsi="Times New Roman"/>
                <w:highlight w:val="none"/>
              </w:rPr>
            </w:pPr>
            <w:r>
              <w:rPr>
                <w:rFonts w:ascii="Times New Roman" w:hAnsi="Times New Roman"/>
                <w:highlight w:val="none"/>
                <w:lang w:bidi="ar"/>
              </w:rPr>
              <w:t>较稳定</w:t>
            </w:r>
          </w:p>
        </w:tc>
        <w:tc>
          <w:tcPr>
            <w:tcW w:w="1078" w:type="pct"/>
            <w:tcBorders>
              <w:top w:val="single" w:color="000000" w:sz="4" w:space="0"/>
              <w:left w:val="single" w:color="000000" w:sz="4" w:space="0"/>
              <w:bottom w:val="single" w:color="000000" w:sz="4" w:space="0"/>
              <w:right w:val="single" w:color="000000" w:sz="4" w:space="0"/>
            </w:tcBorders>
            <w:noWrap/>
            <w:vAlign w:val="center"/>
          </w:tcPr>
          <w:p w14:paraId="72FB170E">
            <w:pPr>
              <w:pStyle w:val="72"/>
              <w:rPr>
                <w:rFonts w:ascii="Times New Roman" w:hAnsi="Times New Roman"/>
                <w:highlight w:val="none"/>
              </w:rPr>
            </w:pPr>
            <w:r>
              <w:rPr>
                <w:rFonts w:ascii="Times New Roman" w:hAnsi="Times New Roman"/>
                <w:highlight w:val="none"/>
                <w:lang w:bidi="ar"/>
              </w:rPr>
              <w:t>不稳定</w:t>
            </w:r>
          </w:p>
        </w:tc>
      </w:tr>
      <w:tr w14:paraId="3660E63E">
        <w:tblPrEx>
          <w:tblCellMar>
            <w:top w:w="0" w:type="dxa"/>
            <w:left w:w="108" w:type="dxa"/>
            <w:bottom w:w="0" w:type="dxa"/>
            <w:right w:w="108" w:type="dxa"/>
          </w:tblCellMar>
        </w:tblPrEx>
        <w:trPr>
          <w:trHeight w:val="285"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7EF5CA5A">
            <w:pPr>
              <w:pStyle w:val="72"/>
              <w:rPr>
                <w:rFonts w:ascii="Times New Roman" w:hAnsi="Times New Roman"/>
                <w:highlight w:val="none"/>
              </w:rPr>
            </w:pPr>
            <w:r>
              <w:rPr>
                <w:rFonts w:ascii="Times New Roman" w:hAnsi="Times New Roman"/>
                <w:highlight w:val="none"/>
                <w:lang w:bidi="ar"/>
              </w:rPr>
              <w:t>注：分级确定采取上一级别优先原则，只要有一项要素符合某一级别，就定位该级别。</w:t>
            </w:r>
          </w:p>
        </w:tc>
      </w:tr>
    </w:tbl>
    <w:p w14:paraId="3E6DA2A1">
      <w:pPr>
        <w:ind w:firstLine="560"/>
        <w:rPr>
          <w:szCs w:val="28"/>
          <w:highlight w:val="none"/>
        </w:rPr>
      </w:pPr>
      <w:r>
        <w:rPr>
          <w:szCs w:val="28"/>
          <w:highlight w:val="none"/>
        </w:rPr>
        <w:t>（3）</w:t>
      </w:r>
      <w:r>
        <w:rPr>
          <w:highlight w:val="none"/>
        </w:rPr>
        <w:t>评价结果</w:t>
      </w:r>
    </w:p>
    <w:p w14:paraId="454463DB">
      <w:pPr>
        <w:ind w:firstLine="560"/>
        <w:rPr>
          <w:highlight w:val="none"/>
        </w:rPr>
      </w:pPr>
      <w:r>
        <w:rPr>
          <w:highlight w:val="none"/>
        </w:rPr>
        <w:t>矿区损毁</w:t>
      </w:r>
      <w:r>
        <w:rPr>
          <w:rFonts w:hint="eastAsia"/>
          <w:highlight w:val="none"/>
          <w:lang w:val="en-US" w:eastAsia="zh-CN"/>
        </w:rPr>
        <w:t>工业广场</w:t>
      </w:r>
      <w:r>
        <w:rPr>
          <w:highlight w:val="none"/>
        </w:rPr>
        <w:t>土地资源面积</w:t>
      </w:r>
      <w:r>
        <w:rPr>
          <w:rFonts w:hint="eastAsia"/>
          <w:highlight w:val="none"/>
          <w:lang w:val="en-US" w:eastAsia="zh-CN"/>
        </w:rPr>
        <w:t>0.3608</w:t>
      </w:r>
      <w:r>
        <w:rPr>
          <w:highlight w:val="none"/>
        </w:rPr>
        <w:t>hm²，最终地面坡度小于5°，满足自然排水，</w:t>
      </w:r>
      <w:r>
        <w:rPr>
          <w:rFonts w:hint="eastAsia"/>
          <w:highlight w:val="none"/>
        </w:rPr>
        <w:t>损毁土地类型为乔木林地、采矿用地</w:t>
      </w:r>
      <w:r>
        <w:rPr>
          <w:highlight w:val="none"/>
        </w:rPr>
        <w:t>压占时间大于3年，地表附着物主要为临时建筑和机械设备，处置</w:t>
      </w:r>
      <w:r>
        <w:rPr>
          <w:rFonts w:hint="eastAsia"/>
          <w:highlight w:val="none"/>
        </w:rPr>
        <w:t>较</w:t>
      </w:r>
      <w:r>
        <w:rPr>
          <w:highlight w:val="none"/>
        </w:rPr>
        <w:t>容易，评定为重度损毁。</w:t>
      </w:r>
    </w:p>
    <w:p w14:paraId="11B500DE">
      <w:pPr>
        <w:ind w:firstLine="560"/>
        <w:rPr>
          <w:highlight w:val="none"/>
        </w:rPr>
      </w:pPr>
      <w:r>
        <w:rPr>
          <w:highlight w:val="none"/>
        </w:rPr>
        <w:t>矿区损毁</w:t>
      </w:r>
      <w:r>
        <w:rPr>
          <w:rFonts w:hint="eastAsia"/>
          <w:highlight w:val="none"/>
          <w:lang w:val="en-US" w:eastAsia="zh-CN"/>
        </w:rPr>
        <w:t>原三处废弃平硐</w:t>
      </w:r>
      <w:r>
        <w:rPr>
          <w:highlight w:val="none"/>
        </w:rPr>
        <w:t>土地资源面积</w:t>
      </w:r>
      <w:r>
        <w:rPr>
          <w:rFonts w:hint="eastAsia"/>
          <w:highlight w:val="none"/>
          <w:lang w:val="en-US" w:eastAsia="zh-CN"/>
        </w:rPr>
        <w:t>0</w:t>
      </w:r>
      <w:r>
        <w:rPr>
          <w:highlight w:val="none"/>
        </w:rPr>
        <w:t>hm²，最终地面坡度小于</w:t>
      </w:r>
      <w:r>
        <w:rPr>
          <w:rFonts w:hint="eastAsia"/>
          <w:highlight w:val="none"/>
          <w:lang w:val="en-US" w:eastAsia="zh-CN"/>
        </w:rPr>
        <w:t>35</w:t>
      </w:r>
      <w:r>
        <w:rPr>
          <w:highlight w:val="none"/>
        </w:rPr>
        <w:t>°，满足自然排水，</w:t>
      </w:r>
      <w:r>
        <w:rPr>
          <w:rFonts w:hint="eastAsia"/>
          <w:highlight w:val="none"/>
          <w:lang w:val="en-US" w:eastAsia="zh-CN"/>
        </w:rPr>
        <w:t>挖损</w:t>
      </w:r>
      <w:r>
        <w:rPr>
          <w:highlight w:val="none"/>
        </w:rPr>
        <w:t>时间大于3年，地表附着物主要为</w:t>
      </w:r>
      <w:r>
        <w:rPr>
          <w:rFonts w:hint="eastAsia"/>
          <w:highlight w:val="none"/>
          <w:lang w:val="en-US" w:eastAsia="zh-CN"/>
        </w:rPr>
        <w:t>平硐</w:t>
      </w:r>
      <w:r>
        <w:rPr>
          <w:highlight w:val="none"/>
        </w:rPr>
        <w:t>，处置</w:t>
      </w:r>
      <w:r>
        <w:rPr>
          <w:rFonts w:hint="eastAsia"/>
          <w:highlight w:val="none"/>
        </w:rPr>
        <w:t>较</w:t>
      </w:r>
      <w:r>
        <w:rPr>
          <w:highlight w:val="none"/>
        </w:rPr>
        <w:t>容易，评定为重度损毁。</w:t>
      </w:r>
    </w:p>
    <w:p w14:paraId="0CC79991">
      <w:pPr>
        <w:ind w:firstLine="560"/>
        <w:rPr>
          <w:highlight w:val="none"/>
        </w:rPr>
      </w:pPr>
      <w:r>
        <w:rPr>
          <w:highlight w:val="none"/>
        </w:rPr>
        <w:t>矿区损毁</w:t>
      </w:r>
      <w:r>
        <w:rPr>
          <w:rFonts w:hint="eastAsia"/>
          <w:highlight w:val="none"/>
          <w:lang w:val="en-US" w:eastAsia="zh-CN"/>
        </w:rPr>
        <w:t>490m平硐工业广场</w:t>
      </w:r>
      <w:r>
        <w:rPr>
          <w:highlight w:val="none"/>
        </w:rPr>
        <w:t>土地资源面积</w:t>
      </w:r>
      <w:r>
        <w:rPr>
          <w:rFonts w:hint="eastAsia"/>
          <w:highlight w:val="none"/>
          <w:lang w:val="en-US" w:eastAsia="zh-CN"/>
        </w:rPr>
        <w:t>0.69</w:t>
      </w:r>
      <w:r>
        <w:rPr>
          <w:highlight w:val="none"/>
        </w:rPr>
        <w:t>hm²，最终地面坡度小于5°，满足自然排水，</w:t>
      </w:r>
      <w:r>
        <w:rPr>
          <w:rFonts w:hint="eastAsia"/>
          <w:highlight w:val="none"/>
        </w:rPr>
        <w:t>损毁土地类型为乔木林地</w:t>
      </w:r>
      <w:r>
        <w:rPr>
          <w:rFonts w:hint="eastAsia"/>
          <w:highlight w:val="none"/>
          <w:lang w:eastAsia="zh-CN"/>
        </w:rPr>
        <w:t>，</w:t>
      </w:r>
      <w:r>
        <w:rPr>
          <w:rFonts w:hint="eastAsia"/>
          <w:highlight w:val="none"/>
          <w:lang w:val="en-US" w:eastAsia="zh-CN"/>
        </w:rPr>
        <w:t>挖损和</w:t>
      </w:r>
      <w:r>
        <w:rPr>
          <w:highlight w:val="none"/>
        </w:rPr>
        <w:t>压占时间大于3年，地表附着物主要为临时建筑和机械设备，处置</w:t>
      </w:r>
      <w:r>
        <w:rPr>
          <w:rFonts w:hint="eastAsia"/>
          <w:highlight w:val="none"/>
        </w:rPr>
        <w:t>较</w:t>
      </w:r>
      <w:r>
        <w:rPr>
          <w:highlight w:val="none"/>
        </w:rPr>
        <w:t>容易，评定为重度损毁。</w:t>
      </w:r>
    </w:p>
    <w:p w14:paraId="04EF020B">
      <w:pPr>
        <w:ind w:firstLine="560"/>
        <w:rPr>
          <w:highlight w:val="none"/>
        </w:rPr>
      </w:pPr>
      <w:r>
        <w:rPr>
          <w:highlight w:val="none"/>
        </w:rPr>
        <w:t>矿区损毁</w:t>
      </w:r>
      <w:r>
        <w:rPr>
          <w:rFonts w:hint="eastAsia"/>
          <w:highlight w:val="none"/>
          <w:lang w:val="en-US" w:eastAsia="zh-CN"/>
        </w:rPr>
        <w:t>520m平硐工业广场</w:t>
      </w:r>
      <w:r>
        <w:rPr>
          <w:highlight w:val="none"/>
        </w:rPr>
        <w:t>土地资源面积</w:t>
      </w:r>
      <w:r>
        <w:rPr>
          <w:rFonts w:hint="eastAsia"/>
          <w:highlight w:val="none"/>
          <w:lang w:val="en-US" w:eastAsia="zh-CN"/>
        </w:rPr>
        <w:t>0.3</w:t>
      </w:r>
      <w:r>
        <w:rPr>
          <w:highlight w:val="none"/>
        </w:rPr>
        <w:t>hm²，最终地面坡度小于5°，满足自然排水，</w:t>
      </w:r>
      <w:r>
        <w:rPr>
          <w:rFonts w:hint="eastAsia"/>
          <w:highlight w:val="none"/>
        </w:rPr>
        <w:t>损毁土地类型为乔木林地、采矿用地</w:t>
      </w:r>
      <w:r>
        <w:rPr>
          <w:rFonts w:hint="eastAsia"/>
          <w:highlight w:val="none"/>
          <w:lang w:eastAsia="zh-CN"/>
        </w:rPr>
        <w:t>，</w:t>
      </w:r>
      <w:r>
        <w:rPr>
          <w:rFonts w:hint="eastAsia"/>
          <w:highlight w:val="none"/>
          <w:lang w:val="en-US" w:eastAsia="zh-CN"/>
        </w:rPr>
        <w:t>挖损和</w:t>
      </w:r>
      <w:r>
        <w:rPr>
          <w:highlight w:val="none"/>
        </w:rPr>
        <w:t>压占时间大于3年，地表附着物主要为临时建筑和机械设备，处置</w:t>
      </w:r>
      <w:r>
        <w:rPr>
          <w:rFonts w:hint="eastAsia"/>
          <w:highlight w:val="none"/>
        </w:rPr>
        <w:t>较</w:t>
      </w:r>
      <w:r>
        <w:rPr>
          <w:highlight w:val="none"/>
        </w:rPr>
        <w:t>容易，评定为重度损毁。</w:t>
      </w:r>
    </w:p>
    <w:p w14:paraId="38CFD79D">
      <w:pPr>
        <w:ind w:firstLine="560"/>
        <w:rPr>
          <w:highlight w:val="none"/>
        </w:rPr>
      </w:pPr>
      <w:r>
        <w:rPr>
          <w:highlight w:val="none"/>
        </w:rPr>
        <w:t>矿区损毁</w:t>
      </w:r>
      <w:r>
        <w:rPr>
          <w:rFonts w:hint="eastAsia"/>
          <w:highlight w:val="none"/>
          <w:lang w:val="en-US" w:eastAsia="zh-CN"/>
        </w:rPr>
        <w:t>548m平硐工业广场</w:t>
      </w:r>
      <w:r>
        <w:rPr>
          <w:highlight w:val="none"/>
        </w:rPr>
        <w:t>土地资源面积</w:t>
      </w:r>
      <w:r>
        <w:rPr>
          <w:rFonts w:hint="eastAsia"/>
          <w:highlight w:val="none"/>
          <w:lang w:val="en-US" w:eastAsia="zh-CN"/>
        </w:rPr>
        <w:t>0.178</w:t>
      </w:r>
      <w:r>
        <w:rPr>
          <w:highlight w:val="none"/>
        </w:rPr>
        <w:t>hm²，最终地面坡度小于5°，满足自然排水，</w:t>
      </w:r>
      <w:r>
        <w:rPr>
          <w:rFonts w:hint="eastAsia"/>
          <w:highlight w:val="none"/>
        </w:rPr>
        <w:t>损毁土地类型为乔木林地</w:t>
      </w:r>
      <w:r>
        <w:rPr>
          <w:rFonts w:hint="eastAsia"/>
          <w:highlight w:val="none"/>
          <w:lang w:eastAsia="zh-CN"/>
        </w:rPr>
        <w:t>，</w:t>
      </w:r>
      <w:r>
        <w:rPr>
          <w:rFonts w:hint="eastAsia"/>
          <w:highlight w:val="none"/>
          <w:lang w:val="en-US" w:eastAsia="zh-CN"/>
        </w:rPr>
        <w:t>挖损和</w:t>
      </w:r>
      <w:r>
        <w:rPr>
          <w:highlight w:val="none"/>
        </w:rPr>
        <w:t>压占时间大于3年，地表附着物主要为临时建筑和机械设备，处置</w:t>
      </w:r>
      <w:r>
        <w:rPr>
          <w:rFonts w:hint="eastAsia"/>
          <w:highlight w:val="none"/>
        </w:rPr>
        <w:t>较</w:t>
      </w:r>
      <w:r>
        <w:rPr>
          <w:highlight w:val="none"/>
        </w:rPr>
        <w:t>容易，评定为重度损毁。</w:t>
      </w:r>
    </w:p>
    <w:p w14:paraId="7EA663A8">
      <w:pPr>
        <w:ind w:firstLine="560"/>
        <w:rPr>
          <w:highlight w:val="none"/>
        </w:rPr>
      </w:pPr>
    </w:p>
    <w:p w14:paraId="42723079">
      <w:pPr>
        <w:ind w:firstLine="560"/>
      </w:pPr>
      <w:r>
        <w:rPr>
          <w:rFonts w:hint="eastAsia"/>
          <w:lang w:eastAsia="zh-CN"/>
        </w:rPr>
        <w:t>地裂缝</w:t>
      </w:r>
      <w:r>
        <w:rPr>
          <w:rFonts w:hint="eastAsia"/>
        </w:rPr>
        <w:t>损毁土地面积</w:t>
      </w:r>
      <w:r>
        <w:rPr>
          <w:rFonts w:hint="eastAsia"/>
          <w:lang w:val="en-US" w:eastAsia="zh-CN"/>
        </w:rPr>
        <w:t>900m</w:t>
      </w:r>
      <w:r>
        <w:t>，最终地面坡度小于5°，满足自然排水，</w:t>
      </w:r>
      <w:r>
        <w:rPr>
          <w:rFonts w:hint="eastAsia"/>
        </w:rPr>
        <w:t>损毁土地类型为乔木林地</w:t>
      </w:r>
      <w:r>
        <w:rPr>
          <w:rFonts w:hint="eastAsia"/>
          <w:lang w:eastAsia="zh-CN"/>
        </w:rPr>
        <w:t>，</w:t>
      </w:r>
      <w:r>
        <w:rPr>
          <w:rFonts w:hint="eastAsia"/>
        </w:rPr>
        <w:t>最大水平变形值为3.3mm/m</w:t>
      </w:r>
      <w:r>
        <w:t>，评定为</w:t>
      </w:r>
      <w:r>
        <w:rPr>
          <w:rFonts w:hint="eastAsia"/>
        </w:rPr>
        <w:t>中</w:t>
      </w:r>
      <w:r>
        <w:t>度损毁。</w:t>
      </w:r>
    </w:p>
    <w:p w14:paraId="7CD5AC22">
      <w:pPr>
        <w:ind w:firstLine="560"/>
        <w:rPr>
          <w:rFonts w:eastAsia="黑体"/>
          <w:b/>
          <w:bCs/>
          <w:sz w:val="24"/>
          <w:szCs w:val="28"/>
        </w:rPr>
      </w:pPr>
      <w:r>
        <w:t>综上，矿区损毁土地单元包括</w:t>
      </w:r>
      <w:r>
        <w:rPr>
          <w:rFonts w:hint="eastAsia"/>
          <w:lang w:val="en-US" w:eastAsia="zh-CN"/>
        </w:rPr>
        <w:t>工业广场、原来三处废弃平硐、490m平硐工业广场、520m平硐工业广场、548m平硐工业广场为重度损毁，</w:t>
      </w:r>
      <w:r>
        <w:rPr>
          <w:rFonts w:hint="eastAsia"/>
          <w:lang w:eastAsia="zh-CN"/>
        </w:rPr>
        <w:t>地裂缝</w:t>
      </w:r>
      <w:r>
        <w:t>损毁程度为</w:t>
      </w:r>
      <w:r>
        <w:rPr>
          <w:rFonts w:hint="eastAsia"/>
          <w:lang w:val="en-US" w:eastAsia="zh-CN"/>
        </w:rPr>
        <w:t>中</w:t>
      </w:r>
      <w:r>
        <w:t>度。</w:t>
      </w:r>
    </w:p>
    <w:p w14:paraId="2C397ED4">
      <w:pPr>
        <w:pStyle w:val="57"/>
        <w:rPr>
          <w:rFonts w:ascii="Times New Roman" w:hAnsi="Times New Roman"/>
        </w:rPr>
      </w:pPr>
      <w:r>
        <w:rPr>
          <w:rFonts w:ascii="Times New Roman" w:hAnsi="Times New Roman"/>
        </w:rPr>
        <w:t>表3-1</w:t>
      </w:r>
      <w:r>
        <w:rPr>
          <w:rFonts w:hint="eastAsia" w:ascii="Times New Roman" w:hAnsi="Times New Roman"/>
          <w:lang w:val="en-US" w:eastAsia="zh-CN"/>
        </w:rPr>
        <w:t>6</w:t>
      </w:r>
      <w:r>
        <w:rPr>
          <w:rFonts w:ascii="Times New Roman" w:hAnsi="Times New Roman"/>
        </w:rPr>
        <w:t>矿区土地损毁程度综合评价表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1986"/>
        <w:gridCol w:w="1664"/>
        <w:gridCol w:w="2176"/>
        <w:gridCol w:w="1795"/>
      </w:tblGrid>
      <w:tr w14:paraId="76D6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blHeader/>
          <w:jc w:val="center"/>
        </w:trPr>
        <w:tc>
          <w:tcPr>
            <w:tcW w:w="1018" w:type="pct"/>
            <w:vAlign w:val="center"/>
          </w:tcPr>
          <w:p w14:paraId="34C342D7">
            <w:pPr>
              <w:pStyle w:val="72"/>
              <w:rPr>
                <w:rFonts w:ascii="Times New Roman" w:hAnsi="Times New Roman"/>
                <w:szCs w:val="21"/>
              </w:rPr>
            </w:pPr>
            <w:r>
              <w:rPr>
                <w:rFonts w:ascii="Times New Roman" w:hAnsi="Times New Roman"/>
                <w:szCs w:val="21"/>
              </w:rPr>
              <w:t>评价单元</w:t>
            </w:r>
          </w:p>
        </w:tc>
        <w:tc>
          <w:tcPr>
            <w:tcW w:w="1037" w:type="pct"/>
            <w:vAlign w:val="center"/>
          </w:tcPr>
          <w:p w14:paraId="41E7F1F2">
            <w:pPr>
              <w:pStyle w:val="72"/>
              <w:rPr>
                <w:rFonts w:ascii="Times New Roman" w:hAnsi="Times New Roman"/>
                <w:szCs w:val="21"/>
              </w:rPr>
            </w:pPr>
            <w:r>
              <w:rPr>
                <w:rFonts w:ascii="Times New Roman" w:hAnsi="Times New Roman"/>
                <w:szCs w:val="21"/>
              </w:rPr>
              <w:t>面积</w:t>
            </w:r>
            <w:r>
              <w:rPr>
                <w:rFonts w:hint="eastAsia" w:ascii="Times New Roman" w:hAnsi="Times New Roman"/>
                <w:szCs w:val="21"/>
              </w:rPr>
              <w:t>（</w:t>
            </w:r>
            <w:r>
              <w:rPr>
                <w:rFonts w:ascii="Times New Roman" w:hAnsi="Times New Roman"/>
                <w:szCs w:val="21"/>
              </w:rPr>
              <w:t>h</w:t>
            </w:r>
            <w:r>
              <w:rPr>
                <w:rFonts w:hint="eastAsia" w:ascii="Times New Roman" w:hAnsi="Times New Roman"/>
                <w:szCs w:val="21"/>
              </w:rPr>
              <w:t>m²）</w:t>
            </w:r>
          </w:p>
        </w:tc>
        <w:tc>
          <w:tcPr>
            <w:tcW w:w="869" w:type="pct"/>
            <w:vAlign w:val="center"/>
          </w:tcPr>
          <w:p w14:paraId="7A39A175">
            <w:pPr>
              <w:pStyle w:val="72"/>
              <w:rPr>
                <w:rFonts w:ascii="Times New Roman" w:hAnsi="Times New Roman"/>
                <w:szCs w:val="21"/>
              </w:rPr>
            </w:pPr>
            <w:r>
              <w:rPr>
                <w:rFonts w:ascii="Times New Roman" w:hAnsi="Times New Roman"/>
                <w:szCs w:val="21"/>
              </w:rPr>
              <w:t>现状损毁程度</w:t>
            </w:r>
          </w:p>
        </w:tc>
        <w:tc>
          <w:tcPr>
            <w:tcW w:w="1136" w:type="pct"/>
            <w:vAlign w:val="center"/>
          </w:tcPr>
          <w:p w14:paraId="0FF40FD3">
            <w:pPr>
              <w:pStyle w:val="72"/>
              <w:rPr>
                <w:rFonts w:ascii="Times New Roman" w:hAnsi="Times New Roman"/>
                <w:szCs w:val="21"/>
              </w:rPr>
            </w:pPr>
            <w:r>
              <w:rPr>
                <w:rFonts w:ascii="Times New Roman" w:hAnsi="Times New Roman"/>
                <w:szCs w:val="21"/>
              </w:rPr>
              <w:t>预测损毁程度</w:t>
            </w:r>
          </w:p>
        </w:tc>
        <w:tc>
          <w:tcPr>
            <w:tcW w:w="937" w:type="pct"/>
            <w:vAlign w:val="center"/>
          </w:tcPr>
          <w:p w14:paraId="210FD11E">
            <w:pPr>
              <w:pStyle w:val="72"/>
              <w:rPr>
                <w:rFonts w:ascii="Times New Roman" w:hAnsi="Times New Roman"/>
                <w:szCs w:val="21"/>
              </w:rPr>
            </w:pPr>
            <w:r>
              <w:rPr>
                <w:rFonts w:ascii="Times New Roman" w:hAnsi="Times New Roman"/>
                <w:szCs w:val="21"/>
              </w:rPr>
              <w:t>评价结果</w:t>
            </w:r>
          </w:p>
        </w:tc>
      </w:tr>
      <w:tr w14:paraId="0CAC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blHeader/>
          <w:jc w:val="center"/>
        </w:trPr>
        <w:tc>
          <w:tcPr>
            <w:tcW w:w="1018" w:type="pct"/>
            <w:vAlign w:val="center"/>
          </w:tcPr>
          <w:p w14:paraId="73EEF46F">
            <w:pPr>
              <w:pStyle w:val="72"/>
              <w:rPr>
                <w:rFonts w:hint="eastAsia" w:ascii="Times New Roman" w:hAnsi="Times New Roman" w:eastAsia="仿宋"/>
                <w:szCs w:val="21"/>
                <w:lang w:val="en-US" w:eastAsia="zh-CN"/>
              </w:rPr>
            </w:pPr>
            <w:r>
              <w:rPr>
                <w:rFonts w:hint="eastAsia" w:ascii="Times New Roman" w:hAnsi="Times New Roman"/>
                <w:szCs w:val="21"/>
                <w:lang w:val="en-US" w:eastAsia="zh-CN"/>
              </w:rPr>
              <w:t>工业广场</w:t>
            </w:r>
          </w:p>
        </w:tc>
        <w:tc>
          <w:tcPr>
            <w:tcW w:w="1037" w:type="pct"/>
            <w:vAlign w:val="center"/>
          </w:tcPr>
          <w:p w14:paraId="136998F2">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0.3608</w:t>
            </w:r>
          </w:p>
        </w:tc>
        <w:tc>
          <w:tcPr>
            <w:tcW w:w="869" w:type="pct"/>
            <w:vAlign w:val="center"/>
          </w:tcPr>
          <w:p w14:paraId="26BC718B">
            <w:pPr>
              <w:pStyle w:val="72"/>
              <w:rPr>
                <w:rFonts w:ascii="Times New Roman" w:hAnsi="Times New Roman"/>
                <w:szCs w:val="21"/>
              </w:rPr>
            </w:pPr>
            <w:r>
              <w:rPr>
                <w:rFonts w:ascii="Times New Roman" w:hAnsi="Times New Roman"/>
                <w:szCs w:val="21"/>
              </w:rPr>
              <w:t>重度受损</w:t>
            </w:r>
          </w:p>
        </w:tc>
        <w:tc>
          <w:tcPr>
            <w:tcW w:w="1136" w:type="pct"/>
            <w:vAlign w:val="center"/>
          </w:tcPr>
          <w:p w14:paraId="4849ACDF">
            <w:pPr>
              <w:pStyle w:val="72"/>
              <w:rPr>
                <w:rFonts w:ascii="Times New Roman" w:hAnsi="Times New Roman"/>
                <w:szCs w:val="21"/>
              </w:rPr>
            </w:pPr>
            <w:r>
              <w:rPr>
                <w:rFonts w:ascii="Times New Roman" w:hAnsi="Times New Roman"/>
                <w:szCs w:val="21"/>
              </w:rPr>
              <w:t>重度受损</w:t>
            </w:r>
          </w:p>
        </w:tc>
        <w:tc>
          <w:tcPr>
            <w:tcW w:w="937" w:type="pct"/>
            <w:vAlign w:val="center"/>
          </w:tcPr>
          <w:p w14:paraId="0C199AC7">
            <w:pPr>
              <w:pStyle w:val="72"/>
              <w:rPr>
                <w:rFonts w:ascii="Times New Roman" w:hAnsi="Times New Roman"/>
                <w:szCs w:val="21"/>
              </w:rPr>
            </w:pPr>
            <w:r>
              <w:rPr>
                <w:rFonts w:ascii="Times New Roman" w:hAnsi="Times New Roman"/>
                <w:szCs w:val="21"/>
              </w:rPr>
              <w:t>重度</w:t>
            </w:r>
          </w:p>
        </w:tc>
      </w:tr>
      <w:tr w14:paraId="7409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blHeader/>
          <w:jc w:val="center"/>
        </w:trPr>
        <w:tc>
          <w:tcPr>
            <w:tcW w:w="1018" w:type="pct"/>
            <w:vAlign w:val="center"/>
          </w:tcPr>
          <w:p w14:paraId="22C90363">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三处废弃平硐</w:t>
            </w:r>
          </w:p>
        </w:tc>
        <w:tc>
          <w:tcPr>
            <w:tcW w:w="1037" w:type="pct"/>
            <w:vAlign w:val="center"/>
          </w:tcPr>
          <w:p w14:paraId="46DF9277">
            <w:pPr>
              <w:pStyle w:val="72"/>
              <w:rPr>
                <w:rFonts w:hint="eastAsia" w:ascii="Times New Roman" w:hAnsi="Times New Roman" w:eastAsia="仿宋"/>
                <w:szCs w:val="21"/>
                <w:lang w:val="en-US" w:eastAsia="zh-CN"/>
              </w:rPr>
            </w:pPr>
            <w:r>
              <w:rPr>
                <w:rFonts w:hint="eastAsia" w:ascii="Times New Roman" w:hAnsi="Times New Roman"/>
                <w:szCs w:val="21"/>
                <w:lang w:val="en-US" w:eastAsia="zh-CN"/>
              </w:rPr>
              <w:t>0</w:t>
            </w:r>
          </w:p>
        </w:tc>
        <w:tc>
          <w:tcPr>
            <w:tcW w:w="869" w:type="pct"/>
            <w:shd w:val="clear" w:color="auto" w:fill="auto"/>
            <w:vAlign w:val="center"/>
          </w:tcPr>
          <w:p w14:paraId="2B0102DA">
            <w:pPr>
              <w:pStyle w:val="72"/>
              <w:rPr>
                <w:rFonts w:ascii="Times New Roman" w:hAnsi="Times New Roman"/>
                <w:szCs w:val="21"/>
                <w:lang w:val="en-US" w:eastAsia="zh-CN"/>
              </w:rPr>
            </w:pPr>
            <w:r>
              <w:rPr>
                <w:rFonts w:ascii="Times New Roman" w:hAnsi="Times New Roman"/>
                <w:szCs w:val="21"/>
              </w:rPr>
              <w:t>重度受损</w:t>
            </w:r>
          </w:p>
        </w:tc>
        <w:tc>
          <w:tcPr>
            <w:tcW w:w="1136" w:type="pct"/>
            <w:vAlign w:val="center"/>
          </w:tcPr>
          <w:p w14:paraId="095E298A">
            <w:pPr>
              <w:pStyle w:val="72"/>
              <w:rPr>
                <w:rFonts w:ascii="Times New Roman" w:hAnsi="Times New Roman"/>
                <w:szCs w:val="21"/>
              </w:rPr>
            </w:pPr>
            <w:r>
              <w:rPr>
                <w:rFonts w:ascii="Times New Roman" w:hAnsi="Times New Roman"/>
                <w:szCs w:val="21"/>
              </w:rPr>
              <w:t>重度受损</w:t>
            </w:r>
          </w:p>
        </w:tc>
        <w:tc>
          <w:tcPr>
            <w:tcW w:w="937" w:type="pct"/>
            <w:vAlign w:val="center"/>
          </w:tcPr>
          <w:p w14:paraId="1B524E15">
            <w:pPr>
              <w:pStyle w:val="72"/>
              <w:rPr>
                <w:rFonts w:ascii="Times New Roman" w:hAnsi="Times New Roman"/>
                <w:szCs w:val="21"/>
              </w:rPr>
            </w:pPr>
            <w:r>
              <w:rPr>
                <w:rFonts w:ascii="Times New Roman" w:hAnsi="Times New Roman"/>
                <w:szCs w:val="21"/>
              </w:rPr>
              <w:t>重度</w:t>
            </w:r>
          </w:p>
        </w:tc>
      </w:tr>
      <w:tr w14:paraId="672B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blHeader/>
          <w:jc w:val="center"/>
        </w:trPr>
        <w:tc>
          <w:tcPr>
            <w:tcW w:w="1018" w:type="pct"/>
            <w:vAlign w:val="center"/>
          </w:tcPr>
          <w:p w14:paraId="6ED0EFE3">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490m工业广场</w:t>
            </w:r>
          </w:p>
        </w:tc>
        <w:tc>
          <w:tcPr>
            <w:tcW w:w="1037" w:type="pct"/>
            <w:vAlign w:val="center"/>
          </w:tcPr>
          <w:p w14:paraId="5BCE4645">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0.69</w:t>
            </w:r>
          </w:p>
        </w:tc>
        <w:tc>
          <w:tcPr>
            <w:tcW w:w="869" w:type="pct"/>
            <w:vAlign w:val="center"/>
          </w:tcPr>
          <w:p w14:paraId="1EE62B99">
            <w:pPr>
              <w:pStyle w:val="72"/>
              <w:rPr>
                <w:rFonts w:ascii="Times New Roman" w:hAnsi="Times New Roman"/>
                <w:szCs w:val="21"/>
              </w:rPr>
            </w:pPr>
            <w:r>
              <w:rPr>
                <w:rFonts w:ascii="Times New Roman" w:hAnsi="Times New Roman"/>
                <w:szCs w:val="21"/>
              </w:rPr>
              <w:t>未受损</w:t>
            </w:r>
          </w:p>
        </w:tc>
        <w:tc>
          <w:tcPr>
            <w:tcW w:w="1136" w:type="pct"/>
            <w:vAlign w:val="center"/>
          </w:tcPr>
          <w:p w14:paraId="5ADB7EC0">
            <w:pPr>
              <w:pStyle w:val="72"/>
              <w:rPr>
                <w:rFonts w:ascii="Times New Roman" w:hAnsi="Times New Roman"/>
                <w:szCs w:val="21"/>
              </w:rPr>
            </w:pPr>
            <w:r>
              <w:rPr>
                <w:rFonts w:ascii="Times New Roman" w:hAnsi="Times New Roman"/>
                <w:szCs w:val="21"/>
              </w:rPr>
              <w:t>重度受损</w:t>
            </w:r>
          </w:p>
        </w:tc>
        <w:tc>
          <w:tcPr>
            <w:tcW w:w="937" w:type="pct"/>
            <w:vAlign w:val="center"/>
          </w:tcPr>
          <w:p w14:paraId="75A1C964">
            <w:pPr>
              <w:pStyle w:val="72"/>
              <w:rPr>
                <w:rFonts w:ascii="Times New Roman" w:hAnsi="Times New Roman"/>
                <w:szCs w:val="21"/>
              </w:rPr>
            </w:pPr>
            <w:r>
              <w:rPr>
                <w:rFonts w:ascii="Times New Roman" w:hAnsi="Times New Roman"/>
                <w:szCs w:val="21"/>
              </w:rPr>
              <w:t>重度</w:t>
            </w:r>
          </w:p>
        </w:tc>
      </w:tr>
      <w:tr w14:paraId="37FD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018" w:type="pct"/>
            <w:vAlign w:val="center"/>
          </w:tcPr>
          <w:p w14:paraId="1460DF4B">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520m工业广场</w:t>
            </w:r>
          </w:p>
        </w:tc>
        <w:tc>
          <w:tcPr>
            <w:tcW w:w="1037" w:type="pct"/>
            <w:vAlign w:val="center"/>
          </w:tcPr>
          <w:p w14:paraId="6362FDC3">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0.3</w:t>
            </w:r>
          </w:p>
        </w:tc>
        <w:tc>
          <w:tcPr>
            <w:tcW w:w="869" w:type="pct"/>
            <w:vAlign w:val="center"/>
          </w:tcPr>
          <w:p w14:paraId="67AE008C">
            <w:pPr>
              <w:pStyle w:val="72"/>
              <w:rPr>
                <w:rFonts w:ascii="Times New Roman" w:hAnsi="Times New Roman"/>
                <w:szCs w:val="21"/>
              </w:rPr>
            </w:pPr>
            <w:r>
              <w:rPr>
                <w:rFonts w:ascii="Times New Roman" w:hAnsi="Times New Roman"/>
                <w:szCs w:val="21"/>
              </w:rPr>
              <w:t>未受损</w:t>
            </w:r>
          </w:p>
        </w:tc>
        <w:tc>
          <w:tcPr>
            <w:tcW w:w="1136" w:type="pct"/>
            <w:vAlign w:val="center"/>
          </w:tcPr>
          <w:p w14:paraId="1957EB7B">
            <w:pPr>
              <w:pStyle w:val="72"/>
              <w:rPr>
                <w:rFonts w:ascii="Times New Roman" w:hAnsi="Times New Roman"/>
                <w:szCs w:val="21"/>
              </w:rPr>
            </w:pPr>
            <w:r>
              <w:rPr>
                <w:rFonts w:ascii="Times New Roman" w:hAnsi="Times New Roman"/>
                <w:szCs w:val="21"/>
              </w:rPr>
              <w:t>重度受损</w:t>
            </w:r>
          </w:p>
        </w:tc>
        <w:tc>
          <w:tcPr>
            <w:tcW w:w="937" w:type="pct"/>
          </w:tcPr>
          <w:p w14:paraId="5CF18162">
            <w:pPr>
              <w:pStyle w:val="72"/>
              <w:rPr>
                <w:rFonts w:ascii="Times New Roman" w:hAnsi="Times New Roman"/>
                <w:szCs w:val="21"/>
              </w:rPr>
            </w:pPr>
            <w:r>
              <w:rPr>
                <w:rFonts w:ascii="Times New Roman" w:hAnsi="Times New Roman"/>
                <w:szCs w:val="21"/>
              </w:rPr>
              <w:t>重度</w:t>
            </w:r>
          </w:p>
        </w:tc>
      </w:tr>
      <w:tr w14:paraId="074A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018" w:type="pct"/>
            <w:vAlign w:val="center"/>
          </w:tcPr>
          <w:p w14:paraId="113878BE">
            <w:pPr>
              <w:pStyle w:val="72"/>
              <w:rPr>
                <w:rFonts w:hint="default" w:ascii="Times New Roman" w:hAnsi="Times New Roman" w:eastAsia="仿宋"/>
                <w:szCs w:val="21"/>
                <w:lang w:val="en-US" w:eastAsia="zh-CN"/>
              </w:rPr>
            </w:pPr>
            <w:r>
              <w:rPr>
                <w:rFonts w:hint="eastAsia" w:ascii="Times New Roman" w:hAnsi="Times New Roman"/>
                <w:szCs w:val="21"/>
                <w:lang w:val="en-US" w:eastAsia="zh-CN"/>
              </w:rPr>
              <w:t>548m工业广场</w:t>
            </w:r>
          </w:p>
        </w:tc>
        <w:tc>
          <w:tcPr>
            <w:tcW w:w="1037" w:type="pct"/>
            <w:vAlign w:val="center"/>
          </w:tcPr>
          <w:p w14:paraId="3E7CBA02">
            <w:pPr>
              <w:pStyle w:val="72"/>
              <w:rPr>
                <w:rFonts w:hint="eastAsia" w:ascii="Times New Roman" w:hAnsi="Times New Roman" w:eastAsia="仿宋"/>
                <w:szCs w:val="21"/>
                <w:lang w:eastAsia="zh-CN"/>
              </w:rPr>
            </w:pPr>
            <w:r>
              <w:rPr>
                <w:rFonts w:hint="eastAsia" w:ascii="Times New Roman" w:hAnsi="Times New Roman"/>
                <w:szCs w:val="21"/>
                <w:lang w:eastAsia="zh-CN"/>
              </w:rPr>
              <w:t>0.178</w:t>
            </w:r>
          </w:p>
        </w:tc>
        <w:tc>
          <w:tcPr>
            <w:tcW w:w="869" w:type="pct"/>
          </w:tcPr>
          <w:p w14:paraId="51F8C647">
            <w:pPr>
              <w:pStyle w:val="72"/>
              <w:rPr>
                <w:rFonts w:ascii="Times New Roman" w:hAnsi="Times New Roman"/>
                <w:szCs w:val="21"/>
              </w:rPr>
            </w:pPr>
            <w:r>
              <w:rPr>
                <w:rFonts w:ascii="Times New Roman" w:hAnsi="Times New Roman"/>
                <w:szCs w:val="21"/>
              </w:rPr>
              <w:t>未受损</w:t>
            </w:r>
          </w:p>
        </w:tc>
        <w:tc>
          <w:tcPr>
            <w:tcW w:w="1136" w:type="pct"/>
          </w:tcPr>
          <w:p w14:paraId="4FDB6CAE">
            <w:pPr>
              <w:pStyle w:val="72"/>
              <w:rPr>
                <w:rFonts w:ascii="Times New Roman" w:hAnsi="Times New Roman"/>
                <w:szCs w:val="21"/>
              </w:rPr>
            </w:pPr>
            <w:r>
              <w:rPr>
                <w:rFonts w:ascii="Times New Roman" w:hAnsi="Times New Roman"/>
                <w:szCs w:val="21"/>
              </w:rPr>
              <w:t>重度受损</w:t>
            </w:r>
          </w:p>
        </w:tc>
        <w:tc>
          <w:tcPr>
            <w:tcW w:w="937" w:type="pct"/>
          </w:tcPr>
          <w:p w14:paraId="2FE535B7">
            <w:pPr>
              <w:pStyle w:val="72"/>
              <w:rPr>
                <w:rFonts w:ascii="Times New Roman" w:hAnsi="Times New Roman"/>
                <w:szCs w:val="21"/>
              </w:rPr>
            </w:pPr>
            <w:r>
              <w:rPr>
                <w:rFonts w:ascii="Times New Roman" w:hAnsi="Times New Roman"/>
                <w:szCs w:val="21"/>
              </w:rPr>
              <w:t>重度</w:t>
            </w:r>
          </w:p>
        </w:tc>
      </w:tr>
      <w:tr w14:paraId="2F14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018" w:type="pct"/>
            <w:vAlign w:val="center"/>
          </w:tcPr>
          <w:p w14:paraId="4E568752">
            <w:pPr>
              <w:pStyle w:val="72"/>
              <w:rPr>
                <w:rFonts w:hint="eastAsia" w:ascii="Times New Roman" w:hAnsi="Times New Roman" w:eastAsia="仿宋"/>
                <w:szCs w:val="21"/>
                <w:lang w:eastAsia="zh-CN"/>
              </w:rPr>
            </w:pPr>
            <w:r>
              <w:rPr>
                <w:rFonts w:hint="eastAsia" w:ascii="Times New Roman" w:hAnsi="Times New Roman"/>
                <w:szCs w:val="21"/>
                <w:lang w:eastAsia="zh-CN"/>
              </w:rPr>
              <w:t>地裂缝</w:t>
            </w:r>
          </w:p>
        </w:tc>
        <w:tc>
          <w:tcPr>
            <w:tcW w:w="1037" w:type="pct"/>
            <w:vAlign w:val="center"/>
          </w:tcPr>
          <w:p w14:paraId="689237B1">
            <w:pPr>
              <w:pStyle w:val="72"/>
              <w:rPr>
                <w:rFonts w:hint="eastAsia" w:ascii="Times New Roman" w:hAnsi="Times New Roman" w:eastAsia="仿宋"/>
                <w:szCs w:val="21"/>
                <w:lang w:eastAsia="zh-CN"/>
              </w:rPr>
            </w:pPr>
            <w:r>
              <w:rPr>
                <w:rFonts w:hint="eastAsia" w:ascii="Times New Roman" w:hAnsi="Times New Roman"/>
                <w:szCs w:val="21"/>
                <w:lang w:val="en-US" w:eastAsia="zh-CN"/>
              </w:rPr>
              <w:t>0</w:t>
            </w:r>
          </w:p>
        </w:tc>
        <w:tc>
          <w:tcPr>
            <w:tcW w:w="869" w:type="pct"/>
          </w:tcPr>
          <w:p w14:paraId="4C6F7883">
            <w:pPr>
              <w:pStyle w:val="72"/>
              <w:rPr>
                <w:rFonts w:ascii="Times New Roman" w:hAnsi="Times New Roman"/>
                <w:szCs w:val="21"/>
              </w:rPr>
            </w:pPr>
            <w:r>
              <w:rPr>
                <w:rFonts w:ascii="Times New Roman" w:hAnsi="Times New Roman"/>
                <w:szCs w:val="21"/>
              </w:rPr>
              <w:t>未受损</w:t>
            </w:r>
          </w:p>
        </w:tc>
        <w:tc>
          <w:tcPr>
            <w:tcW w:w="1136" w:type="pct"/>
          </w:tcPr>
          <w:p w14:paraId="6B6F130D">
            <w:pPr>
              <w:pStyle w:val="72"/>
              <w:rPr>
                <w:rFonts w:ascii="Times New Roman" w:hAnsi="Times New Roman"/>
                <w:szCs w:val="21"/>
              </w:rPr>
            </w:pPr>
            <w:r>
              <w:rPr>
                <w:rFonts w:hint="eastAsia" w:ascii="Times New Roman" w:hAnsi="Times New Roman"/>
                <w:szCs w:val="21"/>
              </w:rPr>
              <w:t>中</w:t>
            </w:r>
            <w:r>
              <w:rPr>
                <w:rFonts w:ascii="Times New Roman" w:hAnsi="Times New Roman"/>
                <w:szCs w:val="21"/>
              </w:rPr>
              <w:t>度受损</w:t>
            </w:r>
          </w:p>
        </w:tc>
        <w:tc>
          <w:tcPr>
            <w:tcW w:w="937" w:type="pct"/>
          </w:tcPr>
          <w:p w14:paraId="1F3AD548">
            <w:pPr>
              <w:pStyle w:val="72"/>
              <w:rPr>
                <w:rFonts w:ascii="Times New Roman" w:hAnsi="Times New Roman"/>
                <w:szCs w:val="21"/>
              </w:rPr>
            </w:pPr>
            <w:r>
              <w:rPr>
                <w:rFonts w:hint="eastAsia" w:ascii="Times New Roman" w:hAnsi="Times New Roman"/>
                <w:szCs w:val="21"/>
              </w:rPr>
              <w:t>中</w:t>
            </w:r>
            <w:r>
              <w:rPr>
                <w:rFonts w:ascii="Times New Roman" w:hAnsi="Times New Roman"/>
                <w:szCs w:val="21"/>
              </w:rPr>
              <w:t>度</w:t>
            </w:r>
          </w:p>
        </w:tc>
      </w:tr>
    </w:tbl>
    <w:p w14:paraId="55AB0140">
      <w:pPr>
        <w:pStyle w:val="15"/>
        <w:ind w:firstLine="560"/>
      </w:pPr>
      <w:r>
        <w:t>3.生态受损与退化</w:t>
      </w:r>
    </w:p>
    <w:p w14:paraId="1C5BC806">
      <w:pPr>
        <w:ind w:firstLine="560"/>
        <w:rPr>
          <w:szCs w:val="28"/>
        </w:rPr>
      </w:pPr>
      <w:r>
        <w:rPr>
          <w:szCs w:val="28"/>
        </w:rPr>
        <w:t>（1）核心影响区</w:t>
      </w:r>
    </w:p>
    <w:p w14:paraId="08154482">
      <w:pPr>
        <w:ind w:firstLine="560"/>
        <w:rPr>
          <w:szCs w:val="28"/>
        </w:rPr>
      </w:pPr>
      <w:r>
        <w:rPr>
          <w:szCs w:val="28"/>
        </w:rPr>
        <w:t>矿山生态受损与退化的核心影响区体现在</w:t>
      </w:r>
      <w:r>
        <w:rPr>
          <w:rFonts w:hint="eastAsia"/>
          <w:lang w:val="en-US" w:eastAsia="zh-CN"/>
        </w:rPr>
        <w:t>工业广场、原来三处废弃平硐、490m平硐工业广场、520m平硐工业广场、548m平硐工业广场和地裂缝</w:t>
      </w:r>
      <w:r>
        <w:rPr>
          <w:szCs w:val="28"/>
        </w:rPr>
        <w:t>面积</w:t>
      </w:r>
      <w:r>
        <w:rPr>
          <w:rFonts w:hint="eastAsia"/>
          <w:szCs w:val="28"/>
          <w:lang w:eastAsia="zh-CN"/>
        </w:rPr>
        <w:t>1.5288</w:t>
      </w:r>
      <w:r>
        <w:rPr>
          <w:szCs w:val="28"/>
        </w:rPr>
        <w:t>h</w:t>
      </w:r>
      <w:r>
        <w:rPr>
          <w:rFonts w:hint="eastAsia"/>
          <w:szCs w:val="28"/>
        </w:rPr>
        <w:t>m²</w:t>
      </w:r>
      <w:r>
        <w:rPr>
          <w:szCs w:val="28"/>
        </w:rPr>
        <w:t>，其影响主要体现在原生植被大量消失，植物种类减少，动物栖息地破坏，该区生态系统受损为严重，面积为</w:t>
      </w:r>
      <w:r>
        <w:rPr>
          <w:rFonts w:hint="eastAsia"/>
          <w:szCs w:val="28"/>
          <w:lang w:val="en-US" w:eastAsia="zh-CN"/>
        </w:rPr>
        <w:t>1.5288</w:t>
      </w:r>
      <w:r>
        <w:rPr>
          <w:szCs w:val="28"/>
        </w:rPr>
        <w:t>h</w:t>
      </w:r>
      <w:r>
        <w:rPr>
          <w:rFonts w:hint="eastAsia"/>
          <w:szCs w:val="28"/>
        </w:rPr>
        <w:t>m²</w:t>
      </w:r>
      <w:r>
        <w:rPr>
          <w:szCs w:val="28"/>
        </w:rPr>
        <w:t>。</w:t>
      </w:r>
    </w:p>
    <w:p w14:paraId="32F1D6CA">
      <w:pPr>
        <w:ind w:firstLine="560"/>
        <w:rPr>
          <w:szCs w:val="28"/>
        </w:rPr>
      </w:pPr>
      <w:r>
        <w:rPr>
          <w:szCs w:val="28"/>
        </w:rPr>
        <w:t>（2）影响缓冲区</w:t>
      </w:r>
    </w:p>
    <w:p w14:paraId="02C9D9A1">
      <w:pPr>
        <w:ind w:firstLine="560"/>
      </w:pPr>
      <w:r>
        <w:t>矿山生态受损与退化的影响缓冲区主要为</w:t>
      </w:r>
      <w:r>
        <w:rPr>
          <w:rFonts w:hint="eastAsia"/>
        </w:rPr>
        <w:t>核心影响区外扩</w:t>
      </w:r>
      <w:r>
        <w:rPr>
          <w:rFonts w:hint="eastAsia"/>
          <w:lang w:val="en-US" w:eastAsia="zh-CN"/>
        </w:rPr>
        <w:t>2</w:t>
      </w:r>
      <w:r>
        <w:rPr>
          <w:rFonts w:hint="eastAsia"/>
        </w:rPr>
        <w:t>00m</w:t>
      </w:r>
      <w:r>
        <w:t>，该区采矿期间土地、植被不会遭受直接破坏，对该区域的影响主要体现在</w:t>
      </w:r>
      <w:r>
        <w:rPr>
          <w:rFonts w:hint="eastAsia"/>
        </w:rPr>
        <w:t>扬尘</w:t>
      </w:r>
      <w:r>
        <w:t>可能导致植被退化、土壤质量下降等，机械使用所产生的噪声可使生态系统受到间接影响，该区域生态系统受损较轻。</w:t>
      </w:r>
    </w:p>
    <w:p w14:paraId="14AEAB97">
      <w:pPr>
        <w:ind w:firstLine="560"/>
      </w:pPr>
      <w:r>
        <w:t>（3）外围影响区</w:t>
      </w:r>
    </w:p>
    <w:p w14:paraId="0BF978E2">
      <w:pPr>
        <w:ind w:firstLine="560"/>
      </w:pPr>
      <w:r>
        <w:t>距离</w:t>
      </w:r>
      <w:r>
        <w:rPr>
          <w:rFonts w:hint="eastAsia"/>
          <w:lang w:val="en-US" w:eastAsia="zh-CN"/>
        </w:rPr>
        <w:t>工业广场、原来三处废弃平硐、490m平硐工业广场、520m平硐工业广场、548m平硐工业广场和地裂缝</w:t>
      </w:r>
      <w:r>
        <w:t>矿区较远的区域，矿山开采对生态环境无影响。</w:t>
      </w:r>
    </w:p>
    <w:p w14:paraId="7C9F22FB">
      <w:pPr>
        <w:ind w:firstLine="560"/>
      </w:pPr>
      <w:r>
        <w:t>4.问题诊断综合评价结论</w:t>
      </w:r>
    </w:p>
    <w:p w14:paraId="000DEFD3">
      <w:pPr>
        <w:ind w:firstLine="560"/>
      </w:pPr>
      <w:r>
        <w:t>将</w:t>
      </w:r>
      <w:r>
        <w:rPr>
          <w:rFonts w:hint="eastAsia"/>
          <w:lang w:val="en-US" w:eastAsia="zh-CN"/>
        </w:rPr>
        <w:t>工业广场、原来三处废弃</w:t>
      </w:r>
      <w:r>
        <w:rPr>
          <w:rFonts w:hint="eastAsia"/>
          <w:szCs w:val="28"/>
          <w:lang w:val="en-US" w:eastAsia="zh-CN"/>
        </w:rPr>
        <w:t>平硐</w:t>
      </w:r>
      <w:r>
        <w:rPr>
          <w:rFonts w:hint="eastAsia"/>
          <w:lang w:val="en-US" w:eastAsia="zh-CN"/>
        </w:rPr>
        <w:t>、490m平硐工业广场、520m平硐工业广场、548m平硐工业广场</w:t>
      </w:r>
      <w:r>
        <w:t>划分为受损区块</w:t>
      </w:r>
      <w:r>
        <w:rPr>
          <w:rFonts w:hint="eastAsia"/>
          <w:lang w:val="en-US" w:eastAsia="zh-CN"/>
        </w:rPr>
        <w:t>1</w:t>
      </w:r>
      <w:r>
        <w:t>面积</w:t>
      </w:r>
      <w:r>
        <w:rPr>
          <w:rFonts w:hint="eastAsia"/>
          <w:lang w:val="en-US" w:eastAsia="zh-CN"/>
        </w:rPr>
        <w:t>1.5288</w:t>
      </w:r>
      <w:r>
        <w:t>hm²，该区矿山地质环境问题严重，土地资源重度损毁，生态损毁与退化严重，损毁程度综合评价结果为重度。</w:t>
      </w:r>
    </w:p>
    <w:p w14:paraId="31B60FDA">
      <w:pPr>
        <w:ind w:firstLine="560"/>
      </w:pPr>
      <w:r>
        <w:t>将</w:t>
      </w:r>
      <w:r>
        <w:rPr>
          <w:rFonts w:hint="eastAsia"/>
          <w:lang w:eastAsia="zh-CN"/>
        </w:rPr>
        <w:t>地裂缝</w:t>
      </w:r>
      <w:r>
        <w:t>划分为受损区块2，</w:t>
      </w:r>
      <w:r>
        <w:rPr>
          <w:rFonts w:hint="eastAsia"/>
          <w:lang w:val="en-US" w:eastAsia="zh-CN"/>
        </w:rPr>
        <w:t>长度900</w:t>
      </w:r>
      <w:r>
        <w:t>m，该区矿山地质环境问题</w:t>
      </w:r>
      <w:r>
        <w:rPr>
          <w:rFonts w:hint="eastAsia"/>
        </w:rPr>
        <w:t>较</w:t>
      </w:r>
      <w:r>
        <w:t>严重，土地资源</w:t>
      </w:r>
      <w:r>
        <w:rPr>
          <w:rFonts w:hint="eastAsia"/>
        </w:rPr>
        <w:t>中</w:t>
      </w:r>
      <w:r>
        <w:t>度损毁，生态损毁与退化</w:t>
      </w:r>
      <w:r>
        <w:rPr>
          <w:rFonts w:hint="eastAsia"/>
        </w:rPr>
        <w:t>较</w:t>
      </w:r>
      <w:r>
        <w:t>严重，损毁程度综合评价结果为</w:t>
      </w:r>
      <w:r>
        <w:rPr>
          <w:rFonts w:hint="eastAsia"/>
        </w:rPr>
        <w:t>中</w:t>
      </w:r>
      <w:r>
        <w:t>度。</w:t>
      </w:r>
    </w:p>
    <w:p w14:paraId="59C2A579">
      <w:pPr>
        <w:pStyle w:val="57"/>
        <w:rPr>
          <w:rFonts w:ascii="Times New Roman" w:hAnsi="Times New Roman"/>
        </w:rPr>
      </w:pPr>
      <w:r>
        <w:rPr>
          <w:rFonts w:ascii="Times New Roman" w:hAnsi="Times New Roman"/>
        </w:rPr>
        <w:t>表3-</w:t>
      </w:r>
      <w:bookmarkStart w:id="112" w:name="_Hlk219059030"/>
      <w:r>
        <w:rPr>
          <w:rFonts w:hint="eastAsia" w:ascii="Times New Roman" w:hAnsi="Times New Roman"/>
          <w:lang w:val="en-US" w:eastAsia="zh-CN"/>
        </w:rPr>
        <w:t>17</w:t>
      </w:r>
      <w:r>
        <w:rPr>
          <w:rFonts w:ascii="Times New Roman" w:hAnsi="Times New Roman"/>
        </w:rPr>
        <w:t>矿区损毁程度综合评价表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2020"/>
        <w:gridCol w:w="1455"/>
        <w:gridCol w:w="1162"/>
        <w:gridCol w:w="1711"/>
        <w:gridCol w:w="2158"/>
      </w:tblGrid>
      <w:tr w14:paraId="3026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56" w:type="pct"/>
            <w:vMerge w:val="restart"/>
            <w:vAlign w:val="center"/>
          </w:tcPr>
          <w:p w14:paraId="1B52EC20">
            <w:pPr>
              <w:pStyle w:val="72"/>
              <w:rPr>
                <w:rFonts w:ascii="Times New Roman" w:hAnsi="Times New Roman"/>
              </w:rPr>
            </w:pPr>
            <w:r>
              <w:rPr>
                <w:rFonts w:ascii="Times New Roman" w:hAnsi="Times New Roman"/>
              </w:rPr>
              <w:t>序号</w:t>
            </w:r>
          </w:p>
        </w:tc>
        <w:tc>
          <w:tcPr>
            <w:tcW w:w="1055" w:type="pct"/>
            <w:vMerge w:val="restart"/>
            <w:vAlign w:val="center"/>
          </w:tcPr>
          <w:p w14:paraId="573940F2">
            <w:pPr>
              <w:pStyle w:val="72"/>
              <w:rPr>
                <w:rFonts w:ascii="Times New Roman" w:hAnsi="Times New Roman"/>
              </w:rPr>
            </w:pPr>
            <w:r>
              <w:rPr>
                <w:rFonts w:ascii="Times New Roman" w:hAnsi="Times New Roman"/>
              </w:rPr>
              <w:t>问题类型</w:t>
            </w:r>
          </w:p>
        </w:tc>
        <w:tc>
          <w:tcPr>
            <w:tcW w:w="2261" w:type="pct"/>
            <w:gridSpan w:val="3"/>
            <w:vAlign w:val="center"/>
          </w:tcPr>
          <w:p w14:paraId="4A7D5C08">
            <w:pPr>
              <w:pStyle w:val="72"/>
              <w:rPr>
                <w:rFonts w:ascii="Times New Roman" w:hAnsi="Times New Roman"/>
              </w:rPr>
            </w:pPr>
            <w:r>
              <w:rPr>
                <w:rFonts w:ascii="Times New Roman" w:hAnsi="Times New Roman"/>
              </w:rPr>
              <w:t>现状及预测受损状况</w:t>
            </w:r>
          </w:p>
        </w:tc>
        <w:tc>
          <w:tcPr>
            <w:tcW w:w="1127" w:type="pct"/>
            <w:vMerge w:val="restart"/>
            <w:vAlign w:val="center"/>
          </w:tcPr>
          <w:p w14:paraId="464069C2">
            <w:pPr>
              <w:pStyle w:val="72"/>
              <w:rPr>
                <w:rFonts w:ascii="Times New Roman" w:hAnsi="Times New Roman"/>
              </w:rPr>
            </w:pPr>
            <w:r>
              <w:rPr>
                <w:rFonts w:ascii="Times New Roman" w:hAnsi="Times New Roman"/>
              </w:rPr>
              <w:t>综合评价结果</w:t>
            </w:r>
          </w:p>
        </w:tc>
      </w:tr>
      <w:tr w14:paraId="1897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56" w:type="pct"/>
            <w:vMerge w:val="continue"/>
            <w:vAlign w:val="center"/>
          </w:tcPr>
          <w:p w14:paraId="4216A3B5">
            <w:pPr>
              <w:pStyle w:val="72"/>
              <w:rPr>
                <w:rFonts w:ascii="Times New Roman" w:hAnsi="Times New Roman"/>
              </w:rPr>
            </w:pPr>
          </w:p>
        </w:tc>
        <w:tc>
          <w:tcPr>
            <w:tcW w:w="1055" w:type="pct"/>
            <w:vMerge w:val="continue"/>
            <w:vAlign w:val="center"/>
          </w:tcPr>
          <w:p w14:paraId="799326C6">
            <w:pPr>
              <w:pStyle w:val="72"/>
              <w:rPr>
                <w:rFonts w:ascii="Times New Roman" w:hAnsi="Times New Roman"/>
              </w:rPr>
            </w:pPr>
          </w:p>
        </w:tc>
        <w:tc>
          <w:tcPr>
            <w:tcW w:w="760" w:type="pct"/>
            <w:vAlign w:val="center"/>
          </w:tcPr>
          <w:p w14:paraId="1D4379D6">
            <w:pPr>
              <w:pStyle w:val="72"/>
              <w:rPr>
                <w:rFonts w:ascii="Times New Roman" w:hAnsi="Times New Roman"/>
              </w:rPr>
            </w:pPr>
            <w:r>
              <w:rPr>
                <w:rFonts w:hint="eastAsia" w:ascii="Times New Roman" w:hAnsi="Times New Roman"/>
              </w:rPr>
              <w:t>位置</w:t>
            </w:r>
          </w:p>
        </w:tc>
        <w:tc>
          <w:tcPr>
            <w:tcW w:w="607" w:type="pct"/>
            <w:vAlign w:val="center"/>
          </w:tcPr>
          <w:p w14:paraId="40A5BC9E">
            <w:pPr>
              <w:pStyle w:val="72"/>
              <w:rPr>
                <w:rFonts w:hint="default" w:ascii="Times New Roman" w:hAnsi="Times New Roman" w:eastAsia="仿宋"/>
                <w:lang w:val="en-US" w:eastAsia="zh-CN"/>
              </w:rPr>
            </w:pPr>
            <w:r>
              <w:rPr>
                <w:rFonts w:ascii="Times New Roman" w:hAnsi="Times New Roman"/>
              </w:rPr>
              <w:t>面积</w:t>
            </w:r>
            <w:r>
              <w:rPr>
                <w:rFonts w:hint="eastAsia"/>
                <w:lang w:val="en-US" w:eastAsia="zh-CN"/>
              </w:rPr>
              <w:t>/长度</w:t>
            </w:r>
          </w:p>
        </w:tc>
        <w:tc>
          <w:tcPr>
            <w:tcW w:w="894" w:type="pct"/>
            <w:vAlign w:val="center"/>
          </w:tcPr>
          <w:p w14:paraId="3141C3E1">
            <w:pPr>
              <w:pStyle w:val="72"/>
              <w:rPr>
                <w:rFonts w:ascii="Times New Roman" w:hAnsi="Times New Roman"/>
              </w:rPr>
            </w:pPr>
            <w:r>
              <w:rPr>
                <w:rFonts w:ascii="Times New Roman" w:hAnsi="Times New Roman"/>
              </w:rPr>
              <w:t>损毁程度</w:t>
            </w:r>
          </w:p>
        </w:tc>
        <w:tc>
          <w:tcPr>
            <w:tcW w:w="1127" w:type="pct"/>
            <w:vMerge w:val="continue"/>
            <w:vAlign w:val="center"/>
          </w:tcPr>
          <w:p w14:paraId="43045758">
            <w:pPr>
              <w:pStyle w:val="72"/>
              <w:rPr>
                <w:rFonts w:ascii="Times New Roman" w:hAnsi="Times New Roman"/>
              </w:rPr>
            </w:pPr>
          </w:p>
        </w:tc>
      </w:tr>
      <w:tr w14:paraId="300A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Merge w:val="restart"/>
            <w:vAlign w:val="center"/>
          </w:tcPr>
          <w:p w14:paraId="0CA8CA3A">
            <w:pPr>
              <w:pStyle w:val="72"/>
              <w:rPr>
                <w:rFonts w:ascii="Times New Roman" w:hAnsi="Times New Roman"/>
              </w:rPr>
            </w:pPr>
            <w:r>
              <w:rPr>
                <w:rFonts w:ascii="Times New Roman" w:hAnsi="Times New Roman"/>
              </w:rPr>
              <w:t>受损区块1</w:t>
            </w:r>
          </w:p>
        </w:tc>
        <w:tc>
          <w:tcPr>
            <w:tcW w:w="1055" w:type="pct"/>
            <w:vAlign w:val="center"/>
          </w:tcPr>
          <w:p w14:paraId="4262D7DB">
            <w:pPr>
              <w:pStyle w:val="72"/>
              <w:rPr>
                <w:rFonts w:ascii="Times New Roman" w:hAnsi="Times New Roman"/>
              </w:rPr>
            </w:pPr>
            <w:r>
              <w:rPr>
                <w:rFonts w:ascii="Times New Roman" w:hAnsi="Times New Roman"/>
              </w:rPr>
              <w:t>矿山地质环境问题</w:t>
            </w:r>
          </w:p>
        </w:tc>
        <w:tc>
          <w:tcPr>
            <w:tcW w:w="760" w:type="pct"/>
            <w:vMerge w:val="restart"/>
            <w:vAlign w:val="center"/>
          </w:tcPr>
          <w:p w14:paraId="64FFBCA8">
            <w:pPr>
              <w:pStyle w:val="72"/>
              <w:rPr>
                <w:rFonts w:ascii="Times New Roman" w:hAnsi="Times New Roman"/>
              </w:rPr>
            </w:pPr>
            <w:r>
              <w:rPr>
                <w:rFonts w:hint="eastAsia"/>
                <w:lang w:val="en-US" w:eastAsia="zh-CN"/>
              </w:rPr>
              <w:t>工业广场、原来三处废弃平硐、490m平硐工业广场、520m平硐工业广场、548m平硐工业广场</w:t>
            </w:r>
          </w:p>
        </w:tc>
        <w:tc>
          <w:tcPr>
            <w:tcW w:w="607" w:type="pct"/>
            <w:vMerge w:val="restart"/>
            <w:vAlign w:val="center"/>
          </w:tcPr>
          <w:p w14:paraId="41F5598A">
            <w:pPr>
              <w:pStyle w:val="72"/>
              <w:rPr>
                <w:rFonts w:hint="default" w:ascii="Times New Roman" w:hAnsi="Times New Roman" w:eastAsia="仿宋"/>
                <w:lang w:val="en-US" w:eastAsia="zh-CN"/>
              </w:rPr>
            </w:pPr>
            <w:r>
              <w:rPr>
                <w:rFonts w:hint="eastAsia" w:ascii="Times New Roman" w:hAnsi="Times New Roman"/>
                <w:lang w:val="en-US" w:eastAsia="zh-CN"/>
              </w:rPr>
              <w:t>1.5288</w:t>
            </w:r>
            <w:r>
              <w:rPr>
                <w:rFonts w:hint="eastAsia"/>
              </w:rPr>
              <w:t>hm</w:t>
            </w:r>
            <w:r>
              <w:rPr>
                <w:rFonts w:hint="eastAsia"/>
                <w:vertAlign w:val="superscript"/>
              </w:rPr>
              <w:t>2</w:t>
            </w:r>
          </w:p>
        </w:tc>
        <w:tc>
          <w:tcPr>
            <w:tcW w:w="894" w:type="pct"/>
            <w:vAlign w:val="center"/>
          </w:tcPr>
          <w:p w14:paraId="7C78DB2C">
            <w:pPr>
              <w:pStyle w:val="72"/>
              <w:rPr>
                <w:rFonts w:ascii="Times New Roman" w:hAnsi="Times New Roman"/>
              </w:rPr>
            </w:pPr>
            <w:r>
              <w:rPr>
                <w:rFonts w:ascii="Times New Roman" w:hAnsi="Times New Roman"/>
              </w:rPr>
              <w:t>严重</w:t>
            </w:r>
          </w:p>
        </w:tc>
        <w:tc>
          <w:tcPr>
            <w:tcW w:w="1127" w:type="pct"/>
            <w:vMerge w:val="restart"/>
            <w:vAlign w:val="center"/>
          </w:tcPr>
          <w:p w14:paraId="437D113C">
            <w:pPr>
              <w:pStyle w:val="72"/>
              <w:rPr>
                <w:rFonts w:ascii="Times New Roman" w:hAnsi="Times New Roman"/>
              </w:rPr>
            </w:pPr>
            <w:r>
              <w:rPr>
                <w:rFonts w:ascii="Times New Roman" w:hAnsi="Times New Roman"/>
              </w:rPr>
              <w:t>重度</w:t>
            </w:r>
          </w:p>
        </w:tc>
      </w:tr>
      <w:tr w14:paraId="1FBF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Merge w:val="continue"/>
            <w:vAlign w:val="center"/>
          </w:tcPr>
          <w:p w14:paraId="2F454F57">
            <w:pPr>
              <w:pStyle w:val="72"/>
              <w:rPr>
                <w:rFonts w:ascii="Times New Roman" w:hAnsi="Times New Roman"/>
              </w:rPr>
            </w:pPr>
          </w:p>
        </w:tc>
        <w:tc>
          <w:tcPr>
            <w:tcW w:w="1055" w:type="pct"/>
            <w:vAlign w:val="center"/>
          </w:tcPr>
          <w:p w14:paraId="110187E9">
            <w:pPr>
              <w:pStyle w:val="72"/>
              <w:rPr>
                <w:rFonts w:ascii="Times New Roman" w:hAnsi="Times New Roman"/>
              </w:rPr>
            </w:pPr>
            <w:r>
              <w:rPr>
                <w:rFonts w:ascii="Times New Roman" w:hAnsi="Times New Roman"/>
              </w:rPr>
              <w:t>土地损毁</w:t>
            </w:r>
          </w:p>
        </w:tc>
        <w:tc>
          <w:tcPr>
            <w:tcW w:w="760" w:type="pct"/>
            <w:vMerge w:val="continue"/>
            <w:vAlign w:val="center"/>
          </w:tcPr>
          <w:p w14:paraId="02C7BE2E">
            <w:pPr>
              <w:pStyle w:val="72"/>
              <w:rPr>
                <w:rFonts w:ascii="Times New Roman" w:hAnsi="Times New Roman"/>
              </w:rPr>
            </w:pPr>
          </w:p>
        </w:tc>
        <w:tc>
          <w:tcPr>
            <w:tcW w:w="607" w:type="pct"/>
            <w:vMerge w:val="continue"/>
            <w:vAlign w:val="center"/>
          </w:tcPr>
          <w:p w14:paraId="43D79798">
            <w:pPr>
              <w:pStyle w:val="72"/>
              <w:rPr>
                <w:rFonts w:ascii="Times New Roman" w:hAnsi="Times New Roman"/>
              </w:rPr>
            </w:pPr>
          </w:p>
        </w:tc>
        <w:tc>
          <w:tcPr>
            <w:tcW w:w="894" w:type="pct"/>
            <w:vAlign w:val="center"/>
          </w:tcPr>
          <w:p w14:paraId="40DF747E">
            <w:pPr>
              <w:pStyle w:val="72"/>
              <w:rPr>
                <w:rFonts w:ascii="Times New Roman" w:hAnsi="Times New Roman"/>
              </w:rPr>
            </w:pPr>
            <w:r>
              <w:rPr>
                <w:rFonts w:ascii="Times New Roman" w:hAnsi="Times New Roman"/>
              </w:rPr>
              <w:t>重度</w:t>
            </w:r>
          </w:p>
        </w:tc>
        <w:tc>
          <w:tcPr>
            <w:tcW w:w="1127" w:type="pct"/>
            <w:vMerge w:val="continue"/>
            <w:vAlign w:val="center"/>
          </w:tcPr>
          <w:p w14:paraId="5784E12F">
            <w:pPr>
              <w:pStyle w:val="72"/>
              <w:rPr>
                <w:rFonts w:ascii="Times New Roman" w:hAnsi="Times New Roman"/>
              </w:rPr>
            </w:pPr>
          </w:p>
        </w:tc>
      </w:tr>
      <w:tr w14:paraId="557B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Merge w:val="continue"/>
            <w:vAlign w:val="center"/>
          </w:tcPr>
          <w:p w14:paraId="1928B7DA">
            <w:pPr>
              <w:pStyle w:val="72"/>
              <w:rPr>
                <w:rFonts w:ascii="Times New Roman" w:hAnsi="Times New Roman"/>
              </w:rPr>
            </w:pPr>
          </w:p>
        </w:tc>
        <w:tc>
          <w:tcPr>
            <w:tcW w:w="1055" w:type="pct"/>
            <w:vAlign w:val="center"/>
          </w:tcPr>
          <w:p w14:paraId="4A21D5ED">
            <w:pPr>
              <w:pStyle w:val="72"/>
              <w:rPr>
                <w:rFonts w:ascii="Times New Roman" w:hAnsi="Times New Roman"/>
              </w:rPr>
            </w:pPr>
            <w:r>
              <w:rPr>
                <w:rFonts w:ascii="Times New Roman" w:hAnsi="Times New Roman"/>
              </w:rPr>
              <w:t>生态受损与退化</w:t>
            </w:r>
          </w:p>
        </w:tc>
        <w:tc>
          <w:tcPr>
            <w:tcW w:w="760" w:type="pct"/>
            <w:vMerge w:val="continue"/>
            <w:vAlign w:val="center"/>
          </w:tcPr>
          <w:p w14:paraId="0F18B3A0">
            <w:pPr>
              <w:pStyle w:val="72"/>
              <w:rPr>
                <w:rFonts w:ascii="Times New Roman" w:hAnsi="Times New Roman"/>
              </w:rPr>
            </w:pPr>
          </w:p>
        </w:tc>
        <w:tc>
          <w:tcPr>
            <w:tcW w:w="607" w:type="pct"/>
            <w:vMerge w:val="continue"/>
            <w:vAlign w:val="center"/>
          </w:tcPr>
          <w:p w14:paraId="41AFC263">
            <w:pPr>
              <w:pStyle w:val="72"/>
              <w:rPr>
                <w:rFonts w:ascii="Times New Roman" w:hAnsi="Times New Roman"/>
              </w:rPr>
            </w:pPr>
          </w:p>
        </w:tc>
        <w:tc>
          <w:tcPr>
            <w:tcW w:w="894" w:type="pct"/>
            <w:vAlign w:val="center"/>
          </w:tcPr>
          <w:p w14:paraId="0EC131D3">
            <w:pPr>
              <w:pStyle w:val="72"/>
              <w:rPr>
                <w:rFonts w:ascii="Times New Roman" w:hAnsi="Times New Roman"/>
              </w:rPr>
            </w:pPr>
            <w:r>
              <w:rPr>
                <w:rFonts w:ascii="Times New Roman" w:hAnsi="Times New Roman"/>
              </w:rPr>
              <w:t>严重</w:t>
            </w:r>
          </w:p>
        </w:tc>
        <w:tc>
          <w:tcPr>
            <w:tcW w:w="1127" w:type="pct"/>
            <w:vMerge w:val="continue"/>
            <w:vAlign w:val="center"/>
          </w:tcPr>
          <w:p w14:paraId="24A127AC">
            <w:pPr>
              <w:pStyle w:val="72"/>
              <w:rPr>
                <w:rFonts w:ascii="Times New Roman" w:hAnsi="Times New Roman"/>
              </w:rPr>
            </w:pPr>
          </w:p>
        </w:tc>
      </w:tr>
      <w:tr w14:paraId="147A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Merge w:val="restart"/>
            <w:vAlign w:val="center"/>
          </w:tcPr>
          <w:p w14:paraId="064B8253">
            <w:pPr>
              <w:pStyle w:val="72"/>
              <w:rPr>
                <w:rFonts w:ascii="Times New Roman" w:hAnsi="Times New Roman"/>
              </w:rPr>
            </w:pPr>
            <w:r>
              <w:rPr>
                <w:rFonts w:ascii="Times New Roman" w:hAnsi="Times New Roman"/>
              </w:rPr>
              <w:t>受损区块2</w:t>
            </w:r>
          </w:p>
        </w:tc>
        <w:tc>
          <w:tcPr>
            <w:tcW w:w="1055" w:type="pct"/>
            <w:vAlign w:val="center"/>
          </w:tcPr>
          <w:p w14:paraId="19D3565D">
            <w:pPr>
              <w:pStyle w:val="72"/>
              <w:rPr>
                <w:rFonts w:ascii="Times New Roman" w:hAnsi="Times New Roman"/>
              </w:rPr>
            </w:pPr>
            <w:r>
              <w:rPr>
                <w:rFonts w:ascii="Times New Roman" w:hAnsi="Times New Roman"/>
              </w:rPr>
              <w:t>矿山地质环境问题</w:t>
            </w:r>
          </w:p>
        </w:tc>
        <w:tc>
          <w:tcPr>
            <w:tcW w:w="760" w:type="pct"/>
            <w:vMerge w:val="restart"/>
            <w:vAlign w:val="center"/>
          </w:tcPr>
          <w:p w14:paraId="5BA4E7B4">
            <w:pPr>
              <w:pStyle w:val="72"/>
              <w:rPr>
                <w:rFonts w:hint="eastAsia" w:ascii="Times New Roman" w:hAnsi="Times New Roman" w:eastAsia="仿宋"/>
                <w:lang w:eastAsia="zh-CN"/>
              </w:rPr>
            </w:pPr>
            <w:r>
              <w:rPr>
                <w:rFonts w:hint="eastAsia" w:ascii="Times New Roman" w:hAnsi="Times New Roman"/>
                <w:lang w:eastAsia="zh-CN"/>
              </w:rPr>
              <w:t>地裂缝</w:t>
            </w:r>
          </w:p>
        </w:tc>
        <w:tc>
          <w:tcPr>
            <w:tcW w:w="607" w:type="pct"/>
            <w:vMerge w:val="restart"/>
            <w:vAlign w:val="center"/>
          </w:tcPr>
          <w:p w14:paraId="6059CDE3">
            <w:pPr>
              <w:pStyle w:val="72"/>
              <w:rPr>
                <w:rFonts w:hint="default" w:ascii="Times New Roman" w:hAnsi="Times New Roman" w:eastAsia="仿宋"/>
                <w:lang w:val="en-US" w:eastAsia="zh-CN"/>
              </w:rPr>
            </w:pPr>
            <w:r>
              <w:rPr>
                <w:rFonts w:hint="eastAsia" w:ascii="Times New Roman" w:hAnsi="Times New Roman"/>
                <w:lang w:val="en-US" w:eastAsia="zh-CN"/>
              </w:rPr>
              <w:t>900m</w:t>
            </w:r>
          </w:p>
        </w:tc>
        <w:tc>
          <w:tcPr>
            <w:tcW w:w="894" w:type="pct"/>
            <w:vAlign w:val="center"/>
          </w:tcPr>
          <w:p w14:paraId="703C7413">
            <w:pPr>
              <w:pStyle w:val="72"/>
              <w:rPr>
                <w:rFonts w:ascii="Times New Roman" w:hAnsi="Times New Roman"/>
              </w:rPr>
            </w:pPr>
            <w:r>
              <w:rPr>
                <w:rFonts w:ascii="Times New Roman" w:hAnsi="Times New Roman"/>
              </w:rPr>
              <w:t>较严重</w:t>
            </w:r>
          </w:p>
        </w:tc>
        <w:tc>
          <w:tcPr>
            <w:tcW w:w="1127" w:type="pct"/>
            <w:vMerge w:val="restart"/>
            <w:vAlign w:val="center"/>
          </w:tcPr>
          <w:p w14:paraId="5A3DEB58">
            <w:pPr>
              <w:pStyle w:val="72"/>
              <w:rPr>
                <w:rFonts w:ascii="Times New Roman" w:hAnsi="Times New Roman"/>
              </w:rPr>
            </w:pPr>
            <w:r>
              <w:rPr>
                <w:rFonts w:hint="eastAsia" w:ascii="Times New Roman" w:hAnsi="Times New Roman"/>
              </w:rPr>
              <w:t>中</w:t>
            </w:r>
            <w:r>
              <w:rPr>
                <w:rFonts w:ascii="Times New Roman" w:hAnsi="Times New Roman"/>
              </w:rPr>
              <w:t>度</w:t>
            </w:r>
          </w:p>
        </w:tc>
      </w:tr>
      <w:tr w14:paraId="48175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Merge w:val="continue"/>
            <w:vAlign w:val="center"/>
          </w:tcPr>
          <w:p w14:paraId="3B57EDBA">
            <w:pPr>
              <w:pStyle w:val="72"/>
              <w:rPr>
                <w:rFonts w:ascii="Times New Roman" w:hAnsi="Times New Roman"/>
              </w:rPr>
            </w:pPr>
          </w:p>
        </w:tc>
        <w:tc>
          <w:tcPr>
            <w:tcW w:w="1055" w:type="pct"/>
            <w:vAlign w:val="center"/>
          </w:tcPr>
          <w:p w14:paraId="3747D8DB">
            <w:pPr>
              <w:pStyle w:val="72"/>
              <w:rPr>
                <w:rFonts w:ascii="Times New Roman" w:hAnsi="Times New Roman"/>
              </w:rPr>
            </w:pPr>
            <w:r>
              <w:rPr>
                <w:rFonts w:ascii="Times New Roman" w:hAnsi="Times New Roman"/>
              </w:rPr>
              <w:t>土地损毁</w:t>
            </w:r>
          </w:p>
        </w:tc>
        <w:tc>
          <w:tcPr>
            <w:tcW w:w="760" w:type="pct"/>
            <w:vMerge w:val="continue"/>
            <w:vAlign w:val="center"/>
          </w:tcPr>
          <w:p w14:paraId="5A570CB1">
            <w:pPr>
              <w:pStyle w:val="72"/>
              <w:rPr>
                <w:rFonts w:ascii="Times New Roman" w:hAnsi="Times New Roman"/>
              </w:rPr>
            </w:pPr>
          </w:p>
        </w:tc>
        <w:tc>
          <w:tcPr>
            <w:tcW w:w="607" w:type="pct"/>
            <w:vMerge w:val="continue"/>
            <w:vAlign w:val="center"/>
          </w:tcPr>
          <w:p w14:paraId="588ED8E9">
            <w:pPr>
              <w:pStyle w:val="72"/>
              <w:rPr>
                <w:rFonts w:ascii="Times New Roman" w:hAnsi="Times New Roman"/>
              </w:rPr>
            </w:pPr>
          </w:p>
        </w:tc>
        <w:tc>
          <w:tcPr>
            <w:tcW w:w="894" w:type="pct"/>
            <w:vAlign w:val="center"/>
          </w:tcPr>
          <w:p w14:paraId="7B245116">
            <w:pPr>
              <w:pStyle w:val="72"/>
              <w:rPr>
                <w:rFonts w:ascii="Times New Roman" w:hAnsi="Times New Roman"/>
              </w:rPr>
            </w:pPr>
            <w:r>
              <w:rPr>
                <w:rFonts w:hint="eastAsia" w:ascii="Times New Roman" w:hAnsi="Times New Roman"/>
              </w:rPr>
              <w:t>中</w:t>
            </w:r>
            <w:r>
              <w:rPr>
                <w:rFonts w:ascii="Times New Roman" w:hAnsi="Times New Roman"/>
              </w:rPr>
              <w:t>度</w:t>
            </w:r>
          </w:p>
        </w:tc>
        <w:tc>
          <w:tcPr>
            <w:tcW w:w="1127" w:type="pct"/>
            <w:vMerge w:val="continue"/>
            <w:vAlign w:val="center"/>
          </w:tcPr>
          <w:p w14:paraId="3B47AF28">
            <w:pPr>
              <w:pStyle w:val="72"/>
              <w:rPr>
                <w:rFonts w:ascii="Times New Roman" w:hAnsi="Times New Roman"/>
              </w:rPr>
            </w:pPr>
          </w:p>
        </w:tc>
      </w:tr>
      <w:tr w14:paraId="3539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Merge w:val="continue"/>
            <w:vAlign w:val="center"/>
          </w:tcPr>
          <w:p w14:paraId="425451A7">
            <w:pPr>
              <w:pStyle w:val="72"/>
              <w:rPr>
                <w:rFonts w:ascii="Times New Roman" w:hAnsi="Times New Roman"/>
              </w:rPr>
            </w:pPr>
          </w:p>
        </w:tc>
        <w:tc>
          <w:tcPr>
            <w:tcW w:w="1055" w:type="pct"/>
            <w:vAlign w:val="center"/>
          </w:tcPr>
          <w:p w14:paraId="37CD584C">
            <w:pPr>
              <w:pStyle w:val="72"/>
              <w:rPr>
                <w:rFonts w:ascii="Times New Roman" w:hAnsi="Times New Roman"/>
              </w:rPr>
            </w:pPr>
            <w:r>
              <w:rPr>
                <w:rFonts w:ascii="Times New Roman" w:hAnsi="Times New Roman"/>
              </w:rPr>
              <w:t>生态受损与退化</w:t>
            </w:r>
          </w:p>
        </w:tc>
        <w:tc>
          <w:tcPr>
            <w:tcW w:w="760" w:type="pct"/>
            <w:vMerge w:val="continue"/>
            <w:vAlign w:val="center"/>
          </w:tcPr>
          <w:p w14:paraId="5BC13346">
            <w:pPr>
              <w:pStyle w:val="72"/>
              <w:rPr>
                <w:rFonts w:ascii="Times New Roman" w:hAnsi="Times New Roman"/>
              </w:rPr>
            </w:pPr>
          </w:p>
        </w:tc>
        <w:tc>
          <w:tcPr>
            <w:tcW w:w="607" w:type="pct"/>
            <w:vMerge w:val="continue"/>
            <w:vAlign w:val="center"/>
          </w:tcPr>
          <w:p w14:paraId="1DD8F234">
            <w:pPr>
              <w:pStyle w:val="72"/>
              <w:rPr>
                <w:rFonts w:ascii="Times New Roman" w:hAnsi="Times New Roman"/>
              </w:rPr>
            </w:pPr>
          </w:p>
        </w:tc>
        <w:tc>
          <w:tcPr>
            <w:tcW w:w="894" w:type="pct"/>
            <w:vAlign w:val="center"/>
          </w:tcPr>
          <w:p w14:paraId="26D06C57">
            <w:pPr>
              <w:pStyle w:val="72"/>
              <w:rPr>
                <w:rFonts w:ascii="Times New Roman" w:hAnsi="Times New Roman"/>
              </w:rPr>
            </w:pPr>
            <w:r>
              <w:rPr>
                <w:rFonts w:hint="eastAsia" w:ascii="Times New Roman" w:hAnsi="Times New Roman"/>
              </w:rPr>
              <w:t>较</w:t>
            </w:r>
            <w:r>
              <w:rPr>
                <w:rFonts w:ascii="Times New Roman" w:hAnsi="Times New Roman"/>
              </w:rPr>
              <w:t>严重</w:t>
            </w:r>
          </w:p>
        </w:tc>
        <w:tc>
          <w:tcPr>
            <w:tcW w:w="1127" w:type="pct"/>
            <w:vMerge w:val="continue"/>
            <w:vAlign w:val="center"/>
          </w:tcPr>
          <w:p w14:paraId="24D908F8">
            <w:pPr>
              <w:pStyle w:val="72"/>
              <w:rPr>
                <w:rFonts w:ascii="Times New Roman" w:hAnsi="Times New Roman"/>
              </w:rPr>
            </w:pPr>
          </w:p>
        </w:tc>
      </w:tr>
      <w:bookmarkEnd w:id="112"/>
    </w:tbl>
    <w:p w14:paraId="437DDD2C">
      <w:pPr>
        <w:pStyle w:val="78"/>
        <w:rPr>
          <w:rFonts w:hint="eastAsia" w:eastAsia="黑体" w:cs="Times New Roman"/>
          <w:lang w:eastAsia="zh-CN"/>
        </w:rPr>
      </w:pPr>
      <w:bookmarkStart w:id="113" w:name="_Toc211790757"/>
      <w:r>
        <w:rPr>
          <w:rFonts w:hint="eastAsia" w:eastAsia="黑体" w:cs="Times New Roman"/>
          <w:lang w:eastAsia="zh-CN"/>
        </w:rPr>
        <w:drawing>
          <wp:inline distT="0" distB="0" distL="114300" distR="114300">
            <wp:extent cx="4730750" cy="3784600"/>
            <wp:effectExtent l="9525" t="9525" r="22225" b="15875"/>
            <wp:docPr id="17" name="图片 17" descr="矿区生态较严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矿区生态较严重"/>
                    <pic:cNvPicPr>
                      <a:picLocks noChangeAspect="1"/>
                    </pic:cNvPicPr>
                  </pic:nvPicPr>
                  <pic:blipFill>
                    <a:blip r:embed="rId33"/>
                    <a:stretch>
                      <a:fillRect/>
                    </a:stretch>
                  </pic:blipFill>
                  <pic:spPr>
                    <a:xfrm>
                      <a:off x="0" y="0"/>
                      <a:ext cx="4730750" cy="3784600"/>
                    </a:xfrm>
                    <a:prstGeom prst="rect">
                      <a:avLst/>
                    </a:prstGeom>
                    <a:ln>
                      <a:solidFill>
                        <a:schemeClr val="tx1"/>
                      </a:solidFill>
                    </a:ln>
                  </pic:spPr>
                </pic:pic>
              </a:graphicData>
            </a:graphic>
          </wp:inline>
        </w:drawing>
      </w:r>
    </w:p>
    <w:p w14:paraId="4E9AB222">
      <w:pPr>
        <w:pStyle w:val="66"/>
        <w:ind w:firstLine="420"/>
        <w:rPr>
          <w:rFonts w:ascii="Times New Roman" w:hAnsi="Times New Roman"/>
          <w:bCs/>
        </w:rPr>
      </w:pPr>
      <w:r>
        <w:rPr>
          <w:rFonts w:ascii="Times New Roman" w:hAnsi="Times New Roman"/>
        </w:rPr>
        <w:t>图3-</w:t>
      </w:r>
      <w:r>
        <w:rPr>
          <w:rFonts w:hint="eastAsia" w:ascii="Times New Roman" w:hAnsi="Times New Roman"/>
        </w:rPr>
        <w:t>10</w:t>
      </w:r>
      <w:r>
        <w:rPr>
          <w:rFonts w:ascii="Times New Roman" w:hAnsi="Times New Roman"/>
        </w:rPr>
        <w:t>矿区生态破坏程度综合评价图</w:t>
      </w:r>
    </w:p>
    <w:p w14:paraId="1FB09154">
      <w:pPr>
        <w:pStyle w:val="4"/>
        <w:ind w:firstLine="602"/>
        <w:rPr>
          <w:rFonts w:ascii="Times New Roman" w:hAnsi="Times New Roman"/>
        </w:rPr>
      </w:pPr>
      <w:bookmarkStart w:id="114" w:name="_Toc215692446"/>
      <w:bookmarkStart w:id="115" w:name="_Toc219050285"/>
      <w:r>
        <w:rPr>
          <w:rFonts w:ascii="Times New Roman" w:hAnsi="Times New Roman"/>
        </w:rPr>
        <w:t>二、生态修复可行性分析</w:t>
      </w:r>
      <w:bookmarkEnd w:id="113"/>
      <w:bookmarkEnd w:id="114"/>
      <w:bookmarkEnd w:id="115"/>
    </w:p>
    <w:p w14:paraId="53C40839">
      <w:pPr>
        <w:pStyle w:val="5"/>
        <w:ind w:firstLine="562"/>
      </w:pPr>
      <w:bookmarkStart w:id="116" w:name="_Toc211790758"/>
      <w:r>
        <w:t>（一）技术经济可行性分析</w:t>
      </w:r>
      <w:bookmarkEnd w:id="116"/>
    </w:p>
    <w:p w14:paraId="38A1BF9F">
      <w:pPr>
        <w:ind w:firstLine="560"/>
      </w:pPr>
      <w:r>
        <w:t>根据《开发利用方案》、矿山地质环境分析，</w:t>
      </w:r>
      <w:r>
        <w:rPr>
          <w:rFonts w:hint="eastAsia"/>
          <w:lang w:eastAsia="zh-CN"/>
        </w:rPr>
        <w:t>二道滑石矿滑石</w:t>
      </w:r>
      <w:r>
        <w:t>开采存在的主要矿山地质环境问题为</w:t>
      </w:r>
      <w:r>
        <w:rPr>
          <w:rFonts w:hint="eastAsia"/>
          <w:lang w:val="en-US" w:eastAsia="zh-CN"/>
        </w:rPr>
        <w:t>地裂缝</w:t>
      </w:r>
      <w:r>
        <w:t>地质灾害、含水层结构破坏、地形地貌景观破坏、水土环境污染等，矿山生产对当地生态环境存在不利影响，需要针对这些矿山地质环境问题采取地质环境保护与复垦治理工程。方案对提出的矿山地质环境保护与土地复垦治理工程技术可行性分析如下：</w:t>
      </w:r>
    </w:p>
    <w:p w14:paraId="5071B730">
      <w:pPr>
        <w:ind w:firstLine="560"/>
      </w:pPr>
      <w:r>
        <w:t>1</w:t>
      </w:r>
      <w:r>
        <w:rPr>
          <w:rFonts w:hint="eastAsia"/>
        </w:rPr>
        <w:t>.</w:t>
      </w:r>
      <w:r>
        <w:t>技术可行性分析</w:t>
      </w:r>
    </w:p>
    <w:p w14:paraId="3DCE44FD">
      <w:pPr>
        <w:ind w:firstLine="560"/>
      </w:pPr>
      <w:r>
        <w:rPr>
          <w:rFonts w:hint="eastAsia"/>
        </w:rPr>
        <w:t>（1）</w:t>
      </w:r>
      <w:r>
        <w:t>矿山地质灾害治理技术可行性分析</w:t>
      </w:r>
    </w:p>
    <w:p w14:paraId="2D397B92">
      <w:pPr>
        <w:ind w:firstLine="56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t>主要矿山地质环境问题</w:t>
      </w:r>
    </w:p>
    <w:p w14:paraId="11466BD4">
      <w:pPr>
        <w:ind w:firstLine="560"/>
      </w:pPr>
      <w:r>
        <w:t>根据前述矿山地质环境预测分析，未来矿山开釆可能引发地质灾害主要有</w:t>
      </w:r>
      <w:r>
        <w:rPr>
          <w:rFonts w:hint="eastAsia"/>
          <w:lang w:eastAsia="zh-CN"/>
        </w:rPr>
        <w:t>地裂缝</w:t>
      </w:r>
      <w:r>
        <w:t>地质灾害等问题。</w:t>
      </w:r>
    </w:p>
    <w:p w14:paraId="55A36B0C">
      <w:pPr>
        <w:ind w:firstLine="56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t>具体技术方案</w:t>
      </w:r>
    </w:p>
    <w:p w14:paraId="794E8CB0">
      <w:pPr>
        <w:ind w:firstLine="560"/>
      </w:pPr>
      <w:r>
        <w:t>通过实施建立矿山地质灾害监测系统、人工巡查工作，对可能出现的地裂缝进行回填治理。</w:t>
      </w:r>
    </w:p>
    <w:p w14:paraId="55783A44">
      <w:pPr>
        <w:ind w:firstLine="56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t>技术可行性分析</w:t>
      </w:r>
    </w:p>
    <w:p w14:paraId="00602623">
      <w:pPr>
        <w:ind w:firstLine="560"/>
      </w:pPr>
      <w:r>
        <w:t>对于</w:t>
      </w:r>
      <w:r>
        <w:rPr>
          <w:rFonts w:hint="eastAsia"/>
          <w:lang w:eastAsia="zh-CN"/>
        </w:rPr>
        <w:t>滑石</w:t>
      </w:r>
      <w:r>
        <w:t>矿</w:t>
      </w:r>
      <w:r>
        <w:rPr>
          <w:rFonts w:hint="eastAsia"/>
          <w:lang w:val="en-US" w:eastAsia="zh-CN"/>
        </w:rPr>
        <w:t>地裂缝</w:t>
      </w:r>
      <w:r>
        <w:t>，目前已有一套比较完整和成熟的方法，防治的关键是在掌握矿区塌陷规律的前提下，对</w:t>
      </w:r>
      <w:r>
        <w:rPr>
          <w:rFonts w:hint="eastAsia"/>
          <w:lang w:eastAsia="zh-CN"/>
        </w:rPr>
        <w:t>地裂缝</w:t>
      </w:r>
      <w:r>
        <w:t>灾害做出科学的评价和预测，即采取以早期预测、预防为主，治理为辅、防治相结合的办法，基本能从根本上消除、减轻或避免塌陷地质灾害对矿山构成的潜在威胁。本次方案采用的</w:t>
      </w:r>
      <w:r>
        <w:rPr>
          <w:rFonts w:hint="eastAsia"/>
          <w:lang w:eastAsia="zh-CN"/>
        </w:rPr>
        <w:t>地裂缝</w:t>
      </w:r>
      <w:r>
        <w:t>监测措施为本地区多个矿山使用，技术成熟，可行性高。</w:t>
      </w:r>
    </w:p>
    <w:p w14:paraId="03A3C19E">
      <w:pPr>
        <w:ind w:firstLine="560"/>
      </w:pPr>
      <w:r>
        <w:rPr>
          <w:rFonts w:hint="eastAsia"/>
        </w:rPr>
        <w:t>（2）</w:t>
      </w:r>
      <w:r>
        <w:t>含水层破坏修复技术可行性分析</w:t>
      </w:r>
    </w:p>
    <w:p w14:paraId="3C478704">
      <w:pPr>
        <w:ind w:firstLine="56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t>主要矿山地质环境问题</w:t>
      </w:r>
    </w:p>
    <w:p w14:paraId="1F138AA5">
      <w:pPr>
        <w:ind w:firstLine="560"/>
      </w:pPr>
      <w:r>
        <w:t>依前述，矿山对含水层的破坏主要表现在含水层结构破坏、水位下降、水量减少和水质破坏方面。</w:t>
      </w:r>
    </w:p>
    <w:p w14:paraId="4BBA95A3">
      <w:pPr>
        <w:ind w:firstLine="56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t>具体技术方案</w:t>
      </w:r>
    </w:p>
    <w:p w14:paraId="500B62CF">
      <w:pPr>
        <w:ind w:firstLine="560"/>
      </w:pPr>
      <w:r>
        <w:t>地下采掘活动对含水层结构的破坏，主要以水质、水位、水量监测措施为主。</w:t>
      </w:r>
    </w:p>
    <w:p w14:paraId="5FDA7BCF">
      <w:pPr>
        <w:ind w:firstLine="56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t>技术可行性分析</w:t>
      </w:r>
    </w:p>
    <w:p w14:paraId="5BCCA185">
      <w:pPr>
        <w:ind w:firstLine="560"/>
      </w:pPr>
      <w:r>
        <w:t>矿山活动对含水层水质的破坏，可以通过定期地下水水质</w:t>
      </w:r>
      <w:r>
        <w:rPr>
          <w:rFonts w:hint="eastAsia"/>
        </w:rPr>
        <w:t>监测</w:t>
      </w:r>
      <w:r>
        <w:t>，找出污染源，在开采过程中尽量减少可能造成污染的工序并通过地表矿山废水的处理达标排放，既能够提高地下水的利用率也可以减少对地下、地表水的污染途径，技术上是可行的。</w:t>
      </w:r>
    </w:p>
    <w:p w14:paraId="545D45AE">
      <w:pPr>
        <w:ind w:firstLine="560"/>
      </w:pPr>
      <w:r>
        <w:rPr>
          <w:rFonts w:hint="eastAsia"/>
        </w:rPr>
        <w:t>（3）</w:t>
      </w:r>
      <w:r>
        <w:t>矿区地形地貌景观治理技术可行性分析</w:t>
      </w:r>
    </w:p>
    <w:p w14:paraId="1947004D">
      <w:pPr>
        <w:ind w:firstLine="56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t>主要矿山地质环境问题</w:t>
      </w:r>
    </w:p>
    <w:p w14:paraId="53E34684">
      <w:pPr>
        <w:ind w:firstLine="560"/>
      </w:pPr>
      <w:r>
        <w:t>依前述，矿业活动对地形地貌景观的破坏主要表现为各用地对象挖损、压占土地，对地形地貌景观破坏。</w:t>
      </w:r>
    </w:p>
    <w:p w14:paraId="511506CD">
      <w:pPr>
        <w:ind w:firstLine="56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t>具体技术方案</w:t>
      </w:r>
    </w:p>
    <w:p w14:paraId="2EB2BFF0">
      <w:pPr>
        <w:ind w:firstLine="560"/>
      </w:pPr>
      <w:r>
        <w:t>可采取的主要措施有拆除临时建筑、回填封堵井口、</w:t>
      </w:r>
      <w:r>
        <w:rPr>
          <w:rFonts w:hint="eastAsia"/>
        </w:rPr>
        <w:t>平整场地</w:t>
      </w:r>
      <w:r>
        <w:t>。</w:t>
      </w:r>
    </w:p>
    <w:p w14:paraId="1A7A2F62">
      <w:pPr>
        <w:ind w:firstLine="56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t>技术可行性分析</w:t>
      </w:r>
    </w:p>
    <w:p w14:paraId="5C788A3B">
      <w:pPr>
        <w:ind w:firstLine="560"/>
      </w:pPr>
      <w:r>
        <w:t>矿山现阶段及闭坑后，对现有的用地进行土地复垦，施工技术难度小，易于实施，技术可行。</w:t>
      </w:r>
    </w:p>
    <w:p w14:paraId="175BEC27">
      <w:pPr>
        <w:ind w:firstLine="560"/>
      </w:pPr>
      <w:r>
        <w:rPr>
          <w:rFonts w:hint="eastAsia"/>
        </w:rPr>
        <w:t>（4）</w:t>
      </w:r>
      <w:r>
        <w:t>矿区水土环境污染修复技术可行性分析</w:t>
      </w:r>
    </w:p>
    <w:p w14:paraId="03E18D34">
      <w:pPr>
        <w:ind w:firstLine="560"/>
      </w:pPr>
      <w:r>
        <w:t>生产中，矿山根据《一般工业固体废物贮存、处置场污染控制标准》（GB18599－2001）要求规范堆放废石（土）、生活垃圾，按照《污水综合排放标准》（GB8978－1996）对矿山废水进行处理，其技术较成熟、可操作强。对矿区水土环境污染进行监测也是矿山日常生产工作不可分割部份。因此，矿山水土环境污染防治措施和修复工程技术上可行。</w:t>
      </w:r>
    </w:p>
    <w:p w14:paraId="64B04D71">
      <w:pPr>
        <w:ind w:firstLine="560"/>
      </w:pPr>
      <w:r>
        <w:rPr>
          <w:rFonts w:hint="eastAsia"/>
        </w:rPr>
        <w:t>2.经济可行性分析</w:t>
      </w:r>
    </w:p>
    <w:p w14:paraId="6D7FD5CF">
      <w:pPr>
        <w:ind w:firstLine="560"/>
        <w:rPr>
          <w:rFonts w:hint="default" w:ascii="Times New Roman" w:hAnsi="Times New Roman" w:cs="Times New Roman"/>
          <w:szCs w:val="28"/>
        </w:rPr>
      </w:pPr>
      <w:bookmarkStart w:id="117" w:name="_Toc361165913"/>
      <w:bookmarkStart w:id="118" w:name="_Toc309629910"/>
      <w:bookmarkStart w:id="119" w:name="_Toc304877578"/>
      <w:bookmarkStart w:id="120" w:name="_Toc277403255"/>
      <w:bookmarkStart w:id="121" w:name="_Toc188233620"/>
      <w:bookmarkStart w:id="122" w:name="_Toc278802990"/>
      <w:bookmarkStart w:id="123" w:name="_Toc277403441"/>
      <w:bookmarkStart w:id="124" w:name="_Toc211415896"/>
      <w:bookmarkStart w:id="125" w:name="_Toc304976445"/>
      <w:bookmarkStart w:id="126" w:name="_Toc189358015"/>
      <w:bookmarkStart w:id="127" w:name="_Toc373678729"/>
      <w:bookmarkStart w:id="128" w:name="_Toc187508595"/>
      <w:bookmarkStart w:id="129" w:name="_Toc277840701"/>
      <w:bookmarkStart w:id="130" w:name="_Toc327535421"/>
      <w:bookmarkStart w:id="131" w:name="_Toc188235955"/>
      <w:bookmarkStart w:id="132" w:name="_Toc283967905"/>
      <w:bookmarkStart w:id="133" w:name="_Toc125690639"/>
      <w:bookmarkStart w:id="134" w:name="_Toc277403162"/>
      <w:bookmarkStart w:id="135" w:name="_Toc283018904"/>
      <w:bookmarkStart w:id="136" w:name="_Toc286906828"/>
      <w:bookmarkStart w:id="137" w:name="_Toc278616184"/>
      <w:bookmarkStart w:id="138" w:name="_Toc199302545"/>
      <w:bookmarkStart w:id="139" w:name="_Toc277339764"/>
      <w:bookmarkStart w:id="140" w:name="_Toc309646822"/>
      <w:bookmarkStart w:id="141" w:name="_Toc278183484"/>
      <w:r>
        <w:rPr>
          <w:rFonts w:hint="eastAsia" w:ascii="宋体" w:hAnsi="宋体" w:cs="宋体"/>
          <w:szCs w:val="28"/>
        </w:rPr>
        <w:t>本方案的经费估算符合国家有关政策，政府规划，按照当地物价进行估算。投资规模恰当，资金分配结构合理。另外矿山及时足额交纳生态修复基金，严格按照专款专用、单独核算的办法进行管理，资金拨付由施工单位根据工程进度提出申请，经工程监理单位审查后，报项目承担单位审批，项目</w:t>
      </w:r>
      <w:r>
        <w:rPr>
          <w:rFonts w:hint="default" w:ascii="Times New Roman" w:hAnsi="Times New Roman" w:cs="Times New Roman"/>
          <w:szCs w:val="28"/>
        </w:rPr>
        <w:t>承担单位在拨付资金之前，必须对上期资金使用情况进行检查验收。以保障恢复治理保证金的缴纳。</w:t>
      </w:r>
      <w:r>
        <w:rPr>
          <w:rFonts w:hint="default" w:ascii="Times New Roman" w:hAnsi="Times New Roman" w:cs="Times New Roman"/>
          <w:szCs w:val="28"/>
          <w:lang w:eastAsia="zh-CN"/>
        </w:rPr>
        <w:t>二道滑石矿</w:t>
      </w:r>
      <w:r>
        <w:rPr>
          <w:rFonts w:hint="default" w:ascii="Times New Roman" w:hAnsi="Times New Roman" w:cs="Times New Roman"/>
          <w:szCs w:val="28"/>
        </w:rPr>
        <w:t>正常投产，年生产原</w:t>
      </w:r>
      <w:r>
        <w:rPr>
          <w:rFonts w:hint="default" w:ascii="Times New Roman" w:hAnsi="Times New Roman" w:cs="Times New Roman"/>
          <w:szCs w:val="28"/>
          <w:lang w:eastAsia="zh-CN"/>
        </w:rPr>
        <w:t>滑石5万</w:t>
      </w:r>
      <w:r>
        <w:rPr>
          <w:rFonts w:hint="default" w:ascii="Times New Roman" w:hAnsi="Times New Roman" w:cs="Times New Roman"/>
          <w:szCs w:val="28"/>
        </w:rPr>
        <w:t>t，</w:t>
      </w:r>
      <w:r>
        <w:rPr>
          <w:rFonts w:hint="default" w:ascii="Times New Roman" w:hAnsi="Times New Roman" w:cs="Times New Roman"/>
          <w:color w:val="000000"/>
          <w:szCs w:val="28"/>
        </w:rPr>
        <w:t>原</w:t>
      </w:r>
      <w:r>
        <w:rPr>
          <w:rFonts w:hint="default" w:ascii="Times New Roman" w:hAnsi="Times New Roman" w:cs="Times New Roman"/>
          <w:color w:val="000000"/>
          <w:szCs w:val="28"/>
          <w:lang w:eastAsia="zh-CN"/>
        </w:rPr>
        <w:t>滑石</w:t>
      </w:r>
      <w:r>
        <w:rPr>
          <w:rFonts w:hint="default" w:ascii="Times New Roman" w:hAnsi="Times New Roman" w:cs="Times New Roman"/>
          <w:color w:val="000000"/>
          <w:szCs w:val="28"/>
        </w:rPr>
        <w:t>平均销售价为</w:t>
      </w:r>
      <w:r>
        <w:rPr>
          <w:rFonts w:hint="default" w:ascii="Times New Roman" w:hAnsi="Times New Roman" w:cs="Times New Roman"/>
          <w:color w:val="000000"/>
          <w:szCs w:val="28"/>
          <w:lang w:val="en-US" w:eastAsia="zh-CN"/>
        </w:rPr>
        <w:t>513</w:t>
      </w:r>
      <w:r>
        <w:rPr>
          <w:rFonts w:hint="default" w:ascii="Times New Roman" w:hAnsi="Times New Roman" w:cs="Times New Roman"/>
          <w:color w:val="000000"/>
          <w:szCs w:val="28"/>
        </w:rPr>
        <w:t>元/t,</w:t>
      </w:r>
      <w:r>
        <w:rPr>
          <w:rFonts w:hint="default" w:ascii="Times New Roman" w:hAnsi="Times New Roman" w:cs="Times New Roman"/>
          <w:szCs w:val="28"/>
        </w:rPr>
        <w:t>年均销售收入</w:t>
      </w:r>
      <w:r>
        <w:rPr>
          <w:rFonts w:hint="default" w:ascii="Times New Roman" w:hAnsi="Times New Roman" w:cs="Times New Roman"/>
          <w:szCs w:val="28"/>
          <w:lang w:val="en-US" w:eastAsia="zh-CN"/>
        </w:rPr>
        <w:t>2565</w:t>
      </w:r>
      <w:r>
        <w:rPr>
          <w:rFonts w:hint="default" w:ascii="Times New Roman" w:hAnsi="Times New Roman" w:cs="Times New Roman"/>
          <w:szCs w:val="28"/>
        </w:rPr>
        <w:t>万元，生态修复预算总费用约占一年总收入的4.32%左右，在资金上能够满足治理工程的需要。</w:t>
      </w:r>
    </w:p>
    <w:p w14:paraId="43809CE4">
      <w:pPr>
        <w:ind w:firstLine="560"/>
        <w:rPr>
          <w:rFonts w:hint="eastAsia" w:ascii="宋体" w:hAnsi="宋体" w:cs="宋体"/>
          <w:sz w:val="24"/>
        </w:rPr>
      </w:pPr>
      <w:r>
        <w:rPr>
          <w:rFonts w:hint="eastAsia" w:ascii="宋体" w:hAnsi="宋体" w:cs="宋体"/>
          <w:szCs w:val="28"/>
        </w:rPr>
        <w:t>矿山生产能够保证治理工程的进行，矿山恢复能够保证有效益产出，</w:t>
      </w:r>
      <w:r>
        <w:rPr>
          <w:rFonts w:hint="eastAsia" w:ascii="宋体" w:hAnsi="宋体" w:cs="宋体"/>
          <w:szCs w:val="28"/>
          <w:lang w:eastAsia="zh-CN"/>
        </w:rPr>
        <w:t>二道滑石矿</w:t>
      </w:r>
      <w:r>
        <w:rPr>
          <w:rFonts w:hint="eastAsia" w:ascii="宋体" w:hAnsi="宋体" w:cs="宋体"/>
          <w:szCs w:val="28"/>
        </w:rPr>
        <w:t>进行生态修复在经济上是可行的</w:t>
      </w:r>
      <w:r>
        <w:rPr>
          <w:rFonts w:hint="eastAsia" w:ascii="宋体" w:hAnsi="宋体" w:cs="宋体"/>
          <w:sz w:val="24"/>
        </w:rPr>
        <w:t>。</w:t>
      </w:r>
    </w:p>
    <w:p w14:paraId="2DD721D6">
      <w:pPr>
        <w:widowControl/>
        <w:ind w:firstLine="560"/>
        <w:rPr>
          <w:rFonts w:hint="eastAsia" w:ascii="宋体" w:hAnsi="宋体" w:cs="宋体"/>
          <w:szCs w:val="28"/>
        </w:rPr>
      </w:pPr>
      <w:bookmarkStart w:id="142" w:name="_Toc10348"/>
      <w:r>
        <w:rPr>
          <w:rFonts w:hint="eastAsia" w:ascii="宋体" w:hAnsi="宋体" w:cs="宋体"/>
          <w:szCs w:val="28"/>
        </w:rPr>
        <w:t>3.生态环境协调性分析</w:t>
      </w:r>
      <w:bookmarkEnd w:id="142"/>
    </w:p>
    <w:p w14:paraId="3139D4A7">
      <w:pPr>
        <w:ind w:firstLine="560"/>
        <w:rPr>
          <w:rFonts w:hint="eastAsia" w:ascii="宋体" w:hAnsi="宋体" w:cs="宋体"/>
          <w:szCs w:val="28"/>
        </w:rPr>
      </w:pPr>
      <w:r>
        <w:rPr>
          <w:rFonts w:hint="eastAsia" w:ascii="宋体" w:hAnsi="宋体" w:cs="宋体"/>
          <w:szCs w:val="28"/>
        </w:rPr>
        <w:t>矿山闭矿后，工业广场恢复为建设用地，</w:t>
      </w:r>
      <w:r>
        <w:rPr>
          <w:rFonts w:hint="eastAsia" w:ascii="宋体" w:hAnsi="宋体" w:cs="宋体"/>
          <w:szCs w:val="28"/>
          <w:lang w:eastAsia="zh-CN"/>
        </w:rPr>
        <w:t>地裂缝</w:t>
      </w:r>
      <w:r>
        <w:rPr>
          <w:rFonts w:hint="eastAsia" w:ascii="宋体" w:hAnsi="宋体" w:cs="宋体"/>
          <w:szCs w:val="28"/>
        </w:rPr>
        <w:t>按照</w:t>
      </w:r>
      <w:r>
        <w:rPr>
          <w:rFonts w:ascii="宋体" w:hAnsi="宋体" w:cs="宋体"/>
          <w:szCs w:val="28"/>
        </w:rPr>
        <w:t>因地制宜原则</w:t>
      </w:r>
      <w:r>
        <w:rPr>
          <w:rFonts w:hint="eastAsia" w:ascii="宋体" w:hAnsi="宋体" w:cs="宋体"/>
          <w:szCs w:val="28"/>
        </w:rPr>
        <w:t>进行治理。工程设计的最终成果与复垦责任区原来的土地利用类型、周边的土地类别、地貌景观、生态环境相协调和匹配。</w:t>
      </w:r>
    </w:p>
    <w:p w14:paraId="215786AE">
      <w:pPr>
        <w:ind w:firstLine="560"/>
        <w:rPr>
          <w:szCs w:val="28"/>
        </w:rPr>
      </w:pPr>
      <w:r>
        <w:rPr>
          <w:rFonts w:hint="eastAsia" w:ascii="宋体" w:hAnsi="宋体" w:cs="宋体"/>
          <w:szCs w:val="28"/>
        </w:rPr>
        <w:t>矿山进行生态修复工程后，将所破坏的土地被有效还原，消除不良地质环境问题，土地将与周边环境、地类协调一致，达到了生态修复的目的</w:t>
      </w:r>
      <w:r>
        <w:rPr>
          <w:rFonts w:hint="eastAsia" w:ascii="宋体" w:hAnsi="宋体" w:cs="宋体"/>
          <w:sz w:val="24"/>
        </w:rPr>
        <w:t>。</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EF2A4EE">
      <w:pPr>
        <w:pStyle w:val="5"/>
        <w:ind w:firstLine="562"/>
        <w:rPr>
          <w:bCs/>
        </w:rPr>
      </w:pPr>
      <w:r>
        <w:rPr>
          <w:bCs/>
        </w:rPr>
        <w:t>（二）目标方向可行性分析</w:t>
      </w:r>
    </w:p>
    <w:p w14:paraId="6DAEE43D">
      <w:pPr>
        <w:widowControl/>
        <w:ind w:firstLine="560"/>
        <w:rPr>
          <w:rFonts w:hint="eastAsia" w:ascii="宋体" w:hAnsi="宋体" w:cs="宋体"/>
          <w:szCs w:val="28"/>
        </w:rPr>
      </w:pPr>
      <w:r>
        <w:rPr>
          <w:rFonts w:hint="eastAsia" w:ascii="宋体" w:hAnsi="宋体" w:cs="宋体"/>
          <w:szCs w:val="28"/>
        </w:rPr>
        <w:t>1.复垦区土地利用现状</w:t>
      </w:r>
    </w:p>
    <w:p w14:paraId="10518582">
      <w:pPr>
        <w:ind w:firstLine="560"/>
        <w:rPr>
          <w:rFonts w:hint="default" w:ascii="Times New Roman" w:hAnsi="Times New Roman" w:cs="Times New Roman"/>
          <w:sz w:val="24"/>
        </w:rPr>
      </w:pPr>
      <w:r>
        <w:rPr>
          <w:rFonts w:hint="eastAsia" w:ascii="宋体" w:hAnsi="宋体" w:cs="宋体"/>
          <w:szCs w:val="28"/>
        </w:rPr>
        <w:t>以</w:t>
      </w:r>
      <w:r>
        <w:rPr>
          <w:rFonts w:hint="eastAsia" w:ascii="宋体" w:hAnsi="宋体" w:cs="宋体"/>
          <w:szCs w:val="28"/>
          <w:lang w:eastAsia="zh-CN"/>
        </w:rPr>
        <w:t>集安市自然资源局</w:t>
      </w:r>
      <w:r>
        <w:rPr>
          <w:rFonts w:hint="eastAsia" w:ascii="宋体" w:hAnsi="宋体" w:cs="宋体"/>
          <w:szCs w:val="28"/>
        </w:rPr>
        <w:t>出具的项目区第三次土地利用现状图为底图，结合</w:t>
      </w:r>
      <w:r>
        <w:rPr>
          <w:rFonts w:hint="eastAsia" w:ascii="宋体" w:hAnsi="宋体" w:cs="宋体"/>
          <w:szCs w:val="28"/>
          <w:lang w:eastAsia="zh-CN"/>
        </w:rPr>
        <w:t>二道滑石矿</w:t>
      </w:r>
      <w:r>
        <w:rPr>
          <w:rFonts w:hint="eastAsia" w:ascii="宋体" w:hAnsi="宋体" w:cs="宋体"/>
          <w:szCs w:val="28"/>
        </w:rPr>
        <w:t>平面工程布置，在实地踏勘的基础上充分分析损毁土地情况，确定复垦区及复垦责任区土地利用现状。</w:t>
      </w:r>
      <w:r>
        <w:rPr>
          <w:rFonts w:hint="eastAsia" w:ascii="宋体" w:hAnsi="宋体" w:cs="宋体"/>
          <w:szCs w:val="28"/>
          <w:lang w:eastAsia="zh-CN"/>
        </w:rPr>
        <w:t>二道滑石矿</w:t>
      </w:r>
      <w:r>
        <w:rPr>
          <w:rFonts w:hint="eastAsia" w:ascii="宋体" w:hAnsi="宋体" w:cs="宋体"/>
          <w:szCs w:val="28"/>
        </w:rPr>
        <w:t>矿山复垦责任面积</w:t>
      </w:r>
      <w:r>
        <w:rPr>
          <w:rFonts w:hint="eastAsia"/>
          <w:szCs w:val="28"/>
          <w:lang w:eastAsia="zh-CN"/>
        </w:rPr>
        <w:t>1.5288</w:t>
      </w:r>
      <w:r>
        <w:rPr>
          <w:szCs w:val="28"/>
        </w:rPr>
        <w:t>h</w:t>
      </w:r>
      <w:r>
        <w:rPr>
          <w:rFonts w:hint="eastAsia"/>
          <w:szCs w:val="28"/>
        </w:rPr>
        <w:t>m²</w:t>
      </w:r>
      <w:r>
        <w:rPr>
          <w:szCs w:val="28"/>
        </w:rPr>
        <w:t>，</w:t>
      </w:r>
      <w:r>
        <w:rPr>
          <w:rFonts w:hint="default" w:ascii="Times New Roman" w:hAnsi="Times New Roman" w:cs="Times New Roman"/>
          <w:szCs w:val="28"/>
        </w:rPr>
        <w:t>其中：乔木林地</w:t>
      </w:r>
      <w:r>
        <w:rPr>
          <w:rFonts w:hint="default" w:ascii="Times New Roman" w:hAnsi="Times New Roman" w:cs="Times New Roman"/>
          <w:szCs w:val="28"/>
          <w:lang w:eastAsia="zh-CN"/>
        </w:rPr>
        <w:t>1.3488</w:t>
      </w:r>
      <w:r>
        <w:rPr>
          <w:rFonts w:hint="default" w:ascii="Times New Roman" w:hAnsi="Times New Roman" w:cs="Times New Roman"/>
          <w:szCs w:val="28"/>
        </w:rPr>
        <w:t>hm</w:t>
      </w:r>
      <w:r>
        <w:rPr>
          <w:rFonts w:hint="default" w:ascii="Times New Roman" w:hAnsi="Times New Roman" w:cs="Times New Roman"/>
          <w:szCs w:val="28"/>
          <w:vertAlign w:val="superscript"/>
        </w:rPr>
        <w:t>2</w:t>
      </w:r>
      <w:r>
        <w:rPr>
          <w:rFonts w:hint="default" w:ascii="Times New Roman" w:hAnsi="Times New Roman" w:cs="Times New Roman"/>
          <w:szCs w:val="28"/>
        </w:rPr>
        <w:t>，采矿用地</w:t>
      </w:r>
      <w:r>
        <w:rPr>
          <w:rFonts w:hint="default" w:ascii="Times New Roman" w:hAnsi="Times New Roman" w:cs="Times New Roman"/>
          <w:szCs w:val="28"/>
          <w:lang w:eastAsia="zh-CN"/>
        </w:rPr>
        <w:t>0.18</w:t>
      </w:r>
      <w:r>
        <w:rPr>
          <w:rFonts w:hint="default" w:ascii="Times New Roman" w:hAnsi="Times New Roman" w:cs="Times New Roman"/>
          <w:szCs w:val="28"/>
        </w:rPr>
        <w:t>hm</w:t>
      </w:r>
      <w:r>
        <w:rPr>
          <w:rFonts w:hint="default" w:ascii="Times New Roman" w:hAnsi="Times New Roman" w:cs="Times New Roman"/>
          <w:szCs w:val="28"/>
          <w:vertAlign w:val="superscript"/>
        </w:rPr>
        <w:t>2</w:t>
      </w:r>
      <w:r>
        <w:rPr>
          <w:rFonts w:hint="default" w:ascii="Times New Roman" w:hAnsi="Times New Roman" w:cs="Times New Roman"/>
          <w:szCs w:val="28"/>
        </w:rPr>
        <w:t>土地利用现状见表3-</w:t>
      </w:r>
      <w:r>
        <w:rPr>
          <w:rFonts w:hint="default" w:ascii="Times New Roman" w:hAnsi="Times New Roman" w:cs="Times New Roman"/>
          <w:szCs w:val="28"/>
          <w:lang w:val="en-US" w:eastAsia="zh-CN"/>
        </w:rPr>
        <w:t>18</w:t>
      </w:r>
      <w:r>
        <w:rPr>
          <w:rFonts w:hint="default" w:ascii="Times New Roman" w:hAnsi="Times New Roman" w:cs="Times New Roman"/>
          <w:sz w:val="24"/>
        </w:rPr>
        <w:t>。</w:t>
      </w:r>
    </w:p>
    <w:p w14:paraId="227B73F1">
      <w:pPr>
        <w:pStyle w:val="57"/>
        <w:rPr>
          <w:rFonts w:hint="eastAsia"/>
        </w:rPr>
      </w:pPr>
      <w:r>
        <w:rPr>
          <w:rFonts w:hint="eastAsia"/>
        </w:rPr>
        <w:t>表3-</w:t>
      </w:r>
      <w:r>
        <w:rPr>
          <w:rFonts w:hint="eastAsia"/>
          <w:lang w:val="en-US" w:eastAsia="zh-CN"/>
        </w:rPr>
        <w:t>18</w:t>
      </w:r>
      <w:r>
        <w:rPr>
          <w:rFonts w:hint="eastAsia"/>
        </w:rPr>
        <w:t>复垦区土地利用现状表单位：hm²</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0"/>
        <w:gridCol w:w="2450"/>
        <w:gridCol w:w="1826"/>
        <w:gridCol w:w="2041"/>
        <w:gridCol w:w="1683"/>
      </w:tblGrid>
      <w:tr w14:paraId="6864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blHeader/>
        </w:trPr>
        <w:tc>
          <w:tcPr>
            <w:tcW w:w="4120" w:type="pct"/>
            <w:gridSpan w:val="4"/>
            <w:vAlign w:val="center"/>
          </w:tcPr>
          <w:p w14:paraId="01A8C791">
            <w:pPr>
              <w:pStyle w:val="72"/>
              <w:rPr>
                <w:rFonts w:hint="eastAsia"/>
              </w:rPr>
            </w:pPr>
            <w:r>
              <w:t>土地类型</w:t>
            </w:r>
          </w:p>
        </w:tc>
        <w:tc>
          <w:tcPr>
            <w:tcW w:w="879" w:type="pct"/>
            <w:vMerge w:val="restart"/>
            <w:vAlign w:val="center"/>
          </w:tcPr>
          <w:p w14:paraId="727AB44E">
            <w:pPr>
              <w:pStyle w:val="72"/>
              <w:rPr>
                <w:rFonts w:hint="eastAsia"/>
              </w:rPr>
            </w:pPr>
            <w:r>
              <w:rPr>
                <w:rFonts w:hint="eastAsia"/>
              </w:rPr>
              <w:t>面积</w:t>
            </w:r>
            <w:r>
              <w:t>（h</w:t>
            </w:r>
            <w:r>
              <w:rPr>
                <w:rFonts w:hint="eastAsia"/>
              </w:rPr>
              <w:t>m</w:t>
            </w:r>
            <w:r>
              <w:t>²）</w:t>
            </w:r>
          </w:p>
        </w:tc>
      </w:tr>
      <w:tr w14:paraId="1433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blHeader/>
        </w:trPr>
        <w:tc>
          <w:tcPr>
            <w:tcW w:w="2100" w:type="pct"/>
            <w:gridSpan w:val="2"/>
            <w:vAlign w:val="center"/>
          </w:tcPr>
          <w:p w14:paraId="63241BEA">
            <w:pPr>
              <w:pStyle w:val="72"/>
              <w:rPr>
                <w:rFonts w:hint="eastAsia"/>
              </w:rPr>
            </w:pPr>
            <w:r>
              <w:t>一级地类</w:t>
            </w:r>
          </w:p>
        </w:tc>
        <w:tc>
          <w:tcPr>
            <w:tcW w:w="2020" w:type="pct"/>
            <w:gridSpan w:val="2"/>
            <w:vAlign w:val="center"/>
          </w:tcPr>
          <w:p w14:paraId="7B4FCA8D">
            <w:pPr>
              <w:pStyle w:val="72"/>
              <w:rPr>
                <w:rFonts w:hint="eastAsia"/>
              </w:rPr>
            </w:pPr>
            <w:r>
              <w:t>二级地类</w:t>
            </w:r>
          </w:p>
        </w:tc>
        <w:tc>
          <w:tcPr>
            <w:tcW w:w="879" w:type="pct"/>
            <w:vMerge w:val="continue"/>
            <w:vAlign w:val="center"/>
          </w:tcPr>
          <w:p w14:paraId="414521ED">
            <w:pPr>
              <w:pStyle w:val="72"/>
              <w:rPr>
                <w:rFonts w:hint="eastAsia"/>
              </w:rPr>
            </w:pPr>
          </w:p>
        </w:tc>
      </w:tr>
      <w:tr w14:paraId="4EAD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blHeader/>
        </w:trPr>
        <w:tc>
          <w:tcPr>
            <w:tcW w:w="820" w:type="pct"/>
            <w:vAlign w:val="center"/>
          </w:tcPr>
          <w:p w14:paraId="1184F73E">
            <w:pPr>
              <w:pStyle w:val="72"/>
              <w:rPr>
                <w:rFonts w:hint="eastAsia"/>
              </w:rPr>
            </w:pPr>
            <w:r>
              <w:t>地类编码</w:t>
            </w:r>
          </w:p>
        </w:tc>
        <w:tc>
          <w:tcPr>
            <w:tcW w:w="1280" w:type="pct"/>
            <w:vAlign w:val="center"/>
          </w:tcPr>
          <w:p w14:paraId="350DB840">
            <w:pPr>
              <w:pStyle w:val="72"/>
              <w:rPr>
                <w:rFonts w:hint="eastAsia"/>
              </w:rPr>
            </w:pPr>
            <w:r>
              <w:t>地类名称</w:t>
            </w:r>
          </w:p>
        </w:tc>
        <w:tc>
          <w:tcPr>
            <w:tcW w:w="954" w:type="pct"/>
            <w:vAlign w:val="center"/>
          </w:tcPr>
          <w:p w14:paraId="6A6247F6">
            <w:pPr>
              <w:pStyle w:val="72"/>
              <w:rPr>
                <w:rFonts w:hint="eastAsia"/>
              </w:rPr>
            </w:pPr>
            <w:r>
              <w:t>地类编码</w:t>
            </w:r>
          </w:p>
        </w:tc>
        <w:tc>
          <w:tcPr>
            <w:tcW w:w="1066" w:type="pct"/>
            <w:vAlign w:val="center"/>
          </w:tcPr>
          <w:p w14:paraId="576FAAF7">
            <w:pPr>
              <w:pStyle w:val="72"/>
              <w:rPr>
                <w:rFonts w:hint="eastAsia"/>
              </w:rPr>
            </w:pPr>
            <w:r>
              <w:t>地类名称</w:t>
            </w:r>
          </w:p>
        </w:tc>
        <w:tc>
          <w:tcPr>
            <w:tcW w:w="879" w:type="pct"/>
            <w:vMerge w:val="continue"/>
            <w:vAlign w:val="center"/>
          </w:tcPr>
          <w:p w14:paraId="78ED9D03">
            <w:pPr>
              <w:pStyle w:val="72"/>
              <w:rPr>
                <w:rFonts w:hint="eastAsia"/>
              </w:rPr>
            </w:pPr>
          </w:p>
        </w:tc>
      </w:tr>
      <w:tr w14:paraId="420A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820" w:type="pct"/>
            <w:vAlign w:val="center"/>
          </w:tcPr>
          <w:p w14:paraId="002BBBA9">
            <w:pPr>
              <w:pStyle w:val="72"/>
              <w:rPr>
                <w:rFonts w:hint="eastAsia"/>
              </w:rPr>
            </w:pPr>
            <w:r>
              <w:t>03</w:t>
            </w:r>
          </w:p>
        </w:tc>
        <w:tc>
          <w:tcPr>
            <w:tcW w:w="1280" w:type="pct"/>
            <w:vAlign w:val="center"/>
          </w:tcPr>
          <w:p w14:paraId="28CAE90F">
            <w:pPr>
              <w:pStyle w:val="72"/>
              <w:rPr>
                <w:rFonts w:hint="eastAsia"/>
              </w:rPr>
            </w:pPr>
            <w:r>
              <w:t>林地</w:t>
            </w:r>
          </w:p>
        </w:tc>
        <w:tc>
          <w:tcPr>
            <w:tcW w:w="954" w:type="pct"/>
            <w:vAlign w:val="center"/>
          </w:tcPr>
          <w:p w14:paraId="0B5BB3CE">
            <w:pPr>
              <w:pStyle w:val="72"/>
              <w:rPr>
                <w:rFonts w:hint="eastAsia"/>
              </w:rPr>
            </w:pPr>
            <w:r>
              <w:rPr>
                <w:rFonts w:hint="eastAsia"/>
              </w:rPr>
              <w:t>0301</w:t>
            </w:r>
          </w:p>
        </w:tc>
        <w:tc>
          <w:tcPr>
            <w:tcW w:w="1066" w:type="pct"/>
            <w:vAlign w:val="center"/>
          </w:tcPr>
          <w:p w14:paraId="580D8F0C">
            <w:pPr>
              <w:pStyle w:val="72"/>
              <w:rPr>
                <w:rFonts w:hint="eastAsia"/>
              </w:rPr>
            </w:pPr>
            <w:r>
              <w:rPr>
                <w:rFonts w:hint="eastAsia"/>
              </w:rPr>
              <w:t>乔木林地</w:t>
            </w:r>
          </w:p>
        </w:tc>
        <w:tc>
          <w:tcPr>
            <w:tcW w:w="879" w:type="pct"/>
            <w:vAlign w:val="center"/>
          </w:tcPr>
          <w:p w14:paraId="0750CE63">
            <w:pPr>
              <w:pStyle w:val="72"/>
              <w:rPr>
                <w:rFonts w:hint="eastAsia" w:eastAsia="仿宋"/>
                <w:lang w:eastAsia="zh-CN"/>
              </w:rPr>
            </w:pPr>
            <w:r>
              <w:rPr>
                <w:rFonts w:hint="eastAsia"/>
                <w:lang w:eastAsia="zh-CN"/>
              </w:rPr>
              <w:t>1.3488</w:t>
            </w:r>
          </w:p>
        </w:tc>
      </w:tr>
      <w:tr w14:paraId="39E3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820" w:type="pct"/>
            <w:vAlign w:val="center"/>
          </w:tcPr>
          <w:p w14:paraId="6ACE6C37">
            <w:pPr>
              <w:pStyle w:val="72"/>
              <w:rPr>
                <w:rFonts w:hint="eastAsia"/>
              </w:rPr>
            </w:pPr>
            <w:r>
              <w:t>06</w:t>
            </w:r>
          </w:p>
        </w:tc>
        <w:tc>
          <w:tcPr>
            <w:tcW w:w="1280" w:type="pct"/>
            <w:vAlign w:val="center"/>
          </w:tcPr>
          <w:p w14:paraId="0C1A76AA">
            <w:pPr>
              <w:pStyle w:val="72"/>
              <w:rPr>
                <w:rFonts w:hint="eastAsia"/>
              </w:rPr>
            </w:pPr>
            <w:r>
              <w:t>工矿仓储用地</w:t>
            </w:r>
          </w:p>
        </w:tc>
        <w:tc>
          <w:tcPr>
            <w:tcW w:w="954" w:type="pct"/>
            <w:vAlign w:val="center"/>
          </w:tcPr>
          <w:p w14:paraId="6E4714D2">
            <w:pPr>
              <w:pStyle w:val="72"/>
              <w:rPr>
                <w:rFonts w:hint="eastAsia"/>
              </w:rPr>
            </w:pPr>
            <w:r>
              <w:rPr>
                <w:rFonts w:hint="eastAsia"/>
              </w:rPr>
              <w:t>0602</w:t>
            </w:r>
          </w:p>
        </w:tc>
        <w:tc>
          <w:tcPr>
            <w:tcW w:w="1066" w:type="pct"/>
            <w:vAlign w:val="center"/>
          </w:tcPr>
          <w:p w14:paraId="37F6BDEA">
            <w:pPr>
              <w:pStyle w:val="72"/>
              <w:rPr>
                <w:rFonts w:hint="eastAsia"/>
              </w:rPr>
            </w:pPr>
            <w:r>
              <w:rPr>
                <w:rFonts w:hint="eastAsia"/>
              </w:rPr>
              <w:t>采矿用地</w:t>
            </w:r>
          </w:p>
        </w:tc>
        <w:tc>
          <w:tcPr>
            <w:tcW w:w="879" w:type="pct"/>
            <w:vAlign w:val="center"/>
          </w:tcPr>
          <w:p w14:paraId="105221B3">
            <w:pPr>
              <w:pStyle w:val="72"/>
              <w:rPr>
                <w:rFonts w:hint="default" w:eastAsia="仿宋"/>
                <w:lang w:val="en-US" w:eastAsia="zh-CN"/>
              </w:rPr>
            </w:pPr>
            <w:r>
              <w:rPr>
                <w:rFonts w:hint="eastAsia"/>
                <w:lang w:val="en-US" w:eastAsia="zh-CN"/>
              </w:rPr>
              <w:t>0.18</w:t>
            </w:r>
          </w:p>
        </w:tc>
      </w:tr>
      <w:tr w14:paraId="6B37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820" w:type="pct"/>
            <w:vAlign w:val="center"/>
          </w:tcPr>
          <w:p w14:paraId="709C4C43">
            <w:pPr>
              <w:pStyle w:val="72"/>
              <w:rPr>
                <w:rFonts w:hint="eastAsia"/>
              </w:rPr>
            </w:pPr>
            <w:r>
              <w:t>合计</w:t>
            </w:r>
          </w:p>
        </w:tc>
        <w:tc>
          <w:tcPr>
            <w:tcW w:w="1280" w:type="pct"/>
            <w:vAlign w:val="center"/>
          </w:tcPr>
          <w:p w14:paraId="37269070">
            <w:pPr>
              <w:pStyle w:val="72"/>
              <w:rPr>
                <w:rFonts w:hint="eastAsia"/>
              </w:rPr>
            </w:pPr>
          </w:p>
        </w:tc>
        <w:tc>
          <w:tcPr>
            <w:tcW w:w="954" w:type="pct"/>
            <w:vAlign w:val="center"/>
          </w:tcPr>
          <w:p w14:paraId="5D7FFA51">
            <w:pPr>
              <w:pStyle w:val="72"/>
              <w:rPr>
                <w:rFonts w:hint="eastAsia"/>
              </w:rPr>
            </w:pPr>
          </w:p>
        </w:tc>
        <w:tc>
          <w:tcPr>
            <w:tcW w:w="1066" w:type="pct"/>
            <w:vAlign w:val="center"/>
          </w:tcPr>
          <w:p w14:paraId="11B2E945">
            <w:pPr>
              <w:pStyle w:val="72"/>
              <w:rPr>
                <w:rFonts w:hint="eastAsia"/>
              </w:rPr>
            </w:pPr>
          </w:p>
        </w:tc>
        <w:tc>
          <w:tcPr>
            <w:tcW w:w="879" w:type="pct"/>
            <w:vAlign w:val="center"/>
          </w:tcPr>
          <w:p w14:paraId="5E151E49">
            <w:pPr>
              <w:pStyle w:val="72"/>
              <w:rPr>
                <w:rFonts w:hint="eastAsia" w:eastAsia="仿宋"/>
                <w:lang w:eastAsia="zh-CN"/>
              </w:rPr>
            </w:pPr>
            <w:r>
              <w:rPr>
                <w:rFonts w:hint="eastAsia"/>
                <w:lang w:eastAsia="zh-CN"/>
              </w:rPr>
              <w:t>1.5288</w:t>
            </w:r>
          </w:p>
        </w:tc>
      </w:tr>
    </w:tbl>
    <w:p w14:paraId="2C68AA6E">
      <w:pPr>
        <w:ind w:firstLine="560"/>
      </w:pPr>
      <w:r>
        <w:t>2.生态修复目标方向适宜性评价</w:t>
      </w:r>
    </w:p>
    <w:p w14:paraId="465F0F09">
      <w:pPr>
        <w:ind w:firstLine="560"/>
      </w:pPr>
      <w:r>
        <w:t>适宜性评价是针对损毁土地进行的潜在的评价，根据破坏土地的自然属性和破坏状况，适当</w:t>
      </w:r>
      <w:r>
        <w:rPr>
          <w:rFonts w:hint="eastAsia"/>
        </w:rPr>
        <w:t>以</w:t>
      </w:r>
      <w:r>
        <w:t>社会经济因素作为背景条件，来评定未来土地复垦后对农、林、牧、副、渔及其他利用方向的适宜性及适宜程度、限制性及限制程度，是一种预测性的评价。</w:t>
      </w:r>
    </w:p>
    <w:p w14:paraId="47D09447">
      <w:pPr>
        <w:ind w:firstLine="560"/>
      </w:pPr>
      <w:r>
        <w:t>（1）评价原则</w:t>
      </w:r>
    </w:p>
    <w:p w14:paraId="27D530A0">
      <w:pPr>
        <w:ind w:firstLine="560"/>
      </w:pPr>
      <w:r>
        <w:fldChar w:fldCharType="begin"/>
      </w:r>
      <w:r>
        <w:instrText xml:space="preserve"> = 1 \* GB3 </w:instrText>
      </w:r>
      <w:r>
        <w:fldChar w:fldCharType="separate"/>
      </w:r>
      <w:r>
        <w:rPr>
          <w:rFonts w:ascii="Cambria Math" w:hAnsi="Cambria Math" w:cs="Cambria Math"/>
        </w:rPr>
        <w:t>①</w:t>
      </w:r>
      <w:r>
        <w:fldChar w:fldCharType="end"/>
      </w:r>
      <w:r>
        <w:t>符合国土空间总体规划，并与其他规划相协调</w:t>
      </w:r>
    </w:p>
    <w:p w14:paraId="38B732E2">
      <w:pPr>
        <w:ind w:firstLine="560"/>
      </w:pPr>
      <w:r>
        <w:t>评价须考虑国家和地方的国土空间总体规划、经济发展规划、农业和林业规划等，兼顾社会各方利益，促进社会、经济和环境的和谐发展。</w:t>
      </w:r>
    </w:p>
    <w:p w14:paraId="6727C9E3">
      <w:pPr>
        <w:ind w:firstLine="560"/>
      </w:pPr>
      <w:r>
        <w:fldChar w:fldCharType="begin"/>
      </w:r>
      <w:r>
        <w:instrText xml:space="preserve"> = 2 \* GB3 </w:instrText>
      </w:r>
      <w:r>
        <w:fldChar w:fldCharType="separate"/>
      </w:r>
      <w:r>
        <w:rPr>
          <w:rFonts w:ascii="Cambria Math" w:hAnsi="Cambria Math" w:cs="Cambria Math"/>
        </w:rPr>
        <w:t>②</w:t>
      </w:r>
      <w:r>
        <w:fldChar w:fldCharType="end"/>
      </w:r>
      <w:r>
        <w:t>因地制宜原则</w:t>
      </w:r>
    </w:p>
    <w:p w14:paraId="7C78F5BC">
      <w:pPr>
        <w:ind w:firstLine="560"/>
      </w:pPr>
      <w:r>
        <w:t>在确定被破坏土地生态修复方向时，首先考虑其可垦性和综合效益，选择最佳的利用方向。生态修复方向的确定应以最小的投入获得最大的社会、生态、经济效益。符合区域国土空间总体规划要求，发挥生态修复综合效益。</w:t>
      </w:r>
    </w:p>
    <w:p w14:paraId="47781932">
      <w:pPr>
        <w:ind w:firstLine="560"/>
      </w:pPr>
      <w:r>
        <w:fldChar w:fldCharType="begin"/>
      </w:r>
      <w:r>
        <w:instrText xml:space="preserve"> = 3 \* GB3 </w:instrText>
      </w:r>
      <w:r>
        <w:fldChar w:fldCharType="separate"/>
      </w:r>
      <w:r>
        <w:rPr>
          <w:rFonts w:ascii="Cambria Math" w:hAnsi="Cambria Math" w:cs="Cambria Math"/>
        </w:rPr>
        <w:t>③</w:t>
      </w:r>
      <w:r>
        <w:fldChar w:fldCharType="end"/>
      </w:r>
      <w:r>
        <w:t>生态修复耕地优先和综合效益最佳原则</w:t>
      </w:r>
    </w:p>
    <w:p w14:paraId="656B5C38">
      <w:pPr>
        <w:ind w:firstLine="560"/>
      </w:pPr>
      <w:r>
        <w:t>在确定被破坏土地复垦利用方向时，首先考虑是否能复垦为农业用地，其次再宜林则林，宜渔则渔，综合治理，选择最佳的利用方向。</w:t>
      </w:r>
    </w:p>
    <w:p w14:paraId="62BDAE01">
      <w:pPr>
        <w:ind w:firstLine="560"/>
      </w:pPr>
      <w:r>
        <w:fldChar w:fldCharType="begin"/>
      </w:r>
      <w:r>
        <w:instrText xml:space="preserve"> = 4 \* GB3 </w:instrText>
      </w:r>
      <w:r>
        <w:fldChar w:fldCharType="separate"/>
      </w:r>
      <w:r>
        <w:rPr>
          <w:rFonts w:ascii="Cambria Math" w:hAnsi="Cambria Math" w:cs="Cambria Math"/>
        </w:rPr>
        <w:t>④</w:t>
      </w:r>
      <w:r>
        <w:fldChar w:fldCharType="end"/>
      </w:r>
      <w:r>
        <w:t>主导性限制因素与综合平衡原则</w:t>
      </w:r>
    </w:p>
    <w:p w14:paraId="21C93827">
      <w:pPr>
        <w:ind w:firstLine="560"/>
      </w:pPr>
      <w:r>
        <w:t>矿区土地损毁是一个由多种要素组成的复杂的开放系统，土地要素的不同组合及其作用的消长构成了复杂多样的土地类型，遭破坏的土地质量不但取决于构成土地的自然要素（如坡度、土壤质地等），同时还受到社会、经济及技术条件的制约。评价过程中，在综合分析考虑多种因素的基础上，识别主导因素，客观地反映破坏土地的适应性，并按照主导因素确定其适宜的利用方向。</w:t>
      </w:r>
    </w:p>
    <w:p w14:paraId="3F7BF733">
      <w:pPr>
        <w:ind w:firstLine="560"/>
      </w:pPr>
      <w:r>
        <w:fldChar w:fldCharType="begin"/>
      </w:r>
      <w:r>
        <w:instrText xml:space="preserve"> = 5 \* GB3 </w:instrText>
      </w:r>
      <w:r>
        <w:fldChar w:fldCharType="separate"/>
      </w:r>
      <w:r>
        <w:rPr>
          <w:rFonts w:ascii="Cambria Math" w:hAnsi="Cambria Math" w:cs="Cambria Math"/>
        </w:rPr>
        <w:t>⑤</w:t>
      </w:r>
      <w:r>
        <w:fldChar w:fldCharType="end"/>
      </w:r>
      <w:r>
        <w:t>生态修复后土地可持续利用原则</w:t>
      </w:r>
    </w:p>
    <w:p w14:paraId="11C740DD">
      <w:pPr>
        <w:ind w:firstLine="560"/>
      </w:pPr>
      <w:r>
        <w:t>矿山是生产型项目，其破坏土地的过程是一个动态过程，土地的适宜性也应随破坏过程及阶段的不同而变化。生态修复工作应遵循可持续发展的原则，应保证确定的土地利用方向具有持续生产能力。</w:t>
      </w:r>
    </w:p>
    <w:p w14:paraId="24100FE4">
      <w:pPr>
        <w:ind w:firstLine="560"/>
      </w:pPr>
      <w:r>
        <w:fldChar w:fldCharType="begin"/>
      </w:r>
      <w:r>
        <w:instrText xml:space="preserve"> = 6 \* GB3 </w:instrText>
      </w:r>
      <w:r>
        <w:fldChar w:fldCharType="separate"/>
      </w:r>
      <w:r>
        <w:rPr>
          <w:rFonts w:ascii="Cambria Math" w:hAnsi="Cambria Math" w:cs="Cambria Math"/>
        </w:rPr>
        <w:t>⑥</w:t>
      </w:r>
      <w:r>
        <w:fldChar w:fldCharType="end"/>
      </w:r>
      <w:r>
        <w:t>经济可行、技术合理性原则</w:t>
      </w:r>
    </w:p>
    <w:p w14:paraId="173E5ABF">
      <w:pPr>
        <w:ind w:firstLine="560"/>
      </w:pPr>
      <w:r>
        <w:t>生态修复方案估算成果合理、资金落实，技术措施合理，使生态修复方案切实可行。</w:t>
      </w:r>
    </w:p>
    <w:p w14:paraId="4E2C1EB6">
      <w:pPr>
        <w:ind w:firstLine="560"/>
      </w:pPr>
      <w:r>
        <w:fldChar w:fldCharType="begin"/>
      </w:r>
      <w:r>
        <w:instrText xml:space="preserve"> = 7 \* GB3 </w:instrText>
      </w:r>
      <w:r>
        <w:fldChar w:fldCharType="separate"/>
      </w:r>
      <w:r>
        <w:rPr>
          <w:rFonts w:ascii="Cambria Math" w:hAnsi="Cambria Math" w:cs="Cambria Math"/>
        </w:rPr>
        <w:t>⑦</w:t>
      </w:r>
      <w:r>
        <w:fldChar w:fldCharType="end"/>
      </w:r>
      <w:r>
        <w:t>社会因素和经济因素相结合原则。</w:t>
      </w:r>
    </w:p>
    <w:p w14:paraId="0DA31758">
      <w:pPr>
        <w:ind w:firstLine="560"/>
      </w:pPr>
      <w:r>
        <w:t>（2）评价依据</w:t>
      </w:r>
    </w:p>
    <w:p w14:paraId="44C33BAC">
      <w:pPr>
        <w:ind w:firstLine="560"/>
        <w:jc w:val="both"/>
        <w:rPr>
          <w:szCs w:val="28"/>
        </w:rPr>
      </w:pPr>
      <w:r>
        <w:rPr>
          <w:szCs w:val="28"/>
        </w:rPr>
        <w:t>土地生态修复适宜性评价在详细调查项目区土地损毁前的利用状况、生产力水平和损毁后土地的自然条件基础上，参考矿区损毁程度综合评价结果，依据国家和地方的规划和行业标准，采取切实可行的办法，改善被损毁土地的生态环境，确定复垦利用方向。其主要依据包括：</w:t>
      </w:r>
    </w:p>
    <w:p w14:paraId="10D511E0">
      <w:pPr>
        <w:ind w:firstLine="560"/>
        <w:jc w:val="both"/>
        <w:rPr>
          <w:szCs w:val="28"/>
        </w:rPr>
      </w:pPr>
      <w:r>
        <w:rPr>
          <w:rFonts w:ascii="Cambria Math" w:hAnsi="Cambria Math" w:cs="Cambria Math"/>
          <w:szCs w:val="28"/>
        </w:rPr>
        <w:t>①</w:t>
      </w:r>
      <w:r>
        <w:rPr>
          <w:szCs w:val="28"/>
        </w:rPr>
        <w:t>相关法律法规和规划</w:t>
      </w:r>
    </w:p>
    <w:p w14:paraId="591B706D">
      <w:pPr>
        <w:ind w:firstLine="560"/>
        <w:jc w:val="both"/>
        <w:rPr>
          <w:szCs w:val="28"/>
        </w:rPr>
      </w:pPr>
      <w:r>
        <w:rPr>
          <w:szCs w:val="28"/>
        </w:rPr>
        <w:t>包括国家与地方有关土地生态修复的法律法规，如《中华人民共和国土地管理法》《土地复垦条例》、土地管理的相关法律法规和</w:t>
      </w:r>
      <w:r>
        <w:rPr>
          <w:rFonts w:hint="eastAsia"/>
          <w:szCs w:val="28"/>
          <w:lang w:eastAsia="zh-CN"/>
        </w:rPr>
        <w:t>通化市</w:t>
      </w:r>
      <w:r>
        <w:rPr>
          <w:rFonts w:hint="eastAsia"/>
          <w:szCs w:val="28"/>
        </w:rPr>
        <w:t>国土空间总体规划</w:t>
      </w:r>
      <w:r>
        <w:rPr>
          <w:szCs w:val="28"/>
        </w:rPr>
        <w:t>及其他相关规划等。</w:t>
      </w:r>
    </w:p>
    <w:p w14:paraId="0CB4EC54">
      <w:pPr>
        <w:ind w:firstLine="560"/>
        <w:jc w:val="both"/>
        <w:rPr>
          <w:szCs w:val="28"/>
        </w:rPr>
      </w:pPr>
      <w:r>
        <w:rPr>
          <w:rFonts w:ascii="Cambria Math" w:hAnsi="Cambria Math" w:cs="Cambria Math"/>
          <w:szCs w:val="28"/>
        </w:rPr>
        <w:t>②</w:t>
      </w:r>
      <w:r>
        <w:rPr>
          <w:szCs w:val="28"/>
        </w:rPr>
        <w:t>相关规程和标准</w:t>
      </w:r>
    </w:p>
    <w:p w14:paraId="13DB071E">
      <w:pPr>
        <w:ind w:firstLine="560"/>
        <w:jc w:val="both"/>
        <w:rPr>
          <w:szCs w:val="28"/>
        </w:rPr>
      </w:pPr>
      <w:r>
        <w:rPr>
          <w:szCs w:val="28"/>
        </w:rPr>
        <w:t>包括《土地复垦方案编制规程第一部分：通则》（TD/T1031.1-2011）、《土地开发整理规划编制规程》（TD/T107-2000）、《土地复垦质量控制标准》（TD/T1036-2013）等。</w:t>
      </w:r>
    </w:p>
    <w:p w14:paraId="54ACD101">
      <w:pPr>
        <w:ind w:firstLine="560"/>
        <w:jc w:val="both"/>
        <w:rPr>
          <w:szCs w:val="28"/>
        </w:rPr>
      </w:pPr>
      <w:r>
        <w:rPr>
          <w:rFonts w:ascii="Cambria Math" w:hAnsi="Cambria Math" w:cs="Cambria Math"/>
          <w:szCs w:val="28"/>
        </w:rPr>
        <w:t>③</w:t>
      </w:r>
      <w:r>
        <w:rPr>
          <w:szCs w:val="28"/>
        </w:rPr>
        <w:t>其他</w:t>
      </w:r>
    </w:p>
    <w:p w14:paraId="04DAFBAB">
      <w:pPr>
        <w:ind w:firstLine="560"/>
        <w:jc w:val="both"/>
        <w:rPr>
          <w:szCs w:val="28"/>
        </w:rPr>
      </w:pPr>
      <w:r>
        <w:rPr>
          <w:szCs w:val="28"/>
        </w:rPr>
        <w:t>包括项目区范围内土地资源调查资料、土地损毁分析结果、土地损毁前后的土地利用状况，公众参与意见等。</w:t>
      </w:r>
    </w:p>
    <w:p w14:paraId="5FF57C9A">
      <w:pPr>
        <w:ind w:firstLine="560"/>
        <w:jc w:val="both"/>
        <w:rPr>
          <w:bCs/>
          <w:szCs w:val="28"/>
        </w:rPr>
      </w:pPr>
      <w:r>
        <w:rPr>
          <w:bCs/>
          <w:szCs w:val="28"/>
        </w:rPr>
        <w:t>（3）适宜性评价对象的确定</w:t>
      </w:r>
    </w:p>
    <w:p w14:paraId="67BA0399">
      <w:pPr>
        <w:ind w:firstLine="560"/>
        <w:jc w:val="both"/>
        <w:rPr>
          <w:szCs w:val="28"/>
        </w:rPr>
      </w:pPr>
      <w:r>
        <w:rPr>
          <w:szCs w:val="28"/>
        </w:rPr>
        <w:t>根据矿山业主的意愿，在矿山生产结束后，全部纳入生态修复范围。</w:t>
      </w:r>
      <w:r>
        <w:rPr>
          <w:rFonts w:hint="eastAsia"/>
          <w:szCs w:val="28"/>
        </w:rPr>
        <w:t>按照土地权属人意见，</w:t>
      </w:r>
      <w:r>
        <w:rPr>
          <w:szCs w:val="28"/>
        </w:rPr>
        <w:t>本方案的生态修复范围</w:t>
      </w:r>
      <w:r>
        <w:rPr>
          <w:rFonts w:hint="eastAsia"/>
          <w:szCs w:val="28"/>
        </w:rPr>
        <w:t>为</w:t>
      </w:r>
      <w:r>
        <w:rPr>
          <w:rFonts w:hint="eastAsia"/>
          <w:szCs w:val="28"/>
          <w:lang w:eastAsia="zh-CN"/>
        </w:rPr>
        <w:t>工业广场、三处废弃</w:t>
      </w:r>
      <w:r>
        <w:rPr>
          <w:rFonts w:hint="eastAsia"/>
          <w:szCs w:val="28"/>
          <w:lang w:val="en-US" w:eastAsia="zh-CN"/>
        </w:rPr>
        <w:t>平硐</w:t>
      </w:r>
      <w:r>
        <w:rPr>
          <w:rFonts w:hint="eastAsia"/>
          <w:szCs w:val="28"/>
        </w:rPr>
        <w:t>及</w:t>
      </w:r>
      <w:r>
        <w:rPr>
          <w:rFonts w:hint="eastAsia"/>
          <w:szCs w:val="28"/>
          <w:lang w:eastAsia="zh-CN"/>
        </w:rPr>
        <w:t>地裂缝</w:t>
      </w:r>
      <w:r>
        <w:rPr>
          <w:b/>
          <w:szCs w:val="28"/>
        </w:rPr>
        <w:t>，</w:t>
      </w:r>
      <w:r>
        <w:rPr>
          <w:szCs w:val="28"/>
        </w:rPr>
        <w:t>面积共计</w:t>
      </w:r>
      <w:r>
        <w:rPr>
          <w:rFonts w:hint="eastAsia"/>
          <w:szCs w:val="28"/>
          <w:lang w:eastAsia="zh-CN"/>
        </w:rPr>
        <w:t>1.5288</w:t>
      </w:r>
      <w:r>
        <w:rPr>
          <w:szCs w:val="28"/>
        </w:rPr>
        <w:t>hm²。本方案以此为适宜性评价范围。</w:t>
      </w:r>
    </w:p>
    <w:p w14:paraId="6628F4BF">
      <w:pPr>
        <w:ind w:firstLine="560"/>
        <w:jc w:val="both"/>
        <w:rPr>
          <w:szCs w:val="28"/>
        </w:rPr>
      </w:pPr>
      <w:r>
        <w:t>（4）</w:t>
      </w:r>
      <w:r>
        <w:rPr>
          <w:szCs w:val="28"/>
        </w:rPr>
        <w:t>初步生态修复方向的确定</w:t>
      </w:r>
    </w:p>
    <w:p w14:paraId="4C42405E">
      <w:pPr>
        <w:ind w:firstLine="560"/>
        <w:jc w:val="both"/>
        <w:rPr>
          <w:szCs w:val="28"/>
        </w:rPr>
      </w:pPr>
      <w:r>
        <w:rPr>
          <w:szCs w:val="28"/>
        </w:rPr>
        <w:fldChar w:fldCharType="begin"/>
      </w:r>
      <w:r>
        <w:rPr>
          <w:szCs w:val="28"/>
        </w:rPr>
        <w:instrText xml:space="preserve"> = 1 \* GB3 </w:instrText>
      </w:r>
      <w:r>
        <w:rPr>
          <w:szCs w:val="28"/>
        </w:rPr>
        <w:fldChar w:fldCharType="separate"/>
      </w:r>
      <w:r>
        <w:rPr>
          <w:rFonts w:ascii="Cambria Math" w:hAnsi="Cambria Math" w:cs="Cambria Math"/>
          <w:szCs w:val="28"/>
        </w:rPr>
        <w:t>①</w:t>
      </w:r>
      <w:r>
        <w:rPr>
          <w:szCs w:val="28"/>
        </w:rPr>
        <w:fldChar w:fldCharType="end"/>
      </w:r>
      <w:r>
        <w:rPr>
          <w:szCs w:val="28"/>
        </w:rPr>
        <w:t>政策因素评价</w:t>
      </w:r>
    </w:p>
    <w:p w14:paraId="24AC2F17">
      <w:pPr>
        <w:ind w:firstLine="560"/>
        <w:jc w:val="both"/>
        <w:rPr>
          <w:szCs w:val="28"/>
        </w:rPr>
      </w:pPr>
      <w:r>
        <w:rPr>
          <w:szCs w:val="28"/>
        </w:rPr>
        <w:t>根据相关政策，项目区内的土地生态修复工作应该本着因地制宜、合理利用的原则，坚持矿区开发与保护、开采与复垦结合，实现土地资源的可持续利用，同时与社会、经济、环境相互协调。综合项目区的土地利用现状、自然条件，项目区</w:t>
      </w:r>
      <w:r>
        <w:rPr>
          <w:rFonts w:hint="eastAsia"/>
          <w:szCs w:val="28"/>
        </w:rPr>
        <w:t>工业广场</w:t>
      </w:r>
      <w:r>
        <w:rPr>
          <w:rFonts w:hint="eastAsia"/>
          <w:szCs w:val="28"/>
          <w:lang w:val="en-US" w:eastAsia="zh-CN"/>
        </w:rPr>
        <w:t>等</w:t>
      </w:r>
      <w:r>
        <w:rPr>
          <w:szCs w:val="28"/>
        </w:rPr>
        <w:t>土地以</w:t>
      </w:r>
      <w:r>
        <w:rPr>
          <w:rFonts w:hint="eastAsia"/>
          <w:szCs w:val="28"/>
        </w:rPr>
        <w:t>恢复</w:t>
      </w:r>
      <w:r>
        <w:rPr>
          <w:rFonts w:hint="eastAsia"/>
          <w:szCs w:val="28"/>
          <w:lang w:val="en-US" w:eastAsia="zh-CN"/>
        </w:rPr>
        <w:t>乔木林地</w:t>
      </w:r>
      <w:r>
        <w:rPr>
          <w:szCs w:val="28"/>
        </w:rPr>
        <w:t>为主</w:t>
      </w:r>
      <w:r>
        <w:rPr>
          <w:rFonts w:hint="eastAsia"/>
          <w:szCs w:val="28"/>
        </w:rPr>
        <w:t>，</w:t>
      </w:r>
      <w:r>
        <w:rPr>
          <w:rFonts w:hint="eastAsia"/>
          <w:szCs w:val="28"/>
          <w:lang w:eastAsia="zh-CN"/>
        </w:rPr>
        <w:t>地裂缝</w:t>
      </w:r>
      <w:r>
        <w:rPr>
          <w:rFonts w:hint="eastAsia"/>
          <w:szCs w:val="28"/>
        </w:rPr>
        <w:t>按照因地制宜的原则，</w:t>
      </w:r>
      <w:r>
        <w:rPr>
          <w:rFonts w:hint="eastAsia"/>
          <w:szCs w:val="28"/>
          <w:lang w:val="en-US" w:eastAsia="zh-CN"/>
        </w:rPr>
        <w:t>自然恢复</w:t>
      </w:r>
      <w:r>
        <w:rPr>
          <w:rFonts w:hint="eastAsia"/>
          <w:szCs w:val="28"/>
        </w:rPr>
        <w:t>进行复垦</w:t>
      </w:r>
      <w:r>
        <w:rPr>
          <w:szCs w:val="28"/>
        </w:rPr>
        <w:t>。</w:t>
      </w:r>
    </w:p>
    <w:p w14:paraId="7C975021">
      <w:pPr>
        <w:ind w:firstLine="560"/>
        <w:jc w:val="both"/>
        <w:rPr>
          <w:szCs w:val="28"/>
        </w:rPr>
      </w:pPr>
      <w:r>
        <w:rPr>
          <w:szCs w:val="28"/>
        </w:rPr>
        <w:t>根据以上政策要求确定土地生态修复目标和方向为</w:t>
      </w:r>
      <w:r>
        <w:rPr>
          <w:rFonts w:hint="eastAsia"/>
          <w:szCs w:val="28"/>
          <w:lang w:eastAsia="zh-CN"/>
        </w:rPr>
        <w:t>乔木林地</w:t>
      </w:r>
      <w:r>
        <w:rPr>
          <w:szCs w:val="28"/>
        </w:rPr>
        <w:t>。</w:t>
      </w:r>
    </w:p>
    <w:p w14:paraId="53EA0CD4">
      <w:pPr>
        <w:ind w:firstLine="560"/>
        <w:jc w:val="both"/>
        <w:rPr>
          <w:szCs w:val="28"/>
        </w:rPr>
      </w:pPr>
      <w:r>
        <w:rPr>
          <w:szCs w:val="28"/>
        </w:rPr>
        <w:t>（2）自然和社会经济因素分析</w:t>
      </w:r>
    </w:p>
    <w:p w14:paraId="54FB112F">
      <w:pPr>
        <w:ind w:firstLine="560"/>
        <w:jc w:val="both"/>
        <w:rPr>
          <w:szCs w:val="28"/>
        </w:rPr>
      </w:pPr>
      <w:r>
        <w:rPr>
          <w:szCs w:val="28"/>
        </w:rPr>
        <w:t>项目区属</w:t>
      </w:r>
      <w:r>
        <w:t>构造剥蚀地貌低山</w:t>
      </w:r>
      <w:r>
        <w:rPr>
          <w:szCs w:val="28"/>
        </w:rPr>
        <w:t>，土壤类型以</w:t>
      </w:r>
      <w:r>
        <w:rPr>
          <w:rFonts w:hint="eastAsia"/>
          <w:szCs w:val="28"/>
        </w:rPr>
        <w:t>暗</w:t>
      </w:r>
      <w:r>
        <w:rPr>
          <w:szCs w:val="28"/>
        </w:rPr>
        <w:t>壤土为主，土壤质地为壤土，土体松散，抗蚀能力较弱，土地利用方式主要由</w:t>
      </w:r>
      <w:r>
        <w:rPr>
          <w:rFonts w:hint="eastAsia"/>
          <w:szCs w:val="28"/>
          <w:lang w:eastAsia="zh-CN"/>
        </w:rPr>
        <w:t>乔木林地、和采矿用地</w:t>
      </w:r>
      <w:r>
        <w:rPr>
          <w:szCs w:val="28"/>
        </w:rPr>
        <w:t>组成。</w:t>
      </w:r>
      <w:r>
        <w:rPr>
          <w:rFonts w:hint="eastAsia"/>
          <w:lang w:eastAsia="zh-CN"/>
        </w:rPr>
        <w:t>二道滑石矿</w:t>
      </w:r>
      <w:r>
        <w:rPr>
          <w:szCs w:val="28"/>
        </w:rPr>
        <w:t>在当地具有雄厚的经济实力，同时具有很强的社会责任感，这将为保障生态修复方案的顺利实施奠定坚实的基础。</w:t>
      </w:r>
    </w:p>
    <w:p w14:paraId="3ECF0EB1">
      <w:pPr>
        <w:ind w:firstLine="560"/>
        <w:jc w:val="both"/>
        <w:rPr>
          <w:szCs w:val="28"/>
        </w:rPr>
      </w:pPr>
      <w:r>
        <w:rPr>
          <w:szCs w:val="28"/>
        </w:rPr>
        <w:t>（3）公众参与分析：当地自然资源主管部门核实土地利用现状和权属性质后，提出项目区确定的土地生态修复用途要符合</w:t>
      </w:r>
      <w:r>
        <w:rPr>
          <w:rFonts w:hint="eastAsia"/>
          <w:szCs w:val="28"/>
        </w:rPr>
        <w:t>国土空间总体规划</w:t>
      </w:r>
      <w:r>
        <w:rPr>
          <w:szCs w:val="28"/>
        </w:rPr>
        <w:t>，因此，依据</w:t>
      </w:r>
      <w:r>
        <w:rPr>
          <w:rFonts w:hint="eastAsia"/>
          <w:szCs w:val="28"/>
        </w:rPr>
        <w:t>国土空间总体规划</w:t>
      </w:r>
      <w:r>
        <w:rPr>
          <w:szCs w:val="28"/>
        </w:rPr>
        <w:t>确定土地生态修复方向以</w:t>
      </w:r>
      <w:r>
        <w:rPr>
          <w:rFonts w:hint="eastAsia"/>
          <w:szCs w:val="28"/>
        </w:rPr>
        <w:t>建设用地</w:t>
      </w:r>
      <w:r>
        <w:rPr>
          <w:szCs w:val="28"/>
        </w:rPr>
        <w:t>为主；在相关人员的陪同下，编制人员走访了土地生态修复影响区域的土地权利人，积极听取他们意见，得到了他们大力支持，并且提出建议，生态修复后土地以</w:t>
      </w:r>
      <w:r>
        <w:rPr>
          <w:rFonts w:hint="eastAsia"/>
          <w:szCs w:val="28"/>
        </w:rPr>
        <w:t>建设用地</w:t>
      </w:r>
      <w:r>
        <w:rPr>
          <w:szCs w:val="28"/>
        </w:rPr>
        <w:t>为主。</w:t>
      </w:r>
    </w:p>
    <w:p w14:paraId="2873753E">
      <w:pPr>
        <w:ind w:firstLine="560"/>
        <w:jc w:val="both"/>
        <w:rPr>
          <w:szCs w:val="28"/>
        </w:rPr>
      </w:pPr>
      <w:r>
        <w:rPr>
          <w:szCs w:val="28"/>
        </w:rPr>
        <w:t>（4）复垦初步方向的确定</w:t>
      </w:r>
    </w:p>
    <w:p w14:paraId="6EF6B95D">
      <w:pPr>
        <w:ind w:firstLine="560"/>
        <w:jc w:val="both"/>
        <w:rPr>
          <w:rFonts w:hint="default"/>
          <w:szCs w:val="28"/>
          <w:lang w:val="en-US" w:eastAsia="zh-CN"/>
        </w:rPr>
      </w:pPr>
      <w:r>
        <w:rPr>
          <w:szCs w:val="28"/>
        </w:rPr>
        <w:t>本方案在充分考虑和尊重公众意愿的基础上，结合</w:t>
      </w:r>
      <w:r>
        <w:rPr>
          <w:rFonts w:hint="eastAsia"/>
          <w:szCs w:val="28"/>
        </w:rPr>
        <w:t>复垦</w:t>
      </w:r>
      <w:r>
        <w:rPr>
          <w:szCs w:val="28"/>
        </w:rPr>
        <w:t>范围</w:t>
      </w:r>
      <w:r>
        <w:rPr>
          <w:rFonts w:hint="eastAsia"/>
          <w:szCs w:val="28"/>
        </w:rPr>
        <w:t>临近城区</w:t>
      </w:r>
      <w:r>
        <w:rPr>
          <w:szCs w:val="28"/>
        </w:rPr>
        <w:t>这一实际情况，在政策允许的条件下，</w:t>
      </w:r>
      <w:r>
        <w:rPr>
          <w:rFonts w:hint="eastAsia"/>
          <w:szCs w:val="28"/>
          <w:lang w:val="en-US" w:eastAsia="zh-CN"/>
        </w:rPr>
        <w:t>全部复垦为乔木林地</w:t>
      </w:r>
      <w:r>
        <w:rPr>
          <w:szCs w:val="28"/>
        </w:rPr>
        <w:t>。</w:t>
      </w:r>
    </w:p>
    <w:p w14:paraId="0443EC75">
      <w:pPr>
        <w:ind w:firstLine="560"/>
        <w:jc w:val="both"/>
        <w:rPr>
          <w:szCs w:val="28"/>
        </w:rPr>
      </w:pPr>
      <w:r>
        <w:t>（5）生态修复评价单元</w:t>
      </w:r>
      <w:r>
        <w:rPr>
          <w:szCs w:val="28"/>
        </w:rPr>
        <w:t>划分</w:t>
      </w:r>
    </w:p>
    <w:p w14:paraId="16B31200">
      <w:pPr>
        <w:ind w:firstLine="560"/>
        <w:jc w:val="both"/>
        <w:rPr>
          <w:szCs w:val="28"/>
        </w:rPr>
      </w:pPr>
      <w:r>
        <w:rPr>
          <w:szCs w:val="28"/>
        </w:rPr>
        <w:t>项目区待修复土地包括</w:t>
      </w:r>
      <w:r>
        <w:rPr>
          <w:rFonts w:hint="eastAsia"/>
          <w:szCs w:val="28"/>
          <w:lang w:eastAsia="zh-CN"/>
        </w:rPr>
        <w:t>工业广场、原三处废弃</w:t>
      </w:r>
      <w:r>
        <w:rPr>
          <w:rFonts w:hint="eastAsia"/>
          <w:szCs w:val="28"/>
          <w:lang w:val="en-US" w:eastAsia="zh-CN"/>
        </w:rPr>
        <w:t>平硐</w:t>
      </w:r>
      <w:r>
        <w:rPr>
          <w:rFonts w:hint="eastAsia"/>
          <w:szCs w:val="28"/>
          <w:lang w:eastAsia="zh-CN"/>
        </w:rPr>
        <w:t>、490m平硐工业广场、520m平硐工业广场、548m平硐工业广场、地裂缝</w:t>
      </w:r>
      <w:r>
        <w:rPr>
          <w:szCs w:val="28"/>
        </w:rPr>
        <w:t>。评价分区的地形地貌均受到严重破坏，地表物质组成、土壤养分等与矿区生产前完全不同，本方案确定对这些评价分区进行宜耕、宜林和宜草的定量适宜性评价。</w:t>
      </w:r>
    </w:p>
    <w:p w14:paraId="6EC63DFF">
      <w:pPr>
        <w:pStyle w:val="57"/>
        <w:rPr>
          <w:rFonts w:ascii="Times New Roman" w:hAnsi="Times New Roman"/>
        </w:rPr>
      </w:pPr>
      <w:r>
        <w:rPr>
          <w:rFonts w:ascii="Times New Roman" w:hAnsi="Times New Roman"/>
        </w:rPr>
        <w:t>表3-</w:t>
      </w:r>
      <w:r>
        <w:rPr>
          <w:rFonts w:hint="eastAsia" w:ascii="Times New Roman" w:hAnsi="Times New Roman"/>
          <w:lang w:val="en-US" w:eastAsia="zh-CN"/>
        </w:rPr>
        <w:t>19</w:t>
      </w:r>
      <w:r>
        <w:rPr>
          <w:rFonts w:ascii="Times New Roman" w:hAnsi="Times New Roman"/>
        </w:rPr>
        <w:t>生态修复评价单元划分表单位：hm²</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1533"/>
        <w:gridCol w:w="3169"/>
        <w:gridCol w:w="2889"/>
      </w:tblGrid>
      <w:tr w14:paraId="7826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79" w:type="dxa"/>
            <w:vMerge w:val="restart"/>
            <w:vAlign w:val="center"/>
          </w:tcPr>
          <w:p w14:paraId="1366B202">
            <w:pPr>
              <w:pStyle w:val="72"/>
              <w:rPr>
                <w:rFonts w:hint="eastAsia"/>
                <w:sz w:val="18"/>
                <w:szCs w:val="18"/>
              </w:rPr>
            </w:pPr>
            <w:r>
              <w:rPr>
                <w:rFonts w:hint="eastAsia"/>
                <w:sz w:val="18"/>
                <w:szCs w:val="18"/>
              </w:rPr>
              <w:t>项目名称</w:t>
            </w:r>
          </w:p>
        </w:tc>
        <w:tc>
          <w:tcPr>
            <w:tcW w:w="1533" w:type="dxa"/>
            <w:vMerge w:val="restart"/>
            <w:vAlign w:val="center"/>
          </w:tcPr>
          <w:p w14:paraId="65C7A93A">
            <w:pPr>
              <w:pStyle w:val="72"/>
              <w:rPr>
                <w:rFonts w:hint="eastAsia"/>
                <w:sz w:val="18"/>
                <w:szCs w:val="18"/>
              </w:rPr>
            </w:pPr>
            <w:r>
              <w:rPr>
                <w:rFonts w:hint="eastAsia"/>
                <w:sz w:val="18"/>
                <w:szCs w:val="18"/>
              </w:rPr>
              <w:t>破坏面积hm</w:t>
            </w:r>
            <w:r>
              <w:rPr>
                <w:rFonts w:ascii="Calibri" w:hAnsi="Calibri" w:cs="Calibri"/>
                <w:sz w:val="18"/>
                <w:szCs w:val="18"/>
              </w:rPr>
              <w:t>²</w:t>
            </w:r>
          </w:p>
        </w:tc>
        <w:tc>
          <w:tcPr>
            <w:tcW w:w="6058" w:type="dxa"/>
            <w:gridSpan w:val="2"/>
            <w:vAlign w:val="center"/>
          </w:tcPr>
          <w:p w14:paraId="5E081BFA">
            <w:pPr>
              <w:pStyle w:val="72"/>
              <w:rPr>
                <w:rFonts w:hint="eastAsia"/>
                <w:sz w:val="18"/>
                <w:szCs w:val="18"/>
              </w:rPr>
            </w:pPr>
            <w:r>
              <w:rPr>
                <w:rFonts w:hint="eastAsia"/>
                <w:sz w:val="18"/>
                <w:szCs w:val="18"/>
              </w:rPr>
              <w:t>损毁土地类型及面积（hm</w:t>
            </w:r>
            <w:r>
              <w:rPr>
                <w:rFonts w:ascii="Calibri" w:hAnsi="Calibri" w:cs="Calibri"/>
                <w:sz w:val="18"/>
                <w:szCs w:val="18"/>
              </w:rPr>
              <w:t>²</w:t>
            </w:r>
            <w:r>
              <w:rPr>
                <w:rFonts w:hint="eastAsia"/>
                <w:sz w:val="18"/>
                <w:szCs w:val="18"/>
              </w:rPr>
              <w:t>）　</w:t>
            </w:r>
          </w:p>
        </w:tc>
      </w:tr>
      <w:tr w14:paraId="6F9A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79" w:type="dxa"/>
            <w:vMerge w:val="continue"/>
            <w:vAlign w:val="center"/>
          </w:tcPr>
          <w:p w14:paraId="6E59515C">
            <w:pPr>
              <w:pStyle w:val="72"/>
              <w:rPr>
                <w:rFonts w:hint="eastAsia"/>
                <w:sz w:val="18"/>
                <w:szCs w:val="18"/>
              </w:rPr>
            </w:pPr>
          </w:p>
        </w:tc>
        <w:tc>
          <w:tcPr>
            <w:tcW w:w="1533" w:type="dxa"/>
            <w:vMerge w:val="continue"/>
            <w:vAlign w:val="center"/>
          </w:tcPr>
          <w:p w14:paraId="73932563">
            <w:pPr>
              <w:pStyle w:val="72"/>
              <w:rPr>
                <w:rFonts w:hint="eastAsia"/>
                <w:sz w:val="18"/>
                <w:szCs w:val="18"/>
              </w:rPr>
            </w:pPr>
          </w:p>
        </w:tc>
        <w:tc>
          <w:tcPr>
            <w:tcW w:w="3169" w:type="dxa"/>
            <w:noWrap/>
            <w:vAlign w:val="center"/>
          </w:tcPr>
          <w:p w14:paraId="25D67C1D">
            <w:pPr>
              <w:pStyle w:val="72"/>
              <w:rPr>
                <w:rFonts w:hint="eastAsia"/>
                <w:sz w:val="18"/>
                <w:szCs w:val="18"/>
              </w:rPr>
            </w:pPr>
            <w:r>
              <w:rPr>
                <w:rFonts w:hint="eastAsia"/>
                <w:sz w:val="18"/>
                <w:szCs w:val="18"/>
              </w:rPr>
              <w:t>0301</w:t>
            </w:r>
          </w:p>
          <w:p w14:paraId="55879480">
            <w:pPr>
              <w:pStyle w:val="72"/>
              <w:rPr>
                <w:rFonts w:hint="eastAsia"/>
                <w:sz w:val="18"/>
                <w:szCs w:val="18"/>
              </w:rPr>
            </w:pPr>
            <w:r>
              <w:rPr>
                <w:rFonts w:hint="eastAsia"/>
                <w:sz w:val="18"/>
                <w:szCs w:val="18"/>
              </w:rPr>
              <w:t>乔木林地</w:t>
            </w:r>
          </w:p>
        </w:tc>
        <w:tc>
          <w:tcPr>
            <w:tcW w:w="2889" w:type="dxa"/>
            <w:vAlign w:val="center"/>
          </w:tcPr>
          <w:p w14:paraId="4D58E5BD">
            <w:pPr>
              <w:pStyle w:val="72"/>
              <w:rPr>
                <w:rFonts w:hint="eastAsia"/>
                <w:sz w:val="18"/>
                <w:szCs w:val="18"/>
              </w:rPr>
            </w:pPr>
            <w:r>
              <w:rPr>
                <w:rFonts w:hint="eastAsia"/>
                <w:sz w:val="18"/>
                <w:szCs w:val="18"/>
              </w:rPr>
              <w:t>0602</w:t>
            </w:r>
          </w:p>
          <w:p w14:paraId="4DAC8C9A">
            <w:pPr>
              <w:pStyle w:val="72"/>
              <w:rPr>
                <w:rFonts w:hint="eastAsia"/>
                <w:sz w:val="18"/>
                <w:szCs w:val="18"/>
              </w:rPr>
            </w:pPr>
            <w:r>
              <w:rPr>
                <w:rFonts w:hint="eastAsia"/>
                <w:sz w:val="18"/>
                <w:szCs w:val="18"/>
              </w:rPr>
              <w:t>采矿用地</w:t>
            </w:r>
          </w:p>
        </w:tc>
      </w:tr>
      <w:tr w14:paraId="5916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79" w:type="dxa"/>
            <w:vAlign w:val="center"/>
          </w:tcPr>
          <w:p w14:paraId="7434D087">
            <w:pPr>
              <w:pStyle w:val="72"/>
              <w:rPr>
                <w:rFonts w:hint="eastAsia"/>
                <w:sz w:val="18"/>
                <w:szCs w:val="18"/>
              </w:rPr>
            </w:pPr>
            <w:r>
              <w:rPr>
                <w:rFonts w:hint="eastAsia"/>
                <w:sz w:val="18"/>
                <w:szCs w:val="18"/>
              </w:rPr>
              <w:t>工业广场</w:t>
            </w:r>
          </w:p>
        </w:tc>
        <w:tc>
          <w:tcPr>
            <w:tcW w:w="1533" w:type="dxa"/>
            <w:vAlign w:val="center"/>
          </w:tcPr>
          <w:p w14:paraId="2930C3AE">
            <w:pPr>
              <w:pStyle w:val="72"/>
              <w:rPr>
                <w:rFonts w:hint="default" w:ascii="Times New Roman" w:hAnsi="Times New Roman" w:eastAsia="仿宋" w:cs="Times New Roman"/>
                <w:sz w:val="18"/>
                <w:szCs w:val="18"/>
                <w:lang w:val="en-US" w:eastAsia="zh-CN"/>
              </w:rPr>
            </w:pPr>
            <w:r>
              <w:rPr>
                <w:rFonts w:hint="default" w:ascii="Times New Roman" w:hAnsi="Times New Roman" w:cs="Times New Roman"/>
                <w:sz w:val="18"/>
                <w:szCs w:val="18"/>
                <w:lang w:val="en-US" w:eastAsia="zh-CN"/>
              </w:rPr>
              <w:t>0.3608</w:t>
            </w:r>
          </w:p>
        </w:tc>
        <w:tc>
          <w:tcPr>
            <w:tcW w:w="3169" w:type="dxa"/>
            <w:noWrap/>
          </w:tcPr>
          <w:p w14:paraId="592391CC">
            <w:pPr>
              <w:pStyle w:val="72"/>
              <w:rPr>
                <w:rFonts w:hint="default" w:ascii="Times New Roman" w:hAnsi="Times New Roman" w:eastAsia="仿宋" w:cs="Times New Roman"/>
                <w:sz w:val="18"/>
                <w:szCs w:val="18"/>
                <w:lang w:val="en-US" w:eastAsia="zh-CN"/>
              </w:rPr>
            </w:pPr>
            <w:r>
              <w:rPr>
                <w:rFonts w:hint="default" w:ascii="Times New Roman" w:hAnsi="Times New Roman" w:cs="Times New Roman"/>
                <w:sz w:val="18"/>
                <w:szCs w:val="18"/>
                <w:lang w:val="en-US" w:eastAsia="zh-CN"/>
              </w:rPr>
              <w:t>0.2031</w:t>
            </w:r>
          </w:p>
        </w:tc>
        <w:tc>
          <w:tcPr>
            <w:tcW w:w="2889" w:type="dxa"/>
            <w:noWrap/>
          </w:tcPr>
          <w:p w14:paraId="7298558A">
            <w:pPr>
              <w:pStyle w:val="72"/>
              <w:rPr>
                <w:rFonts w:hint="default" w:ascii="Times New Roman" w:hAnsi="Times New Roman" w:eastAsia="仿宋" w:cs="Times New Roman"/>
                <w:color w:val="000000"/>
                <w:sz w:val="18"/>
                <w:szCs w:val="18"/>
                <w:lang w:val="en-US" w:eastAsia="zh-CN"/>
              </w:rPr>
            </w:pPr>
            <w:r>
              <w:rPr>
                <w:rFonts w:hint="default" w:ascii="Times New Roman" w:hAnsi="Times New Roman" w:cs="Times New Roman"/>
                <w:color w:val="000000"/>
                <w:sz w:val="18"/>
                <w:szCs w:val="18"/>
                <w:lang w:val="en-US" w:eastAsia="zh-CN"/>
              </w:rPr>
              <w:t>0.08</w:t>
            </w:r>
          </w:p>
        </w:tc>
      </w:tr>
      <w:tr w14:paraId="54CB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979" w:type="dxa"/>
            <w:vAlign w:val="center"/>
          </w:tcPr>
          <w:p w14:paraId="285C144E">
            <w:pPr>
              <w:pStyle w:val="72"/>
              <w:rPr>
                <w:rFonts w:hint="default" w:eastAsia="仿宋"/>
                <w:sz w:val="18"/>
                <w:szCs w:val="18"/>
                <w:lang w:val="en-US" w:eastAsia="zh-CN"/>
              </w:rPr>
            </w:pPr>
            <w:r>
              <w:rPr>
                <w:rFonts w:hint="eastAsia"/>
                <w:sz w:val="18"/>
                <w:szCs w:val="18"/>
                <w:lang w:val="en-US" w:eastAsia="zh-CN"/>
              </w:rPr>
              <w:t>三处废弃平硐</w:t>
            </w:r>
          </w:p>
        </w:tc>
        <w:tc>
          <w:tcPr>
            <w:tcW w:w="1533" w:type="dxa"/>
            <w:vAlign w:val="center"/>
          </w:tcPr>
          <w:p w14:paraId="6F83C555">
            <w:pPr>
              <w:pStyle w:val="72"/>
              <w:rPr>
                <w:rFonts w:hint="default" w:ascii="Times New Roman" w:hAnsi="Times New Roman" w:eastAsia="仿宋" w:cs="Times New Roman"/>
                <w:sz w:val="18"/>
                <w:szCs w:val="18"/>
                <w:lang w:val="en-US" w:eastAsia="zh-CN"/>
              </w:rPr>
            </w:pPr>
            <w:r>
              <w:rPr>
                <w:rFonts w:hint="default" w:ascii="Times New Roman" w:hAnsi="Times New Roman" w:cs="Times New Roman"/>
                <w:sz w:val="18"/>
                <w:szCs w:val="18"/>
                <w:lang w:val="en-US" w:eastAsia="zh-CN"/>
              </w:rPr>
              <w:t>0</w:t>
            </w:r>
          </w:p>
        </w:tc>
        <w:tc>
          <w:tcPr>
            <w:tcW w:w="3169" w:type="dxa"/>
            <w:noWrap/>
            <w:vAlign w:val="center"/>
          </w:tcPr>
          <w:p w14:paraId="6218BD77">
            <w:pPr>
              <w:pStyle w:val="72"/>
              <w:rPr>
                <w:rFonts w:hint="default" w:ascii="Times New Roman" w:hAnsi="Times New Roman" w:eastAsia="仿宋" w:cs="Times New Roman"/>
                <w:sz w:val="18"/>
                <w:szCs w:val="18"/>
                <w:lang w:val="en-US" w:eastAsia="zh-CN"/>
              </w:rPr>
            </w:pPr>
            <w:r>
              <w:rPr>
                <w:rFonts w:hint="default" w:ascii="Times New Roman" w:hAnsi="Times New Roman" w:cs="Times New Roman"/>
                <w:sz w:val="18"/>
                <w:szCs w:val="18"/>
                <w:lang w:val="en-US" w:eastAsia="zh-CN"/>
              </w:rPr>
              <w:t>0</w:t>
            </w:r>
          </w:p>
        </w:tc>
        <w:tc>
          <w:tcPr>
            <w:tcW w:w="2889" w:type="dxa"/>
            <w:vAlign w:val="center"/>
          </w:tcPr>
          <w:p w14:paraId="4B3F41CB">
            <w:pPr>
              <w:pStyle w:val="72"/>
              <w:rPr>
                <w:rFonts w:hint="default" w:ascii="Times New Roman" w:hAnsi="Times New Roman" w:eastAsia="仿宋" w:cs="Times New Roman"/>
                <w:color w:val="000000"/>
                <w:sz w:val="18"/>
                <w:szCs w:val="18"/>
                <w:lang w:val="en-US" w:eastAsia="zh-CN"/>
              </w:rPr>
            </w:pPr>
            <w:r>
              <w:rPr>
                <w:rFonts w:hint="default" w:ascii="Times New Roman" w:hAnsi="Times New Roman" w:cs="Times New Roman"/>
                <w:color w:val="000000"/>
                <w:sz w:val="18"/>
                <w:szCs w:val="18"/>
                <w:lang w:val="en-US" w:eastAsia="zh-CN"/>
              </w:rPr>
              <w:t>0</w:t>
            </w:r>
          </w:p>
        </w:tc>
      </w:tr>
      <w:tr w14:paraId="4A21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979" w:type="dxa"/>
            <w:vAlign w:val="center"/>
          </w:tcPr>
          <w:p w14:paraId="71116AF5">
            <w:pPr>
              <w:pStyle w:val="72"/>
              <w:rPr>
                <w:rFonts w:hint="default" w:eastAsia="仿宋"/>
                <w:sz w:val="18"/>
                <w:szCs w:val="18"/>
                <w:lang w:val="en-US" w:eastAsia="zh-CN"/>
              </w:rPr>
            </w:pPr>
            <w:r>
              <w:rPr>
                <w:rFonts w:hint="eastAsia"/>
                <w:sz w:val="18"/>
                <w:szCs w:val="18"/>
                <w:lang w:val="en-US" w:eastAsia="zh-CN"/>
              </w:rPr>
              <w:t>490m平硐工业广场</w:t>
            </w:r>
          </w:p>
        </w:tc>
        <w:tc>
          <w:tcPr>
            <w:tcW w:w="1533" w:type="dxa"/>
            <w:vAlign w:val="center"/>
          </w:tcPr>
          <w:p w14:paraId="44413E27">
            <w:pPr>
              <w:pStyle w:val="72"/>
              <w:rPr>
                <w:rFonts w:hint="default" w:ascii="Times New Roman" w:hAnsi="Times New Roman" w:eastAsia="仿宋" w:cs="Times New Roman"/>
                <w:sz w:val="18"/>
                <w:szCs w:val="18"/>
                <w:lang w:val="en-US" w:eastAsia="zh-CN"/>
              </w:rPr>
            </w:pPr>
            <w:r>
              <w:rPr>
                <w:rFonts w:hint="default" w:ascii="Times New Roman" w:hAnsi="Times New Roman" w:cs="Times New Roman"/>
                <w:sz w:val="18"/>
                <w:szCs w:val="18"/>
                <w:lang w:val="en-US" w:eastAsia="zh-CN"/>
              </w:rPr>
              <w:t>0.69</w:t>
            </w:r>
          </w:p>
        </w:tc>
        <w:tc>
          <w:tcPr>
            <w:tcW w:w="3169" w:type="dxa"/>
            <w:noWrap/>
            <w:vAlign w:val="center"/>
          </w:tcPr>
          <w:p w14:paraId="00908ED6">
            <w:pPr>
              <w:pStyle w:val="72"/>
              <w:rPr>
                <w:rFonts w:hint="default" w:ascii="Times New Roman" w:hAnsi="Times New Roman" w:eastAsia="仿宋" w:cs="Times New Roman"/>
                <w:sz w:val="18"/>
                <w:szCs w:val="18"/>
                <w:lang w:val="en-US" w:eastAsia="zh-CN"/>
              </w:rPr>
            </w:pPr>
            <w:r>
              <w:rPr>
                <w:rFonts w:hint="default" w:ascii="Times New Roman" w:hAnsi="Times New Roman" w:cs="Times New Roman"/>
                <w:sz w:val="18"/>
                <w:szCs w:val="18"/>
                <w:lang w:val="en-US" w:eastAsia="zh-CN"/>
              </w:rPr>
              <w:t>0.69</w:t>
            </w:r>
          </w:p>
        </w:tc>
        <w:tc>
          <w:tcPr>
            <w:tcW w:w="2889" w:type="dxa"/>
            <w:vAlign w:val="center"/>
          </w:tcPr>
          <w:p w14:paraId="140976D9">
            <w:pPr>
              <w:pStyle w:val="72"/>
              <w:rPr>
                <w:rFonts w:hint="default" w:ascii="Times New Roman" w:hAnsi="Times New Roman" w:eastAsia="仿宋" w:cs="Times New Roman"/>
                <w:color w:val="000000"/>
                <w:sz w:val="18"/>
                <w:szCs w:val="18"/>
                <w:lang w:val="en-US" w:eastAsia="zh-CN"/>
              </w:rPr>
            </w:pPr>
            <w:r>
              <w:rPr>
                <w:rFonts w:hint="default" w:ascii="Times New Roman" w:hAnsi="Times New Roman" w:cs="Times New Roman"/>
                <w:color w:val="000000"/>
                <w:sz w:val="18"/>
                <w:szCs w:val="18"/>
                <w:lang w:val="en-US" w:eastAsia="zh-CN"/>
              </w:rPr>
              <w:t>0</w:t>
            </w:r>
          </w:p>
        </w:tc>
      </w:tr>
      <w:tr w14:paraId="4F6E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979" w:type="dxa"/>
            <w:vAlign w:val="center"/>
          </w:tcPr>
          <w:p w14:paraId="1A8EAF97">
            <w:pPr>
              <w:pStyle w:val="72"/>
              <w:rPr>
                <w:rFonts w:hint="eastAsia"/>
                <w:sz w:val="18"/>
                <w:szCs w:val="18"/>
                <w:lang w:val="en-US" w:eastAsia="zh-CN"/>
              </w:rPr>
            </w:pPr>
            <w:r>
              <w:rPr>
                <w:rFonts w:hint="eastAsia"/>
                <w:sz w:val="18"/>
                <w:szCs w:val="18"/>
                <w:lang w:val="en-US" w:eastAsia="zh-CN"/>
              </w:rPr>
              <w:t>520m平硐工业广场</w:t>
            </w:r>
          </w:p>
        </w:tc>
        <w:tc>
          <w:tcPr>
            <w:tcW w:w="1533" w:type="dxa"/>
            <w:vAlign w:val="center"/>
          </w:tcPr>
          <w:p w14:paraId="17AC39BD">
            <w:pPr>
              <w:pStyle w:val="72"/>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0.3</w:t>
            </w:r>
          </w:p>
        </w:tc>
        <w:tc>
          <w:tcPr>
            <w:tcW w:w="3169" w:type="dxa"/>
            <w:noWrap/>
            <w:vAlign w:val="center"/>
          </w:tcPr>
          <w:p w14:paraId="6D0C7A92">
            <w:pPr>
              <w:pStyle w:val="72"/>
              <w:rPr>
                <w:rFonts w:hint="default" w:ascii="Times New Roman" w:hAnsi="Times New Roman" w:eastAsia="等线" w:cs="Times New Roman"/>
                <w:color w:val="000000"/>
                <w:sz w:val="18"/>
                <w:szCs w:val="18"/>
                <w:lang w:val="en-US" w:eastAsia="zh-CN"/>
              </w:rPr>
            </w:pPr>
            <w:r>
              <w:rPr>
                <w:rFonts w:hint="default" w:ascii="Times New Roman" w:hAnsi="Times New Roman" w:eastAsia="等线" w:cs="Times New Roman"/>
                <w:color w:val="000000"/>
                <w:sz w:val="18"/>
                <w:szCs w:val="18"/>
                <w:lang w:val="en-US" w:eastAsia="zh-CN"/>
              </w:rPr>
              <w:t>0.2</w:t>
            </w:r>
          </w:p>
        </w:tc>
        <w:tc>
          <w:tcPr>
            <w:tcW w:w="2889" w:type="dxa"/>
            <w:vAlign w:val="center"/>
          </w:tcPr>
          <w:p w14:paraId="02D37721">
            <w:pPr>
              <w:pStyle w:val="72"/>
              <w:rPr>
                <w:rFonts w:hint="default" w:ascii="Times New Roman" w:hAnsi="Times New Roman" w:eastAsia="等线" w:cs="Times New Roman"/>
                <w:color w:val="000000"/>
                <w:sz w:val="18"/>
                <w:szCs w:val="18"/>
                <w:lang w:val="en-US" w:eastAsia="zh-CN"/>
              </w:rPr>
            </w:pPr>
            <w:r>
              <w:rPr>
                <w:rFonts w:hint="default" w:ascii="Times New Roman" w:hAnsi="Times New Roman" w:eastAsia="等线" w:cs="Times New Roman"/>
                <w:color w:val="000000"/>
                <w:sz w:val="18"/>
                <w:szCs w:val="18"/>
                <w:lang w:val="en-US" w:eastAsia="zh-CN"/>
              </w:rPr>
              <w:t>0.1</w:t>
            </w:r>
          </w:p>
        </w:tc>
      </w:tr>
      <w:tr w14:paraId="2D8B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979" w:type="dxa"/>
            <w:vAlign w:val="center"/>
          </w:tcPr>
          <w:p w14:paraId="21725C1D">
            <w:pPr>
              <w:pStyle w:val="72"/>
              <w:rPr>
                <w:rFonts w:hint="eastAsia"/>
                <w:sz w:val="18"/>
                <w:szCs w:val="18"/>
                <w:lang w:val="en-US" w:eastAsia="zh-CN"/>
              </w:rPr>
            </w:pPr>
            <w:r>
              <w:rPr>
                <w:rFonts w:hint="eastAsia"/>
                <w:sz w:val="18"/>
                <w:szCs w:val="18"/>
                <w:lang w:val="en-US" w:eastAsia="zh-CN"/>
              </w:rPr>
              <w:t>548m平硐工业广场</w:t>
            </w:r>
          </w:p>
        </w:tc>
        <w:tc>
          <w:tcPr>
            <w:tcW w:w="1533" w:type="dxa"/>
            <w:vAlign w:val="center"/>
          </w:tcPr>
          <w:p w14:paraId="4A189F43">
            <w:pPr>
              <w:pStyle w:val="72"/>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0.178</w:t>
            </w:r>
          </w:p>
        </w:tc>
        <w:tc>
          <w:tcPr>
            <w:tcW w:w="3169" w:type="dxa"/>
            <w:noWrap/>
            <w:vAlign w:val="center"/>
          </w:tcPr>
          <w:p w14:paraId="0DAA1FA6">
            <w:pPr>
              <w:pStyle w:val="72"/>
              <w:rPr>
                <w:rFonts w:hint="default" w:ascii="Times New Roman" w:hAnsi="Times New Roman" w:eastAsia="等线" w:cs="Times New Roman"/>
                <w:color w:val="000000"/>
                <w:sz w:val="18"/>
                <w:szCs w:val="18"/>
                <w:lang w:val="en-US" w:eastAsia="zh-CN"/>
              </w:rPr>
            </w:pPr>
            <w:r>
              <w:rPr>
                <w:rFonts w:hint="default" w:ascii="Times New Roman" w:hAnsi="Times New Roman" w:eastAsia="等线" w:cs="Times New Roman"/>
                <w:color w:val="000000"/>
                <w:sz w:val="18"/>
                <w:szCs w:val="18"/>
                <w:lang w:val="en-US" w:eastAsia="zh-CN"/>
              </w:rPr>
              <w:t>0.178</w:t>
            </w:r>
          </w:p>
        </w:tc>
        <w:tc>
          <w:tcPr>
            <w:tcW w:w="2889" w:type="dxa"/>
            <w:vAlign w:val="center"/>
          </w:tcPr>
          <w:p w14:paraId="0898127F">
            <w:pPr>
              <w:pStyle w:val="72"/>
              <w:rPr>
                <w:rFonts w:hint="default" w:ascii="Times New Roman" w:hAnsi="Times New Roman" w:eastAsia="等线" w:cs="Times New Roman"/>
                <w:color w:val="000000"/>
                <w:sz w:val="18"/>
                <w:szCs w:val="18"/>
                <w:lang w:val="en-US" w:eastAsia="zh-CN"/>
              </w:rPr>
            </w:pPr>
            <w:r>
              <w:rPr>
                <w:rFonts w:hint="default" w:ascii="Times New Roman" w:hAnsi="Times New Roman" w:eastAsia="等线" w:cs="Times New Roman"/>
                <w:color w:val="000000"/>
                <w:sz w:val="18"/>
                <w:szCs w:val="18"/>
                <w:lang w:val="en-US" w:eastAsia="zh-CN"/>
              </w:rPr>
              <w:t>0</w:t>
            </w:r>
          </w:p>
        </w:tc>
      </w:tr>
      <w:tr w14:paraId="4832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979" w:type="dxa"/>
            <w:vAlign w:val="center"/>
          </w:tcPr>
          <w:p w14:paraId="72D78111">
            <w:pPr>
              <w:pStyle w:val="72"/>
              <w:rPr>
                <w:rFonts w:hint="eastAsia"/>
                <w:sz w:val="18"/>
                <w:szCs w:val="18"/>
              </w:rPr>
            </w:pPr>
            <w:r>
              <w:rPr>
                <w:rFonts w:hint="eastAsia"/>
                <w:sz w:val="18"/>
                <w:szCs w:val="18"/>
              </w:rPr>
              <w:t>合计</w:t>
            </w:r>
          </w:p>
        </w:tc>
        <w:tc>
          <w:tcPr>
            <w:tcW w:w="1533" w:type="dxa"/>
            <w:vAlign w:val="center"/>
          </w:tcPr>
          <w:p w14:paraId="507F596B">
            <w:pPr>
              <w:pStyle w:val="72"/>
              <w:rPr>
                <w:rFonts w:hint="default" w:ascii="Times New Roman" w:hAnsi="Times New Roman" w:eastAsia="仿宋" w:cs="Times New Roman"/>
                <w:sz w:val="18"/>
                <w:szCs w:val="18"/>
                <w:lang w:eastAsia="zh-CN"/>
              </w:rPr>
            </w:pPr>
            <w:r>
              <w:rPr>
                <w:rFonts w:hint="default" w:ascii="Times New Roman" w:hAnsi="Times New Roman" w:cs="Times New Roman"/>
                <w:sz w:val="18"/>
                <w:szCs w:val="18"/>
                <w:lang w:eastAsia="zh-CN"/>
              </w:rPr>
              <w:t>1.5288</w:t>
            </w:r>
          </w:p>
        </w:tc>
        <w:tc>
          <w:tcPr>
            <w:tcW w:w="3169" w:type="dxa"/>
            <w:vAlign w:val="center"/>
          </w:tcPr>
          <w:p w14:paraId="0187610E">
            <w:pPr>
              <w:pStyle w:val="72"/>
              <w:rPr>
                <w:rFonts w:hint="default" w:ascii="Times New Roman" w:hAnsi="Times New Roman" w:eastAsia="仿宋" w:cs="Times New Roman"/>
                <w:sz w:val="18"/>
                <w:szCs w:val="18"/>
                <w:lang w:val="en-US" w:eastAsia="zh-CN"/>
              </w:rPr>
            </w:pPr>
            <w:r>
              <w:rPr>
                <w:rFonts w:hint="default" w:ascii="Times New Roman" w:hAnsi="Times New Roman" w:cs="Times New Roman"/>
                <w:sz w:val="18"/>
                <w:szCs w:val="18"/>
                <w:lang w:val="en-US" w:eastAsia="zh-CN"/>
              </w:rPr>
              <w:t>1.3488</w:t>
            </w:r>
          </w:p>
        </w:tc>
        <w:tc>
          <w:tcPr>
            <w:tcW w:w="2889" w:type="dxa"/>
            <w:vAlign w:val="center"/>
          </w:tcPr>
          <w:p w14:paraId="49366E4D">
            <w:pPr>
              <w:pStyle w:val="72"/>
              <w:rPr>
                <w:rFonts w:hint="default" w:ascii="Times New Roman" w:hAnsi="Times New Roman" w:eastAsia="仿宋" w:cs="Times New Roman"/>
                <w:color w:val="000000"/>
                <w:sz w:val="18"/>
                <w:szCs w:val="18"/>
                <w:lang w:val="en-US" w:eastAsia="zh-CN"/>
              </w:rPr>
            </w:pPr>
            <w:r>
              <w:rPr>
                <w:rFonts w:hint="default" w:ascii="Times New Roman" w:hAnsi="Times New Roman" w:cs="Times New Roman"/>
                <w:color w:val="000000"/>
                <w:sz w:val="18"/>
                <w:szCs w:val="18"/>
                <w:lang w:val="en-US" w:eastAsia="zh-CN"/>
              </w:rPr>
              <w:t>0.18</w:t>
            </w:r>
          </w:p>
        </w:tc>
      </w:tr>
    </w:tbl>
    <w:p w14:paraId="4EF9576A">
      <w:pPr>
        <w:ind w:firstLine="560"/>
      </w:pPr>
      <w:r>
        <w:t>（6）评价体系和方法</w:t>
      </w:r>
    </w:p>
    <w:p w14:paraId="4E9B6702">
      <w:pPr>
        <w:ind w:firstLine="560"/>
      </w:pPr>
      <w:r>
        <w:t>本方案采用二级体系进行评价，评价方法分为定性和定量法分析两类。定性方法是对评价单元的原土地利用状况、土地破坏、公众参与、当地社会经济等情况进行综合性分析，确定土地复垦方向和适宜性等级。定量分析包括极限条件法、综合指数法等。</w:t>
      </w:r>
    </w:p>
    <w:p w14:paraId="3ACB87FA">
      <w:pPr>
        <w:ind w:firstLine="560"/>
      </w:pPr>
      <w:r>
        <w:t>极限条件法模型为：Yi=min(Yij)。</w:t>
      </w:r>
    </w:p>
    <w:p w14:paraId="2D2C49E7">
      <w:pPr>
        <w:ind w:firstLine="560"/>
      </w:pPr>
      <w:r>
        <w:t>式中：Yi为第i个评价单元的最终分值；Yij为第i个评价单元中第j参评因子的分值。</w:t>
      </w:r>
    </w:p>
    <w:p w14:paraId="171BF2B8">
      <w:pPr>
        <w:ind w:firstLine="560"/>
        <w:jc w:val="both"/>
        <w:rPr>
          <w:bCs/>
          <w:szCs w:val="28"/>
        </w:rPr>
      </w:pPr>
      <w:r>
        <w:rPr>
          <w:bCs/>
          <w:szCs w:val="28"/>
        </w:rPr>
        <w:t>（7）定量评价参评因素分级指标和等级标准的确定</w:t>
      </w:r>
    </w:p>
    <w:p w14:paraId="263B417B">
      <w:pPr>
        <w:tabs>
          <w:tab w:val="left" w:pos="1260"/>
        </w:tabs>
        <w:ind w:firstLine="560"/>
        <w:jc w:val="both"/>
        <w:rPr>
          <w:bCs/>
          <w:szCs w:val="28"/>
        </w:rPr>
      </w:pPr>
      <w:r>
        <w:rPr>
          <w:bCs/>
          <w:szCs w:val="28"/>
        </w:rPr>
        <w:fldChar w:fldCharType="begin"/>
      </w:r>
      <w:r>
        <w:rPr>
          <w:bCs/>
          <w:szCs w:val="28"/>
        </w:rPr>
        <w:instrText xml:space="preserve"> = 1 \* GB3 </w:instrText>
      </w:r>
      <w:r>
        <w:rPr>
          <w:bCs/>
          <w:szCs w:val="28"/>
        </w:rPr>
        <w:fldChar w:fldCharType="separate"/>
      </w:r>
      <w:r>
        <w:rPr>
          <w:rFonts w:ascii="Cambria Math" w:hAnsi="Cambria Math" w:cs="Cambria Math"/>
          <w:bCs/>
          <w:szCs w:val="28"/>
        </w:rPr>
        <w:t>①</w:t>
      </w:r>
      <w:r>
        <w:rPr>
          <w:bCs/>
          <w:szCs w:val="28"/>
        </w:rPr>
        <w:fldChar w:fldCharType="end"/>
      </w:r>
      <w:r>
        <w:rPr>
          <w:bCs/>
          <w:szCs w:val="28"/>
        </w:rPr>
        <w:t>评价因子的选择</w:t>
      </w:r>
    </w:p>
    <w:p w14:paraId="4A4BCDD8">
      <w:pPr>
        <w:ind w:firstLine="560"/>
        <w:jc w:val="both"/>
        <w:rPr>
          <w:szCs w:val="28"/>
        </w:rPr>
      </w:pPr>
      <w:r>
        <w:rPr>
          <w:szCs w:val="28"/>
        </w:rPr>
        <w:t>评价因子的选择应选择那些对土地利用影响明显而相对稳定的因子，以便能通过因子指标值的变动决定土地的适宜状况。综合考虑项目区实际情况和损毁土地预测的结果，确定各评价分区的适宜性评价指标，本项目涉及的用地类型简单，主要限制因子如下：</w:t>
      </w:r>
    </w:p>
    <w:p w14:paraId="5477A623">
      <w:pPr>
        <w:ind w:firstLine="560"/>
        <w:jc w:val="both"/>
        <w:rPr>
          <w:rFonts w:hint="eastAsia"/>
          <w:szCs w:val="28"/>
          <w:lang w:eastAsia="zh-CN"/>
        </w:rPr>
      </w:pPr>
      <w:r>
        <w:rPr>
          <w:rFonts w:hint="eastAsia"/>
          <w:szCs w:val="28"/>
          <w:lang w:val="en-US" w:eastAsia="zh-CN"/>
        </w:rPr>
        <w:t>工业广场</w:t>
      </w:r>
      <w:r>
        <w:rPr>
          <w:szCs w:val="28"/>
        </w:rPr>
        <w:t>：地表物质组成</w:t>
      </w:r>
      <w:r>
        <w:rPr>
          <w:rFonts w:hint="eastAsia"/>
          <w:szCs w:val="28"/>
          <w:lang w:eastAsia="zh-CN"/>
        </w:rPr>
        <w:t>、</w:t>
      </w:r>
      <w:r>
        <w:rPr>
          <w:szCs w:val="28"/>
        </w:rPr>
        <w:t>地形坡度；</w:t>
      </w:r>
    </w:p>
    <w:p w14:paraId="5924C038">
      <w:pPr>
        <w:ind w:firstLine="560"/>
        <w:jc w:val="both"/>
        <w:rPr>
          <w:szCs w:val="28"/>
        </w:rPr>
      </w:pPr>
      <w:r>
        <w:rPr>
          <w:rFonts w:hint="eastAsia"/>
          <w:szCs w:val="28"/>
          <w:lang w:val="en-US" w:eastAsia="zh-CN"/>
        </w:rPr>
        <w:t>三处废弃平硐</w:t>
      </w:r>
      <w:r>
        <w:rPr>
          <w:szCs w:val="28"/>
        </w:rPr>
        <w:t>：地形坡度；</w:t>
      </w:r>
    </w:p>
    <w:p w14:paraId="0B0743B4">
      <w:pPr>
        <w:ind w:firstLine="560"/>
        <w:jc w:val="both"/>
        <w:rPr>
          <w:szCs w:val="28"/>
        </w:rPr>
      </w:pPr>
      <w:r>
        <w:rPr>
          <w:rFonts w:hint="eastAsia"/>
          <w:szCs w:val="28"/>
          <w:lang w:val="en-US" w:eastAsia="zh-CN"/>
        </w:rPr>
        <w:t>490m平硐工业广场</w:t>
      </w:r>
      <w:r>
        <w:rPr>
          <w:szCs w:val="28"/>
        </w:rPr>
        <w:t>：地形坡度</w:t>
      </w:r>
      <w:r>
        <w:rPr>
          <w:rFonts w:hint="eastAsia"/>
          <w:szCs w:val="28"/>
          <w:lang w:eastAsia="zh-CN"/>
        </w:rPr>
        <w:t>、</w:t>
      </w:r>
      <w:r>
        <w:rPr>
          <w:szCs w:val="28"/>
        </w:rPr>
        <w:t>地表物质组成；</w:t>
      </w:r>
    </w:p>
    <w:p w14:paraId="70E73949">
      <w:pPr>
        <w:ind w:firstLine="560"/>
        <w:jc w:val="both"/>
        <w:rPr>
          <w:szCs w:val="28"/>
        </w:rPr>
      </w:pPr>
      <w:r>
        <w:rPr>
          <w:rFonts w:hint="eastAsia"/>
          <w:szCs w:val="28"/>
          <w:lang w:val="en-US" w:eastAsia="zh-CN"/>
        </w:rPr>
        <w:t>520m平硐工业广场</w:t>
      </w:r>
      <w:r>
        <w:rPr>
          <w:szCs w:val="28"/>
        </w:rPr>
        <w:t>：地形坡度</w:t>
      </w:r>
      <w:r>
        <w:rPr>
          <w:rFonts w:hint="eastAsia"/>
          <w:szCs w:val="28"/>
          <w:lang w:eastAsia="zh-CN"/>
        </w:rPr>
        <w:t>、</w:t>
      </w:r>
      <w:r>
        <w:rPr>
          <w:szCs w:val="28"/>
        </w:rPr>
        <w:t>地表物质组成；</w:t>
      </w:r>
    </w:p>
    <w:p w14:paraId="665093DE">
      <w:pPr>
        <w:ind w:firstLine="560"/>
        <w:jc w:val="both"/>
        <w:rPr>
          <w:szCs w:val="28"/>
        </w:rPr>
      </w:pPr>
      <w:r>
        <w:rPr>
          <w:rFonts w:hint="eastAsia"/>
          <w:szCs w:val="28"/>
          <w:lang w:val="en-US" w:eastAsia="zh-CN"/>
        </w:rPr>
        <w:t>548m平硐工业广场</w:t>
      </w:r>
      <w:r>
        <w:rPr>
          <w:szCs w:val="28"/>
        </w:rPr>
        <w:t>：地形坡度</w:t>
      </w:r>
      <w:r>
        <w:rPr>
          <w:rFonts w:hint="eastAsia"/>
          <w:szCs w:val="28"/>
          <w:lang w:eastAsia="zh-CN"/>
        </w:rPr>
        <w:t>、</w:t>
      </w:r>
      <w:r>
        <w:rPr>
          <w:szCs w:val="28"/>
        </w:rPr>
        <w:t>地表物质组成；</w:t>
      </w:r>
    </w:p>
    <w:p w14:paraId="3B4B0836">
      <w:pPr>
        <w:ind w:firstLine="560"/>
        <w:jc w:val="both"/>
        <w:rPr>
          <w:szCs w:val="28"/>
        </w:rPr>
      </w:pPr>
      <w:r>
        <w:rPr>
          <w:rFonts w:hint="eastAsia"/>
          <w:szCs w:val="28"/>
          <w:lang w:val="en-US" w:eastAsia="zh-CN"/>
        </w:rPr>
        <w:t>地裂缝</w:t>
      </w:r>
      <w:r>
        <w:rPr>
          <w:szCs w:val="28"/>
        </w:rPr>
        <w:t>：地形坡度</w:t>
      </w:r>
      <w:r>
        <w:rPr>
          <w:rFonts w:hint="eastAsia"/>
          <w:szCs w:val="28"/>
          <w:lang w:eastAsia="zh-CN"/>
        </w:rPr>
        <w:t>、</w:t>
      </w:r>
      <w:r>
        <w:rPr>
          <w:szCs w:val="28"/>
        </w:rPr>
        <w:t>地表物质组成</w:t>
      </w:r>
      <w:r>
        <w:rPr>
          <w:rFonts w:hint="eastAsia"/>
          <w:szCs w:val="28"/>
        </w:rPr>
        <w:t>。</w:t>
      </w:r>
    </w:p>
    <w:p w14:paraId="30BD0165">
      <w:pPr>
        <w:pStyle w:val="57"/>
        <w:rPr>
          <w:rFonts w:ascii="Times New Roman" w:hAnsi="Times New Roman"/>
        </w:rPr>
      </w:pPr>
      <w:r>
        <w:rPr>
          <w:rFonts w:ascii="Times New Roman" w:hAnsi="Times New Roman"/>
        </w:rPr>
        <w:t>表3-</w:t>
      </w:r>
      <w:r>
        <w:rPr>
          <w:rFonts w:hint="eastAsia" w:ascii="Times New Roman" w:hAnsi="Times New Roman"/>
          <w:lang w:val="en-US" w:eastAsia="zh-CN"/>
        </w:rPr>
        <w:t>20</w:t>
      </w:r>
      <w:r>
        <w:rPr>
          <w:rFonts w:ascii="Times New Roman" w:hAnsi="Times New Roman"/>
        </w:rPr>
        <w:t>待生态修复分区特征一览表单位：hm²</w:t>
      </w:r>
    </w:p>
    <w:tbl>
      <w:tblPr>
        <w:tblStyle w:val="42"/>
        <w:tblW w:w="5000" w:type="pct"/>
        <w:tblInd w:w="0" w:type="dxa"/>
        <w:tblLayout w:type="autofit"/>
        <w:tblCellMar>
          <w:top w:w="0" w:type="dxa"/>
          <w:left w:w="108" w:type="dxa"/>
          <w:bottom w:w="0" w:type="dxa"/>
          <w:right w:w="108" w:type="dxa"/>
        </w:tblCellMar>
      </w:tblPr>
      <w:tblGrid>
        <w:gridCol w:w="2708"/>
        <w:gridCol w:w="1257"/>
        <w:gridCol w:w="1284"/>
        <w:gridCol w:w="2382"/>
        <w:gridCol w:w="973"/>
        <w:gridCol w:w="966"/>
      </w:tblGrid>
      <w:tr w14:paraId="7D9DB627">
        <w:tblPrEx>
          <w:tblCellMar>
            <w:top w:w="0" w:type="dxa"/>
            <w:left w:w="108" w:type="dxa"/>
            <w:bottom w:w="0" w:type="dxa"/>
            <w:right w:w="108" w:type="dxa"/>
          </w:tblCellMar>
        </w:tblPrEx>
        <w:trPr>
          <w:trHeight w:val="549" w:hRule="atLeast"/>
        </w:trPr>
        <w:tc>
          <w:tcPr>
            <w:tcW w:w="1414" w:type="pct"/>
            <w:tcBorders>
              <w:top w:val="single" w:color="000000" w:sz="4" w:space="0"/>
              <w:left w:val="single" w:color="000000" w:sz="4" w:space="0"/>
              <w:bottom w:val="single" w:color="000000" w:sz="4" w:space="0"/>
              <w:right w:val="single" w:color="000000" w:sz="4" w:space="0"/>
            </w:tcBorders>
            <w:vAlign w:val="center"/>
          </w:tcPr>
          <w:p w14:paraId="5DEB5196">
            <w:pPr>
              <w:pStyle w:val="72"/>
              <w:rPr>
                <w:rFonts w:hint="default" w:ascii="Times New Roman" w:hAnsi="Times New Roman" w:cs="Times New Roman"/>
              </w:rPr>
            </w:pPr>
            <w:bookmarkStart w:id="143" w:name="_Toc199901095"/>
            <w:bookmarkStart w:id="144" w:name="_Toc230188563"/>
            <w:r>
              <w:rPr>
                <w:rFonts w:hint="default" w:ascii="Times New Roman" w:hAnsi="Times New Roman" w:cs="Times New Roman"/>
                <w:lang w:bidi="ar"/>
              </w:rPr>
              <w:t>损毁分区</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27A5D5CA">
            <w:pPr>
              <w:pStyle w:val="72"/>
              <w:rPr>
                <w:rFonts w:hint="default" w:ascii="Times New Roman" w:hAnsi="Times New Roman" w:cs="Times New Roman"/>
              </w:rPr>
            </w:pPr>
            <w:r>
              <w:rPr>
                <w:rFonts w:hint="default" w:ascii="Times New Roman" w:hAnsi="Times New Roman" w:cs="Times New Roman"/>
                <w:lang w:bidi="ar"/>
              </w:rPr>
              <w:t>面积</w:t>
            </w:r>
          </w:p>
        </w:tc>
        <w:tc>
          <w:tcPr>
            <w:tcW w:w="670" w:type="pct"/>
            <w:tcBorders>
              <w:top w:val="single" w:color="000000" w:sz="4" w:space="0"/>
              <w:left w:val="single" w:color="000000" w:sz="4" w:space="0"/>
              <w:bottom w:val="single" w:color="000000" w:sz="4" w:space="0"/>
              <w:right w:val="single" w:color="000000" w:sz="4" w:space="0"/>
            </w:tcBorders>
            <w:vAlign w:val="center"/>
          </w:tcPr>
          <w:p w14:paraId="2007683F">
            <w:pPr>
              <w:pStyle w:val="72"/>
              <w:rPr>
                <w:rFonts w:hint="default" w:ascii="Times New Roman" w:hAnsi="Times New Roman" w:cs="Times New Roman"/>
              </w:rPr>
            </w:pPr>
            <w:r>
              <w:rPr>
                <w:rFonts w:hint="default" w:ascii="Times New Roman" w:hAnsi="Times New Roman" w:cs="Times New Roman"/>
                <w:lang w:bidi="ar"/>
              </w:rPr>
              <w:t>地形坡度（°）</w:t>
            </w:r>
          </w:p>
        </w:tc>
        <w:tc>
          <w:tcPr>
            <w:tcW w:w="1243" w:type="pct"/>
            <w:tcBorders>
              <w:top w:val="single" w:color="000000" w:sz="4" w:space="0"/>
              <w:left w:val="single" w:color="000000" w:sz="4" w:space="0"/>
              <w:bottom w:val="single" w:color="000000" w:sz="4" w:space="0"/>
              <w:right w:val="single" w:color="000000" w:sz="4" w:space="0"/>
            </w:tcBorders>
            <w:vAlign w:val="center"/>
          </w:tcPr>
          <w:p w14:paraId="573705C3">
            <w:pPr>
              <w:pStyle w:val="72"/>
              <w:rPr>
                <w:rFonts w:hint="default" w:ascii="Times New Roman" w:hAnsi="Times New Roman" w:cs="Times New Roman"/>
              </w:rPr>
            </w:pPr>
            <w:r>
              <w:rPr>
                <w:rFonts w:hint="default" w:ascii="Times New Roman" w:hAnsi="Times New Roman" w:cs="Times New Roman"/>
                <w:lang w:bidi="ar"/>
              </w:rPr>
              <w:t>地表物质组成</w:t>
            </w:r>
          </w:p>
        </w:tc>
        <w:tc>
          <w:tcPr>
            <w:tcW w:w="508" w:type="pct"/>
            <w:tcBorders>
              <w:top w:val="single" w:color="000000" w:sz="4" w:space="0"/>
              <w:left w:val="single" w:color="000000" w:sz="4" w:space="0"/>
              <w:bottom w:val="single" w:color="000000" w:sz="4" w:space="0"/>
              <w:right w:val="single" w:color="000000" w:sz="4" w:space="0"/>
            </w:tcBorders>
            <w:vAlign w:val="center"/>
          </w:tcPr>
          <w:p w14:paraId="74E4F19D">
            <w:pPr>
              <w:pStyle w:val="72"/>
              <w:rPr>
                <w:rFonts w:hint="default" w:ascii="Times New Roman" w:hAnsi="Times New Roman" w:cs="Times New Roman"/>
              </w:rPr>
            </w:pPr>
            <w:r>
              <w:rPr>
                <w:rFonts w:hint="default" w:ascii="Times New Roman" w:hAnsi="Times New Roman" w:cs="Times New Roman"/>
                <w:lang w:bidi="ar"/>
              </w:rPr>
              <w:t>排水条件</w:t>
            </w:r>
          </w:p>
        </w:tc>
        <w:tc>
          <w:tcPr>
            <w:tcW w:w="504" w:type="pct"/>
            <w:tcBorders>
              <w:top w:val="single" w:color="000000" w:sz="4" w:space="0"/>
              <w:left w:val="single" w:color="000000" w:sz="4" w:space="0"/>
              <w:bottom w:val="single" w:color="000000" w:sz="4" w:space="0"/>
              <w:right w:val="single" w:color="000000" w:sz="4" w:space="0"/>
            </w:tcBorders>
            <w:vAlign w:val="center"/>
          </w:tcPr>
          <w:p w14:paraId="0E1603D5">
            <w:pPr>
              <w:pStyle w:val="72"/>
              <w:rPr>
                <w:rFonts w:hint="default" w:ascii="Times New Roman" w:hAnsi="Times New Roman" w:cs="Times New Roman"/>
              </w:rPr>
            </w:pPr>
            <w:r>
              <w:rPr>
                <w:rFonts w:hint="default" w:ascii="Times New Roman" w:hAnsi="Times New Roman" w:cs="Times New Roman"/>
                <w:lang w:bidi="ar"/>
              </w:rPr>
              <w:t>灌溉条件</w:t>
            </w:r>
          </w:p>
        </w:tc>
      </w:tr>
      <w:tr w14:paraId="1089E6E1">
        <w:tblPrEx>
          <w:tblCellMar>
            <w:top w:w="0" w:type="dxa"/>
            <w:left w:w="108" w:type="dxa"/>
            <w:bottom w:w="0" w:type="dxa"/>
            <w:right w:w="108" w:type="dxa"/>
          </w:tblCellMar>
        </w:tblPrEx>
        <w:trPr>
          <w:trHeight w:val="300" w:hRule="atLeast"/>
        </w:trPr>
        <w:tc>
          <w:tcPr>
            <w:tcW w:w="1414" w:type="pct"/>
            <w:tcBorders>
              <w:top w:val="single" w:color="000000" w:sz="4" w:space="0"/>
              <w:left w:val="single" w:color="000000" w:sz="4" w:space="0"/>
              <w:bottom w:val="single" w:color="000000" w:sz="4" w:space="0"/>
              <w:right w:val="single" w:color="000000" w:sz="4" w:space="0"/>
            </w:tcBorders>
            <w:noWrap/>
            <w:vAlign w:val="center"/>
          </w:tcPr>
          <w:p w14:paraId="2661E3B7">
            <w:pPr>
              <w:pStyle w:val="72"/>
              <w:rPr>
                <w:rFonts w:hint="default" w:ascii="Times New Roman" w:hAnsi="Times New Roman" w:cs="Times New Roman"/>
              </w:rPr>
            </w:pPr>
            <w:r>
              <w:rPr>
                <w:rFonts w:hint="default" w:ascii="Times New Roman" w:hAnsi="Times New Roman" w:cs="Times New Roman"/>
                <w:lang w:bidi="ar"/>
              </w:rPr>
              <w:t>工业广场</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1469AC8A">
            <w:pPr>
              <w:widowControl/>
              <w:adjustRightInd/>
              <w:snapToGrid/>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0.3608</w:t>
            </w:r>
          </w:p>
        </w:tc>
        <w:tc>
          <w:tcPr>
            <w:tcW w:w="670" w:type="pct"/>
            <w:tcBorders>
              <w:top w:val="single" w:color="000000" w:sz="4" w:space="0"/>
              <w:left w:val="single" w:color="000000" w:sz="4" w:space="0"/>
              <w:bottom w:val="single" w:color="000000" w:sz="4" w:space="0"/>
              <w:right w:val="single" w:color="000000" w:sz="4" w:space="0"/>
            </w:tcBorders>
          </w:tcPr>
          <w:p w14:paraId="350CE16E">
            <w:pPr>
              <w:pStyle w:val="72"/>
              <w:rPr>
                <w:rFonts w:hint="default" w:ascii="Times New Roman" w:hAnsi="Times New Roman" w:cs="Times New Roman"/>
              </w:rPr>
            </w:pPr>
            <w:r>
              <w:rPr>
                <w:rFonts w:hint="default" w:ascii="Times New Roman" w:hAnsi="Times New Roman" w:cs="Times New Roman"/>
                <w:lang w:bidi="ar"/>
              </w:rPr>
              <w:t>＜5°</w:t>
            </w:r>
          </w:p>
        </w:tc>
        <w:tc>
          <w:tcPr>
            <w:tcW w:w="1243" w:type="pct"/>
            <w:tcBorders>
              <w:top w:val="single" w:color="000000" w:sz="4" w:space="0"/>
              <w:left w:val="single" w:color="000000" w:sz="4" w:space="0"/>
              <w:bottom w:val="single" w:color="000000" w:sz="4" w:space="0"/>
              <w:right w:val="single" w:color="000000" w:sz="4" w:space="0"/>
            </w:tcBorders>
            <w:vAlign w:val="center"/>
          </w:tcPr>
          <w:p w14:paraId="4A3114BF">
            <w:pPr>
              <w:pStyle w:val="72"/>
              <w:rPr>
                <w:rFonts w:hint="default" w:ascii="Times New Roman" w:hAnsi="Times New Roman" w:cs="Times New Roman"/>
              </w:rPr>
            </w:pPr>
            <w:r>
              <w:rPr>
                <w:rFonts w:hint="default" w:ascii="Times New Roman" w:hAnsi="Times New Roman" w:cs="Times New Roman"/>
                <w:lang w:bidi="ar"/>
              </w:rPr>
              <w:t>水泥、砂石土</w:t>
            </w:r>
          </w:p>
        </w:tc>
        <w:tc>
          <w:tcPr>
            <w:tcW w:w="508" w:type="pct"/>
            <w:tcBorders>
              <w:top w:val="single" w:color="000000" w:sz="4" w:space="0"/>
              <w:left w:val="single" w:color="000000" w:sz="4" w:space="0"/>
              <w:bottom w:val="single" w:color="000000" w:sz="4" w:space="0"/>
              <w:right w:val="single" w:color="000000" w:sz="4" w:space="0"/>
            </w:tcBorders>
            <w:vAlign w:val="center"/>
          </w:tcPr>
          <w:p w14:paraId="57F5D0C8">
            <w:pPr>
              <w:pStyle w:val="72"/>
              <w:rPr>
                <w:rFonts w:hint="default" w:ascii="Times New Roman" w:hAnsi="Times New Roman" w:cs="Times New Roman"/>
              </w:rPr>
            </w:pPr>
            <w:r>
              <w:rPr>
                <w:rFonts w:hint="default" w:ascii="Times New Roman" w:hAnsi="Times New Roman" w:cs="Times New Roman"/>
                <w:lang w:bidi="ar"/>
              </w:rPr>
              <w:t>好</w:t>
            </w:r>
          </w:p>
        </w:tc>
        <w:tc>
          <w:tcPr>
            <w:tcW w:w="504" w:type="pct"/>
            <w:tcBorders>
              <w:top w:val="single" w:color="000000" w:sz="4" w:space="0"/>
              <w:left w:val="single" w:color="000000" w:sz="4" w:space="0"/>
              <w:bottom w:val="single" w:color="000000" w:sz="4" w:space="0"/>
              <w:right w:val="single" w:color="000000" w:sz="4" w:space="0"/>
            </w:tcBorders>
            <w:vAlign w:val="center"/>
          </w:tcPr>
          <w:p w14:paraId="0C5769FE">
            <w:pPr>
              <w:pStyle w:val="72"/>
              <w:rPr>
                <w:rFonts w:hint="default" w:ascii="Times New Roman" w:hAnsi="Times New Roman" w:cs="Times New Roman"/>
              </w:rPr>
            </w:pPr>
            <w:r>
              <w:rPr>
                <w:rFonts w:hint="default" w:ascii="Times New Roman" w:hAnsi="Times New Roman" w:cs="Times New Roman"/>
                <w:lang w:bidi="ar"/>
              </w:rPr>
              <w:t>一般</w:t>
            </w:r>
          </w:p>
        </w:tc>
      </w:tr>
      <w:tr w14:paraId="73A01EB8">
        <w:tblPrEx>
          <w:tblCellMar>
            <w:top w:w="0" w:type="dxa"/>
            <w:left w:w="108" w:type="dxa"/>
            <w:bottom w:w="0" w:type="dxa"/>
            <w:right w:w="108" w:type="dxa"/>
          </w:tblCellMar>
        </w:tblPrEx>
        <w:trPr>
          <w:trHeight w:val="300" w:hRule="atLeast"/>
        </w:trPr>
        <w:tc>
          <w:tcPr>
            <w:tcW w:w="1414" w:type="pct"/>
            <w:tcBorders>
              <w:top w:val="single" w:color="000000" w:sz="4" w:space="0"/>
              <w:left w:val="single" w:color="000000" w:sz="4" w:space="0"/>
              <w:bottom w:val="single" w:color="000000" w:sz="4" w:space="0"/>
              <w:right w:val="single" w:color="000000" w:sz="4" w:space="0"/>
            </w:tcBorders>
            <w:noWrap/>
            <w:vAlign w:val="center"/>
          </w:tcPr>
          <w:p w14:paraId="0D31F10C">
            <w:pPr>
              <w:pStyle w:val="72"/>
              <w:rPr>
                <w:rFonts w:hint="default" w:ascii="Times New Roman" w:hAnsi="Times New Roman" w:eastAsia="仿宋" w:cs="Times New Roman"/>
                <w:lang w:val="en-US" w:eastAsia="zh-CN" w:bidi="ar"/>
              </w:rPr>
            </w:pPr>
            <w:r>
              <w:rPr>
                <w:rFonts w:hint="default" w:ascii="Times New Roman" w:hAnsi="Times New Roman" w:cs="Times New Roman"/>
                <w:lang w:val="en-US" w:eastAsia="zh-CN" w:bidi="ar"/>
              </w:rPr>
              <w:t>三处废弃平硐</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71E48024">
            <w:pPr>
              <w:widowControl/>
              <w:adjustRightInd/>
              <w:snapToGrid/>
              <w:spacing w:line="240" w:lineRule="auto"/>
              <w:ind w:firstLine="0" w:firstLineChars="0"/>
              <w:jc w:val="center"/>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0</w:t>
            </w:r>
          </w:p>
        </w:tc>
        <w:tc>
          <w:tcPr>
            <w:tcW w:w="670" w:type="pct"/>
            <w:tcBorders>
              <w:top w:val="single" w:color="000000" w:sz="4" w:space="0"/>
              <w:left w:val="single" w:color="000000" w:sz="4" w:space="0"/>
              <w:bottom w:val="single" w:color="000000" w:sz="4" w:space="0"/>
              <w:right w:val="single" w:color="000000" w:sz="4" w:space="0"/>
            </w:tcBorders>
          </w:tcPr>
          <w:p w14:paraId="3BFD4AC2">
            <w:pPr>
              <w:pStyle w:val="72"/>
              <w:rPr>
                <w:rFonts w:hint="default" w:ascii="Times New Roman" w:hAnsi="Times New Roman" w:eastAsia="仿宋" w:cs="Times New Roman"/>
                <w:lang w:val="en-US" w:eastAsia="zh-CN" w:bidi="ar"/>
              </w:rPr>
            </w:pPr>
            <w:r>
              <w:rPr>
                <w:rFonts w:hint="default" w:ascii="Times New Roman" w:hAnsi="Times New Roman" w:cs="Times New Roman"/>
                <w:lang w:val="en-US" w:eastAsia="zh-CN" w:bidi="ar"/>
              </w:rPr>
              <w:t>90</w:t>
            </w:r>
            <w:r>
              <w:rPr>
                <w:rFonts w:hint="default" w:ascii="Times New Roman" w:hAnsi="Times New Roman" w:cs="Times New Roman"/>
                <w:lang w:bidi="ar"/>
              </w:rPr>
              <w:t>°</w:t>
            </w:r>
          </w:p>
        </w:tc>
        <w:tc>
          <w:tcPr>
            <w:tcW w:w="1243" w:type="pct"/>
            <w:tcBorders>
              <w:top w:val="single" w:color="000000" w:sz="4" w:space="0"/>
              <w:left w:val="single" w:color="000000" w:sz="4" w:space="0"/>
              <w:bottom w:val="single" w:color="000000" w:sz="4" w:space="0"/>
              <w:right w:val="single" w:color="000000" w:sz="4" w:space="0"/>
            </w:tcBorders>
            <w:vAlign w:val="center"/>
          </w:tcPr>
          <w:p w14:paraId="297A7E4D">
            <w:pPr>
              <w:ind w:firstLine="420" w:firstLineChars="200"/>
              <w:rPr>
                <w:rFonts w:hint="default" w:ascii="Times New Roman" w:hAnsi="Times New Roman" w:eastAsia="仿宋" w:cs="Times New Roman"/>
                <w:b w:val="0"/>
                <w:bCs/>
                <w:kern w:val="2"/>
                <w:sz w:val="21"/>
                <w:szCs w:val="28"/>
                <w:lang w:val="en-US" w:eastAsia="zh-CN" w:bidi="ar"/>
              </w:rPr>
            </w:pPr>
            <w:r>
              <w:rPr>
                <w:rFonts w:hint="default" w:ascii="Times New Roman" w:hAnsi="Times New Roman" w:eastAsia="仿宋" w:cs="Times New Roman"/>
                <w:b w:val="0"/>
                <w:bCs/>
                <w:kern w:val="2"/>
                <w:sz w:val="21"/>
                <w:szCs w:val="28"/>
                <w:lang w:val="en-US" w:eastAsia="zh-CN" w:bidi="ar"/>
              </w:rPr>
              <w:t>水泥、砂石土</w:t>
            </w:r>
          </w:p>
        </w:tc>
        <w:tc>
          <w:tcPr>
            <w:tcW w:w="973" w:type="dxa"/>
            <w:tcBorders>
              <w:top w:val="single" w:color="000000" w:sz="4" w:space="0"/>
              <w:left w:val="single" w:color="000000" w:sz="4" w:space="0"/>
              <w:bottom w:val="single" w:color="000000" w:sz="4" w:space="0"/>
              <w:right w:val="single" w:color="000000" w:sz="4" w:space="0"/>
            </w:tcBorders>
            <w:vAlign w:val="center"/>
          </w:tcPr>
          <w:p w14:paraId="33E8C89A">
            <w:pPr>
              <w:pStyle w:val="72"/>
              <w:ind w:firstLine="0" w:firstLineChars="0"/>
              <w:rPr>
                <w:rFonts w:hint="default" w:ascii="Times New Roman" w:hAnsi="Times New Roman" w:cs="Times New Roman"/>
                <w:lang w:bidi="ar"/>
              </w:rPr>
            </w:pPr>
            <w:r>
              <w:rPr>
                <w:rFonts w:hint="default" w:ascii="Times New Roman" w:hAnsi="Times New Roman" w:cs="Times New Roman"/>
                <w:lang w:bidi="ar"/>
              </w:rPr>
              <w:t>好</w:t>
            </w:r>
          </w:p>
        </w:tc>
        <w:tc>
          <w:tcPr>
            <w:tcW w:w="966" w:type="dxa"/>
            <w:tcBorders>
              <w:top w:val="single" w:color="000000" w:sz="4" w:space="0"/>
              <w:left w:val="single" w:color="000000" w:sz="4" w:space="0"/>
              <w:bottom w:val="single" w:color="000000" w:sz="4" w:space="0"/>
              <w:right w:val="single" w:color="000000" w:sz="4" w:space="0"/>
            </w:tcBorders>
            <w:vAlign w:val="center"/>
          </w:tcPr>
          <w:p w14:paraId="1FE6C3B6">
            <w:pPr>
              <w:pStyle w:val="72"/>
              <w:ind w:firstLine="0" w:firstLineChars="0"/>
              <w:rPr>
                <w:rFonts w:hint="default" w:ascii="Times New Roman" w:hAnsi="Times New Roman" w:cs="Times New Roman"/>
                <w:lang w:bidi="ar"/>
              </w:rPr>
            </w:pPr>
            <w:r>
              <w:rPr>
                <w:rFonts w:hint="default" w:ascii="Times New Roman" w:hAnsi="Times New Roman" w:cs="Times New Roman"/>
                <w:lang w:bidi="ar"/>
              </w:rPr>
              <w:t>一般</w:t>
            </w:r>
          </w:p>
        </w:tc>
      </w:tr>
      <w:tr w14:paraId="39FC79CB">
        <w:tblPrEx>
          <w:tblCellMar>
            <w:top w:w="0" w:type="dxa"/>
            <w:left w:w="108" w:type="dxa"/>
            <w:bottom w:w="0" w:type="dxa"/>
            <w:right w:w="108" w:type="dxa"/>
          </w:tblCellMar>
        </w:tblPrEx>
        <w:trPr>
          <w:trHeight w:val="300" w:hRule="atLeast"/>
        </w:trPr>
        <w:tc>
          <w:tcPr>
            <w:tcW w:w="1414" w:type="pct"/>
            <w:tcBorders>
              <w:top w:val="single" w:color="000000" w:sz="4" w:space="0"/>
              <w:left w:val="single" w:color="000000" w:sz="4" w:space="0"/>
              <w:bottom w:val="single" w:color="000000" w:sz="4" w:space="0"/>
              <w:right w:val="single" w:color="000000" w:sz="4" w:space="0"/>
            </w:tcBorders>
            <w:noWrap/>
            <w:vAlign w:val="center"/>
          </w:tcPr>
          <w:p w14:paraId="76CBBA2D">
            <w:pPr>
              <w:pStyle w:val="72"/>
              <w:rPr>
                <w:rFonts w:hint="default" w:ascii="Times New Roman" w:hAnsi="Times New Roman" w:cs="Times New Roman"/>
                <w:lang w:bidi="ar"/>
              </w:rPr>
            </w:pPr>
            <w:r>
              <w:rPr>
                <w:rFonts w:hint="default" w:ascii="Times New Roman" w:hAnsi="Times New Roman" w:cs="Times New Roman"/>
                <w:szCs w:val="28"/>
                <w:lang w:val="en-US" w:eastAsia="zh-CN"/>
              </w:rPr>
              <w:t>490m平硐工业广场</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33FA13D3">
            <w:pPr>
              <w:widowControl/>
              <w:adjustRightInd/>
              <w:snapToGrid/>
              <w:spacing w:line="240" w:lineRule="auto"/>
              <w:ind w:firstLine="0" w:firstLineChars="0"/>
              <w:jc w:val="center"/>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0.69</w:t>
            </w:r>
          </w:p>
        </w:tc>
        <w:tc>
          <w:tcPr>
            <w:tcW w:w="670" w:type="pct"/>
            <w:tcBorders>
              <w:top w:val="single" w:color="000000" w:sz="4" w:space="0"/>
              <w:left w:val="single" w:color="000000" w:sz="4" w:space="0"/>
              <w:bottom w:val="single" w:color="000000" w:sz="4" w:space="0"/>
              <w:right w:val="single" w:color="000000" w:sz="4" w:space="0"/>
            </w:tcBorders>
          </w:tcPr>
          <w:p w14:paraId="6233A80D">
            <w:pPr>
              <w:pStyle w:val="72"/>
              <w:rPr>
                <w:rFonts w:hint="default" w:ascii="Times New Roman" w:hAnsi="Times New Roman" w:eastAsia="仿宋" w:cs="Times New Roman"/>
                <w:lang w:val="en-US" w:eastAsia="zh-CN" w:bidi="ar"/>
              </w:rPr>
            </w:pPr>
            <w:r>
              <w:rPr>
                <w:rFonts w:hint="default" w:ascii="Times New Roman" w:hAnsi="Times New Roman" w:cs="Times New Roman"/>
                <w:lang w:val="en-US" w:eastAsia="zh-CN" w:bidi="ar"/>
              </w:rPr>
              <w:t>0</w:t>
            </w:r>
            <w:r>
              <w:rPr>
                <w:rFonts w:hint="default" w:ascii="Times New Roman" w:hAnsi="Times New Roman" w:cs="Times New Roman"/>
                <w:szCs w:val="21"/>
              </w:rPr>
              <w:t>～</w:t>
            </w:r>
            <w:r>
              <w:rPr>
                <w:rFonts w:hint="default" w:ascii="Times New Roman" w:hAnsi="Times New Roman" w:cs="Times New Roman"/>
                <w:lang w:val="en-US" w:eastAsia="zh-CN" w:bidi="ar"/>
              </w:rPr>
              <w:t>90</w:t>
            </w:r>
            <w:r>
              <w:rPr>
                <w:rFonts w:hint="default" w:ascii="Times New Roman" w:hAnsi="Times New Roman" w:cs="Times New Roman"/>
                <w:lang w:bidi="ar"/>
              </w:rPr>
              <w:t>°</w:t>
            </w:r>
          </w:p>
        </w:tc>
        <w:tc>
          <w:tcPr>
            <w:tcW w:w="1243" w:type="pct"/>
            <w:tcBorders>
              <w:top w:val="single" w:color="000000" w:sz="4" w:space="0"/>
              <w:left w:val="single" w:color="000000" w:sz="4" w:space="0"/>
              <w:bottom w:val="single" w:color="000000" w:sz="4" w:space="0"/>
              <w:right w:val="single" w:color="000000" w:sz="4" w:space="0"/>
            </w:tcBorders>
            <w:vAlign w:val="center"/>
          </w:tcPr>
          <w:p w14:paraId="20194A4B">
            <w:pPr>
              <w:ind w:firstLine="420" w:firstLineChars="200"/>
              <w:rPr>
                <w:rFonts w:hint="default" w:ascii="Times New Roman" w:hAnsi="Times New Roman" w:eastAsia="仿宋" w:cs="Times New Roman"/>
                <w:b w:val="0"/>
                <w:bCs/>
                <w:kern w:val="2"/>
                <w:sz w:val="21"/>
                <w:szCs w:val="28"/>
                <w:lang w:val="en-US" w:eastAsia="zh-CN" w:bidi="ar"/>
              </w:rPr>
            </w:pPr>
            <w:r>
              <w:rPr>
                <w:rFonts w:hint="default" w:ascii="Times New Roman" w:hAnsi="Times New Roman" w:eastAsia="仿宋" w:cs="Times New Roman"/>
                <w:b w:val="0"/>
                <w:bCs/>
                <w:kern w:val="2"/>
                <w:sz w:val="21"/>
                <w:szCs w:val="28"/>
                <w:lang w:val="en-US" w:eastAsia="zh-CN" w:bidi="ar"/>
              </w:rPr>
              <w:t>水泥、砂石土</w:t>
            </w:r>
          </w:p>
        </w:tc>
        <w:tc>
          <w:tcPr>
            <w:tcW w:w="973" w:type="dxa"/>
            <w:tcBorders>
              <w:top w:val="single" w:color="000000" w:sz="4" w:space="0"/>
              <w:left w:val="single" w:color="000000" w:sz="4" w:space="0"/>
              <w:bottom w:val="single" w:color="000000" w:sz="4" w:space="0"/>
              <w:right w:val="single" w:color="000000" w:sz="4" w:space="0"/>
            </w:tcBorders>
            <w:vAlign w:val="center"/>
          </w:tcPr>
          <w:p w14:paraId="5D5B6FA5">
            <w:pPr>
              <w:pStyle w:val="72"/>
              <w:ind w:firstLine="0" w:firstLineChars="0"/>
              <w:rPr>
                <w:rFonts w:hint="default" w:ascii="Times New Roman" w:hAnsi="Times New Roman" w:cs="Times New Roman"/>
                <w:lang w:bidi="ar"/>
              </w:rPr>
            </w:pPr>
            <w:r>
              <w:rPr>
                <w:rFonts w:hint="default" w:ascii="Times New Roman" w:hAnsi="Times New Roman" w:cs="Times New Roman"/>
                <w:lang w:bidi="ar"/>
              </w:rPr>
              <w:t>好</w:t>
            </w:r>
          </w:p>
        </w:tc>
        <w:tc>
          <w:tcPr>
            <w:tcW w:w="966" w:type="dxa"/>
            <w:tcBorders>
              <w:top w:val="single" w:color="000000" w:sz="4" w:space="0"/>
              <w:left w:val="single" w:color="000000" w:sz="4" w:space="0"/>
              <w:bottom w:val="single" w:color="000000" w:sz="4" w:space="0"/>
              <w:right w:val="single" w:color="000000" w:sz="4" w:space="0"/>
            </w:tcBorders>
            <w:vAlign w:val="center"/>
          </w:tcPr>
          <w:p w14:paraId="41D2B0FC">
            <w:pPr>
              <w:pStyle w:val="72"/>
              <w:ind w:firstLine="0" w:firstLineChars="0"/>
              <w:rPr>
                <w:rFonts w:hint="default" w:ascii="Times New Roman" w:hAnsi="Times New Roman" w:cs="Times New Roman"/>
                <w:lang w:bidi="ar"/>
              </w:rPr>
            </w:pPr>
            <w:r>
              <w:rPr>
                <w:rFonts w:hint="default" w:ascii="Times New Roman" w:hAnsi="Times New Roman" w:cs="Times New Roman"/>
                <w:lang w:bidi="ar"/>
              </w:rPr>
              <w:t>一般</w:t>
            </w:r>
          </w:p>
        </w:tc>
      </w:tr>
      <w:tr w14:paraId="428F8D90">
        <w:tblPrEx>
          <w:tblCellMar>
            <w:top w:w="0" w:type="dxa"/>
            <w:left w:w="108" w:type="dxa"/>
            <w:bottom w:w="0" w:type="dxa"/>
            <w:right w:w="108" w:type="dxa"/>
          </w:tblCellMar>
        </w:tblPrEx>
        <w:trPr>
          <w:trHeight w:val="300" w:hRule="atLeast"/>
        </w:trPr>
        <w:tc>
          <w:tcPr>
            <w:tcW w:w="1414" w:type="pct"/>
            <w:tcBorders>
              <w:top w:val="single" w:color="000000" w:sz="4" w:space="0"/>
              <w:left w:val="single" w:color="000000" w:sz="4" w:space="0"/>
              <w:bottom w:val="single" w:color="000000" w:sz="4" w:space="0"/>
              <w:right w:val="single" w:color="000000" w:sz="4" w:space="0"/>
            </w:tcBorders>
            <w:noWrap/>
            <w:vAlign w:val="center"/>
          </w:tcPr>
          <w:p w14:paraId="0E4B36BA">
            <w:pPr>
              <w:pStyle w:val="72"/>
              <w:rPr>
                <w:rFonts w:hint="default" w:ascii="Times New Roman" w:hAnsi="Times New Roman" w:cs="Times New Roman"/>
                <w:szCs w:val="28"/>
                <w:lang w:val="en-US" w:eastAsia="zh-CN"/>
              </w:rPr>
            </w:pPr>
            <w:r>
              <w:rPr>
                <w:rFonts w:hint="default" w:ascii="Times New Roman" w:hAnsi="Times New Roman" w:cs="Times New Roman"/>
                <w:szCs w:val="28"/>
                <w:lang w:val="en-US" w:eastAsia="zh-CN"/>
              </w:rPr>
              <w:t>520m平硐工业广场</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19490EFE">
            <w:pPr>
              <w:widowControl/>
              <w:adjustRightInd/>
              <w:snapToGrid/>
              <w:spacing w:line="240" w:lineRule="auto"/>
              <w:ind w:firstLine="0" w:firstLineChars="0"/>
              <w:jc w:val="center"/>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0.3</w:t>
            </w:r>
          </w:p>
        </w:tc>
        <w:tc>
          <w:tcPr>
            <w:tcW w:w="670" w:type="pct"/>
            <w:tcBorders>
              <w:top w:val="single" w:color="000000" w:sz="4" w:space="0"/>
              <w:left w:val="single" w:color="000000" w:sz="4" w:space="0"/>
              <w:bottom w:val="single" w:color="000000" w:sz="4" w:space="0"/>
              <w:right w:val="single" w:color="000000" w:sz="4" w:space="0"/>
            </w:tcBorders>
          </w:tcPr>
          <w:p w14:paraId="52490807">
            <w:pPr>
              <w:pStyle w:val="72"/>
              <w:rPr>
                <w:rFonts w:hint="default" w:ascii="Times New Roman" w:hAnsi="Times New Roman" w:cs="Times New Roman"/>
                <w:lang w:bidi="ar"/>
              </w:rPr>
            </w:pPr>
            <w:r>
              <w:rPr>
                <w:rFonts w:hint="default" w:ascii="Times New Roman" w:hAnsi="Times New Roman" w:cs="Times New Roman"/>
                <w:lang w:val="en-US" w:eastAsia="zh-CN" w:bidi="ar"/>
              </w:rPr>
              <w:t>0</w:t>
            </w:r>
            <w:r>
              <w:rPr>
                <w:rFonts w:hint="default" w:ascii="Times New Roman" w:hAnsi="Times New Roman" w:cs="Times New Roman"/>
                <w:szCs w:val="21"/>
              </w:rPr>
              <w:t>～</w:t>
            </w:r>
            <w:r>
              <w:rPr>
                <w:rFonts w:hint="default" w:ascii="Times New Roman" w:hAnsi="Times New Roman" w:cs="Times New Roman"/>
                <w:lang w:val="en-US" w:eastAsia="zh-CN" w:bidi="ar"/>
              </w:rPr>
              <w:t>90</w:t>
            </w:r>
            <w:r>
              <w:rPr>
                <w:rFonts w:hint="default" w:ascii="Times New Roman" w:hAnsi="Times New Roman" w:cs="Times New Roman"/>
                <w:lang w:bidi="ar"/>
              </w:rPr>
              <w:t>°</w:t>
            </w:r>
          </w:p>
        </w:tc>
        <w:tc>
          <w:tcPr>
            <w:tcW w:w="1243" w:type="pct"/>
            <w:tcBorders>
              <w:top w:val="single" w:color="000000" w:sz="4" w:space="0"/>
              <w:left w:val="single" w:color="000000" w:sz="4" w:space="0"/>
              <w:bottom w:val="single" w:color="000000" w:sz="4" w:space="0"/>
              <w:right w:val="single" w:color="000000" w:sz="4" w:space="0"/>
            </w:tcBorders>
            <w:vAlign w:val="center"/>
          </w:tcPr>
          <w:p w14:paraId="37DDABF5">
            <w:pPr>
              <w:ind w:firstLine="420" w:firstLineChars="200"/>
              <w:rPr>
                <w:rFonts w:hint="default" w:ascii="Times New Roman" w:hAnsi="Times New Roman" w:eastAsia="仿宋" w:cs="Times New Roman"/>
                <w:b w:val="0"/>
                <w:bCs/>
                <w:kern w:val="2"/>
                <w:sz w:val="21"/>
                <w:szCs w:val="28"/>
                <w:lang w:val="en-US" w:eastAsia="zh-CN" w:bidi="ar"/>
              </w:rPr>
            </w:pPr>
            <w:r>
              <w:rPr>
                <w:rFonts w:hint="default" w:ascii="Times New Roman" w:hAnsi="Times New Roman" w:eastAsia="仿宋" w:cs="Times New Roman"/>
                <w:b w:val="0"/>
                <w:bCs/>
                <w:kern w:val="2"/>
                <w:sz w:val="21"/>
                <w:szCs w:val="28"/>
                <w:lang w:val="en-US" w:eastAsia="zh-CN" w:bidi="ar"/>
              </w:rPr>
              <w:t>水泥、砂石土</w:t>
            </w:r>
          </w:p>
        </w:tc>
        <w:tc>
          <w:tcPr>
            <w:tcW w:w="973" w:type="dxa"/>
            <w:tcBorders>
              <w:top w:val="single" w:color="000000" w:sz="4" w:space="0"/>
              <w:left w:val="single" w:color="000000" w:sz="4" w:space="0"/>
              <w:bottom w:val="single" w:color="000000" w:sz="4" w:space="0"/>
              <w:right w:val="single" w:color="000000" w:sz="4" w:space="0"/>
            </w:tcBorders>
            <w:vAlign w:val="center"/>
          </w:tcPr>
          <w:p w14:paraId="15809C20">
            <w:pPr>
              <w:pStyle w:val="72"/>
              <w:ind w:firstLine="0" w:firstLineChars="0"/>
              <w:rPr>
                <w:rFonts w:hint="default" w:ascii="Times New Roman" w:hAnsi="Times New Roman" w:cs="Times New Roman"/>
                <w:lang w:bidi="ar"/>
              </w:rPr>
            </w:pPr>
            <w:r>
              <w:rPr>
                <w:rFonts w:hint="default" w:ascii="Times New Roman" w:hAnsi="Times New Roman" w:cs="Times New Roman"/>
                <w:lang w:bidi="ar"/>
              </w:rPr>
              <w:t>好</w:t>
            </w:r>
          </w:p>
        </w:tc>
        <w:tc>
          <w:tcPr>
            <w:tcW w:w="966" w:type="dxa"/>
            <w:tcBorders>
              <w:top w:val="single" w:color="000000" w:sz="4" w:space="0"/>
              <w:left w:val="single" w:color="000000" w:sz="4" w:space="0"/>
              <w:bottom w:val="single" w:color="000000" w:sz="4" w:space="0"/>
              <w:right w:val="single" w:color="000000" w:sz="4" w:space="0"/>
            </w:tcBorders>
            <w:vAlign w:val="center"/>
          </w:tcPr>
          <w:p w14:paraId="5EF5E24B">
            <w:pPr>
              <w:pStyle w:val="72"/>
              <w:ind w:firstLine="0" w:firstLineChars="0"/>
              <w:rPr>
                <w:rFonts w:hint="default" w:ascii="Times New Roman" w:hAnsi="Times New Roman" w:cs="Times New Roman"/>
                <w:lang w:bidi="ar"/>
              </w:rPr>
            </w:pPr>
            <w:r>
              <w:rPr>
                <w:rFonts w:hint="default" w:ascii="Times New Roman" w:hAnsi="Times New Roman" w:cs="Times New Roman"/>
                <w:lang w:bidi="ar"/>
              </w:rPr>
              <w:t>一般</w:t>
            </w:r>
          </w:p>
        </w:tc>
      </w:tr>
      <w:tr w14:paraId="213A8B18">
        <w:tblPrEx>
          <w:tblCellMar>
            <w:top w:w="0" w:type="dxa"/>
            <w:left w:w="108" w:type="dxa"/>
            <w:bottom w:w="0" w:type="dxa"/>
            <w:right w:w="108" w:type="dxa"/>
          </w:tblCellMar>
        </w:tblPrEx>
        <w:trPr>
          <w:trHeight w:val="300" w:hRule="atLeast"/>
        </w:trPr>
        <w:tc>
          <w:tcPr>
            <w:tcW w:w="1414" w:type="pct"/>
            <w:tcBorders>
              <w:top w:val="single" w:color="000000" w:sz="4" w:space="0"/>
              <w:left w:val="single" w:color="000000" w:sz="4" w:space="0"/>
              <w:bottom w:val="single" w:color="000000" w:sz="4" w:space="0"/>
              <w:right w:val="single" w:color="000000" w:sz="4" w:space="0"/>
            </w:tcBorders>
            <w:noWrap/>
            <w:vAlign w:val="center"/>
          </w:tcPr>
          <w:p w14:paraId="2F3435C1">
            <w:pPr>
              <w:pStyle w:val="72"/>
              <w:rPr>
                <w:rFonts w:hint="default" w:ascii="Times New Roman" w:hAnsi="Times New Roman" w:cs="Times New Roman"/>
                <w:szCs w:val="28"/>
                <w:lang w:val="en-US" w:eastAsia="zh-CN"/>
              </w:rPr>
            </w:pPr>
            <w:r>
              <w:rPr>
                <w:rFonts w:hint="default" w:ascii="Times New Roman" w:hAnsi="Times New Roman" w:cs="Times New Roman"/>
                <w:szCs w:val="28"/>
                <w:lang w:val="en-US" w:eastAsia="zh-CN"/>
              </w:rPr>
              <w:t>548m平硐工业广场</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609C6888">
            <w:pPr>
              <w:widowControl/>
              <w:adjustRightInd/>
              <w:snapToGrid/>
              <w:spacing w:line="240" w:lineRule="auto"/>
              <w:ind w:firstLine="0" w:firstLineChars="0"/>
              <w:jc w:val="center"/>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0.178</w:t>
            </w:r>
          </w:p>
        </w:tc>
        <w:tc>
          <w:tcPr>
            <w:tcW w:w="670" w:type="pct"/>
            <w:tcBorders>
              <w:top w:val="single" w:color="000000" w:sz="4" w:space="0"/>
              <w:left w:val="single" w:color="000000" w:sz="4" w:space="0"/>
              <w:bottom w:val="single" w:color="000000" w:sz="4" w:space="0"/>
              <w:right w:val="single" w:color="000000" w:sz="4" w:space="0"/>
            </w:tcBorders>
          </w:tcPr>
          <w:p w14:paraId="018E0AE6">
            <w:pPr>
              <w:pStyle w:val="72"/>
              <w:rPr>
                <w:rFonts w:hint="default" w:ascii="Times New Roman" w:hAnsi="Times New Roman" w:cs="Times New Roman"/>
                <w:lang w:bidi="ar"/>
              </w:rPr>
            </w:pPr>
            <w:r>
              <w:rPr>
                <w:rFonts w:hint="default" w:ascii="Times New Roman" w:hAnsi="Times New Roman" w:cs="Times New Roman"/>
                <w:lang w:val="en-US" w:eastAsia="zh-CN" w:bidi="ar"/>
              </w:rPr>
              <w:t>0</w:t>
            </w:r>
            <w:r>
              <w:rPr>
                <w:rFonts w:hint="default" w:ascii="Times New Roman" w:hAnsi="Times New Roman" w:cs="Times New Roman"/>
                <w:szCs w:val="21"/>
              </w:rPr>
              <w:t>～</w:t>
            </w:r>
            <w:r>
              <w:rPr>
                <w:rFonts w:hint="default" w:ascii="Times New Roman" w:hAnsi="Times New Roman" w:cs="Times New Roman"/>
                <w:lang w:val="en-US" w:eastAsia="zh-CN" w:bidi="ar"/>
              </w:rPr>
              <w:t>90</w:t>
            </w:r>
            <w:r>
              <w:rPr>
                <w:rFonts w:hint="default" w:ascii="Times New Roman" w:hAnsi="Times New Roman" w:cs="Times New Roman"/>
                <w:lang w:bidi="ar"/>
              </w:rPr>
              <w:t>°</w:t>
            </w:r>
          </w:p>
        </w:tc>
        <w:tc>
          <w:tcPr>
            <w:tcW w:w="1243" w:type="pct"/>
            <w:tcBorders>
              <w:top w:val="single" w:color="000000" w:sz="4" w:space="0"/>
              <w:left w:val="single" w:color="000000" w:sz="4" w:space="0"/>
              <w:bottom w:val="single" w:color="000000" w:sz="4" w:space="0"/>
              <w:right w:val="single" w:color="000000" w:sz="4" w:space="0"/>
            </w:tcBorders>
            <w:vAlign w:val="center"/>
          </w:tcPr>
          <w:p w14:paraId="356549E0">
            <w:pPr>
              <w:ind w:firstLine="420" w:firstLineChars="200"/>
              <w:rPr>
                <w:rFonts w:hint="default" w:ascii="Times New Roman" w:hAnsi="Times New Roman" w:eastAsia="仿宋" w:cs="Times New Roman"/>
                <w:b w:val="0"/>
                <w:bCs/>
                <w:kern w:val="2"/>
                <w:sz w:val="21"/>
                <w:szCs w:val="28"/>
                <w:lang w:val="en-US" w:eastAsia="zh-CN" w:bidi="ar"/>
              </w:rPr>
            </w:pPr>
            <w:r>
              <w:rPr>
                <w:rFonts w:hint="default" w:ascii="Times New Roman" w:hAnsi="Times New Roman" w:eastAsia="仿宋" w:cs="Times New Roman"/>
                <w:b w:val="0"/>
                <w:bCs/>
                <w:kern w:val="2"/>
                <w:sz w:val="21"/>
                <w:szCs w:val="28"/>
                <w:lang w:val="en-US" w:eastAsia="zh-CN" w:bidi="ar"/>
              </w:rPr>
              <w:t>水泥、砂石土</w:t>
            </w:r>
          </w:p>
        </w:tc>
        <w:tc>
          <w:tcPr>
            <w:tcW w:w="973" w:type="dxa"/>
            <w:tcBorders>
              <w:top w:val="single" w:color="000000" w:sz="4" w:space="0"/>
              <w:left w:val="single" w:color="000000" w:sz="4" w:space="0"/>
              <w:bottom w:val="single" w:color="000000" w:sz="4" w:space="0"/>
              <w:right w:val="single" w:color="000000" w:sz="4" w:space="0"/>
            </w:tcBorders>
            <w:vAlign w:val="center"/>
          </w:tcPr>
          <w:p w14:paraId="4BD0AD06">
            <w:pPr>
              <w:pStyle w:val="72"/>
              <w:ind w:firstLine="0" w:firstLineChars="0"/>
              <w:rPr>
                <w:rFonts w:hint="default" w:ascii="Times New Roman" w:hAnsi="Times New Roman" w:cs="Times New Roman"/>
                <w:lang w:bidi="ar"/>
              </w:rPr>
            </w:pPr>
            <w:r>
              <w:rPr>
                <w:rFonts w:hint="default" w:ascii="Times New Roman" w:hAnsi="Times New Roman" w:cs="Times New Roman"/>
                <w:lang w:bidi="ar"/>
              </w:rPr>
              <w:t>好</w:t>
            </w:r>
          </w:p>
        </w:tc>
        <w:tc>
          <w:tcPr>
            <w:tcW w:w="966" w:type="dxa"/>
            <w:tcBorders>
              <w:top w:val="single" w:color="000000" w:sz="4" w:space="0"/>
              <w:left w:val="single" w:color="000000" w:sz="4" w:space="0"/>
              <w:bottom w:val="single" w:color="000000" w:sz="4" w:space="0"/>
              <w:right w:val="single" w:color="000000" w:sz="4" w:space="0"/>
            </w:tcBorders>
            <w:vAlign w:val="center"/>
          </w:tcPr>
          <w:p w14:paraId="5E29AF68">
            <w:pPr>
              <w:pStyle w:val="72"/>
              <w:ind w:firstLine="0" w:firstLineChars="0"/>
              <w:rPr>
                <w:rFonts w:hint="default" w:ascii="Times New Roman" w:hAnsi="Times New Roman" w:cs="Times New Roman"/>
                <w:lang w:bidi="ar"/>
              </w:rPr>
            </w:pPr>
            <w:r>
              <w:rPr>
                <w:rFonts w:hint="default" w:ascii="Times New Roman" w:hAnsi="Times New Roman" w:cs="Times New Roman"/>
                <w:lang w:bidi="ar"/>
              </w:rPr>
              <w:t>一般</w:t>
            </w:r>
          </w:p>
        </w:tc>
      </w:tr>
      <w:tr w14:paraId="2F1EEE33">
        <w:tblPrEx>
          <w:tblCellMar>
            <w:top w:w="0" w:type="dxa"/>
            <w:left w:w="108" w:type="dxa"/>
            <w:bottom w:w="0" w:type="dxa"/>
            <w:right w:w="108" w:type="dxa"/>
          </w:tblCellMar>
        </w:tblPrEx>
        <w:trPr>
          <w:trHeight w:val="300" w:hRule="atLeast"/>
        </w:trPr>
        <w:tc>
          <w:tcPr>
            <w:tcW w:w="1414" w:type="pct"/>
            <w:tcBorders>
              <w:top w:val="single" w:color="000000" w:sz="4" w:space="0"/>
              <w:left w:val="single" w:color="000000" w:sz="4" w:space="0"/>
              <w:bottom w:val="single" w:color="000000" w:sz="4" w:space="0"/>
              <w:right w:val="single" w:color="000000" w:sz="4" w:space="0"/>
            </w:tcBorders>
            <w:noWrap/>
            <w:vAlign w:val="center"/>
          </w:tcPr>
          <w:p w14:paraId="691C1E1E">
            <w:pPr>
              <w:pStyle w:val="72"/>
              <w:rPr>
                <w:rFonts w:hint="default" w:ascii="Times New Roman" w:hAnsi="Times New Roman" w:eastAsia="仿宋" w:cs="Times New Roman"/>
                <w:lang w:eastAsia="zh-CN" w:bidi="ar"/>
              </w:rPr>
            </w:pPr>
            <w:r>
              <w:rPr>
                <w:rFonts w:hint="default" w:ascii="Times New Roman" w:hAnsi="Times New Roman" w:cs="Times New Roman"/>
                <w:lang w:eastAsia="zh-CN" w:bidi="ar"/>
              </w:rPr>
              <w:t>地裂缝</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76BC52BE">
            <w:pPr>
              <w:pStyle w:val="72"/>
              <w:rPr>
                <w:rFonts w:hint="default" w:ascii="Times New Roman" w:hAnsi="Times New Roman" w:eastAsia="仿宋" w:cs="Times New Roman"/>
                <w:color w:val="000000"/>
                <w:szCs w:val="21"/>
                <w:lang w:eastAsia="zh-CN"/>
              </w:rPr>
            </w:pPr>
            <w:r>
              <w:rPr>
                <w:rFonts w:hint="default" w:ascii="Times New Roman" w:hAnsi="Times New Roman" w:cs="Times New Roman"/>
                <w:lang w:val="en-US" w:eastAsia="zh-CN"/>
              </w:rPr>
              <w:t>0</w:t>
            </w:r>
          </w:p>
        </w:tc>
        <w:tc>
          <w:tcPr>
            <w:tcW w:w="670" w:type="pct"/>
            <w:tcBorders>
              <w:top w:val="single" w:color="000000" w:sz="4" w:space="0"/>
              <w:left w:val="single" w:color="000000" w:sz="4" w:space="0"/>
              <w:bottom w:val="single" w:color="000000" w:sz="4" w:space="0"/>
              <w:right w:val="single" w:color="000000" w:sz="4" w:space="0"/>
            </w:tcBorders>
            <w:vAlign w:val="center"/>
          </w:tcPr>
          <w:p w14:paraId="31BF27CE">
            <w:pPr>
              <w:pStyle w:val="72"/>
              <w:rPr>
                <w:rFonts w:hint="default" w:ascii="Times New Roman" w:hAnsi="Times New Roman" w:cs="Times New Roman"/>
                <w:lang w:bidi="ar"/>
              </w:rPr>
            </w:pPr>
            <w:r>
              <w:rPr>
                <w:rFonts w:hint="default" w:ascii="Times New Roman" w:hAnsi="Times New Roman" w:cs="Times New Roman"/>
                <w:szCs w:val="21"/>
              </w:rPr>
              <w:t>15°～35°</w:t>
            </w:r>
          </w:p>
        </w:tc>
        <w:tc>
          <w:tcPr>
            <w:tcW w:w="1243" w:type="pct"/>
            <w:tcBorders>
              <w:top w:val="single" w:color="000000" w:sz="4" w:space="0"/>
              <w:left w:val="single" w:color="000000" w:sz="4" w:space="0"/>
              <w:bottom w:val="single" w:color="000000" w:sz="4" w:space="0"/>
              <w:right w:val="single" w:color="000000" w:sz="4" w:space="0"/>
            </w:tcBorders>
            <w:vAlign w:val="center"/>
          </w:tcPr>
          <w:p w14:paraId="0D66C927">
            <w:pPr>
              <w:pStyle w:val="72"/>
              <w:rPr>
                <w:rFonts w:hint="default" w:ascii="Times New Roman" w:hAnsi="Times New Roman" w:cs="Times New Roman"/>
                <w:lang w:bidi="ar"/>
              </w:rPr>
            </w:pPr>
            <w:r>
              <w:rPr>
                <w:rFonts w:hint="default" w:ascii="Times New Roman" w:hAnsi="Times New Roman" w:cs="Times New Roman"/>
                <w:szCs w:val="21"/>
              </w:rPr>
              <w:t>壤土</w:t>
            </w:r>
          </w:p>
        </w:tc>
        <w:tc>
          <w:tcPr>
            <w:tcW w:w="508" w:type="pct"/>
            <w:tcBorders>
              <w:top w:val="single" w:color="000000" w:sz="4" w:space="0"/>
              <w:left w:val="single" w:color="000000" w:sz="4" w:space="0"/>
              <w:bottom w:val="single" w:color="000000" w:sz="4" w:space="0"/>
              <w:right w:val="single" w:color="000000" w:sz="4" w:space="0"/>
            </w:tcBorders>
            <w:vAlign w:val="center"/>
          </w:tcPr>
          <w:p w14:paraId="3B3FA34D">
            <w:pPr>
              <w:pStyle w:val="72"/>
              <w:rPr>
                <w:rFonts w:hint="default" w:ascii="Times New Roman" w:hAnsi="Times New Roman" w:cs="Times New Roman"/>
                <w:lang w:bidi="ar"/>
              </w:rPr>
            </w:pPr>
            <w:r>
              <w:rPr>
                <w:rFonts w:hint="default" w:ascii="Times New Roman" w:hAnsi="Times New Roman" w:cs="Times New Roman"/>
                <w:lang w:bidi="ar"/>
              </w:rPr>
              <w:t>好</w:t>
            </w:r>
          </w:p>
        </w:tc>
        <w:tc>
          <w:tcPr>
            <w:tcW w:w="504" w:type="pct"/>
            <w:tcBorders>
              <w:top w:val="single" w:color="000000" w:sz="4" w:space="0"/>
              <w:left w:val="single" w:color="000000" w:sz="4" w:space="0"/>
              <w:bottom w:val="single" w:color="000000" w:sz="4" w:space="0"/>
              <w:right w:val="single" w:color="000000" w:sz="4" w:space="0"/>
            </w:tcBorders>
            <w:vAlign w:val="center"/>
          </w:tcPr>
          <w:p w14:paraId="13689B6A">
            <w:pPr>
              <w:pStyle w:val="72"/>
              <w:rPr>
                <w:rFonts w:hint="default" w:ascii="Times New Roman" w:hAnsi="Times New Roman" w:cs="Times New Roman"/>
                <w:lang w:bidi="ar"/>
              </w:rPr>
            </w:pPr>
            <w:r>
              <w:rPr>
                <w:rFonts w:hint="default" w:ascii="Times New Roman" w:hAnsi="Times New Roman" w:cs="Times New Roman"/>
                <w:lang w:bidi="ar"/>
              </w:rPr>
              <w:t>一般</w:t>
            </w:r>
          </w:p>
        </w:tc>
      </w:tr>
    </w:tbl>
    <w:p w14:paraId="28D9CC15">
      <w:pPr>
        <w:ind w:firstLine="560"/>
      </w:pPr>
      <w:r>
        <w:fldChar w:fldCharType="begin"/>
      </w:r>
      <w:r>
        <w:instrText xml:space="preserve"> = 2 \* GB3 </w:instrText>
      </w:r>
      <w:r>
        <w:fldChar w:fldCharType="separate"/>
      </w:r>
      <w:r>
        <w:rPr>
          <w:rFonts w:ascii="Cambria Math" w:hAnsi="Cambria Math" w:cs="Cambria Math"/>
        </w:rPr>
        <w:t>②</w:t>
      </w:r>
      <w:r>
        <w:fldChar w:fldCharType="end"/>
      </w:r>
      <w:r>
        <w:t>参评因子分级指标和等级标准的确定</w:t>
      </w:r>
      <w:bookmarkEnd w:id="143"/>
      <w:bookmarkEnd w:id="144"/>
    </w:p>
    <w:p w14:paraId="4677073D">
      <w:pPr>
        <w:ind w:firstLine="560"/>
      </w:pPr>
      <w:r>
        <w:t>依据选取的主要限制因子，结合矿区所在区域自然环境特征、结合矿区土地损毁特点、土地类型等有关指标，参阅有关矿区破坏土地适宜性评价和修复经验，确定适宜性评价限制因素分级标准。</w:t>
      </w:r>
    </w:p>
    <w:p w14:paraId="5F5D7F2F">
      <w:pPr>
        <w:pStyle w:val="57"/>
        <w:rPr>
          <w:rFonts w:ascii="Times New Roman" w:hAnsi="Times New Roman"/>
        </w:rPr>
      </w:pPr>
      <w:r>
        <w:rPr>
          <w:rFonts w:ascii="Times New Roman" w:hAnsi="Times New Roman"/>
        </w:rPr>
        <w:t>表3-</w:t>
      </w:r>
      <w:r>
        <w:rPr>
          <w:rFonts w:hint="eastAsia" w:ascii="Times New Roman" w:hAnsi="Times New Roman"/>
        </w:rPr>
        <w:t>2</w:t>
      </w:r>
      <w:r>
        <w:rPr>
          <w:rFonts w:hint="eastAsia" w:ascii="Times New Roman" w:hAnsi="Times New Roman"/>
          <w:lang w:val="en-US" w:eastAsia="zh-CN"/>
        </w:rPr>
        <w:t>1</w:t>
      </w:r>
      <w:r>
        <w:rPr>
          <w:rFonts w:ascii="Times New Roman" w:hAnsi="Times New Roman"/>
        </w:rPr>
        <w:t>土地生态修复主要限制因素的等级标准</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326"/>
        <w:gridCol w:w="4751"/>
        <w:gridCol w:w="970"/>
        <w:gridCol w:w="921"/>
        <w:gridCol w:w="850"/>
      </w:tblGrid>
      <w:tr w14:paraId="00FB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blHeader/>
          <w:jc w:val="center"/>
        </w:trPr>
        <w:tc>
          <w:tcPr>
            <w:tcW w:w="3568" w:type="pct"/>
            <w:gridSpan w:val="3"/>
            <w:vAlign w:val="center"/>
          </w:tcPr>
          <w:p w14:paraId="20E5079E">
            <w:pPr>
              <w:pStyle w:val="72"/>
              <w:rPr>
                <w:rFonts w:ascii="Times New Roman" w:hAnsi="Times New Roman"/>
              </w:rPr>
            </w:pPr>
            <w:r>
              <w:rPr>
                <w:rFonts w:ascii="Times New Roman" w:hAnsi="Times New Roman"/>
              </w:rPr>
              <w:t>适宜性评价限制因素分级</w:t>
            </w:r>
          </w:p>
        </w:tc>
        <w:tc>
          <w:tcPr>
            <w:tcW w:w="1432" w:type="pct"/>
            <w:gridSpan w:val="3"/>
            <w:vAlign w:val="center"/>
          </w:tcPr>
          <w:p w14:paraId="0D61EE33">
            <w:pPr>
              <w:pStyle w:val="72"/>
              <w:rPr>
                <w:rFonts w:ascii="Times New Roman" w:hAnsi="Times New Roman"/>
              </w:rPr>
            </w:pPr>
            <w:r>
              <w:rPr>
                <w:rFonts w:ascii="Times New Roman" w:hAnsi="Times New Roman"/>
              </w:rPr>
              <w:t>适宜性</w:t>
            </w:r>
          </w:p>
        </w:tc>
      </w:tr>
      <w:tr w14:paraId="01E5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blHeader/>
          <w:jc w:val="center"/>
        </w:trPr>
        <w:tc>
          <w:tcPr>
            <w:tcW w:w="393" w:type="pct"/>
            <w:vAlign w:val="center"/>
          </w:tcPr>
          <w:p w14:paraId="5981F25C">
            <w:pPr>
              <w:pStyle w:val="72"/>
              <w:rPr>
                <w:rFonts w:ascii="Times New Roman" w:hAnsi="Times New Roman"/>
              </w:rPr>
            </w:pPr>
            <w:r>
              <w:rPr>
                <w:rFonts w:ascii="Times New Roman" w:hAnsi="Times New Roman"/>
              </w:rPr>
              <w:t>序号</w:t>
            </w:r>
          </w:p>
        </w:tc>
        <w:tc>
          <w:tcPr>
            <w:tcW w:w="693" w:type="pct"/>
            <w:vAlign w:val="center"/>
          </w:tcPr>
          <w:p w14:paraId="693B8D43">
            <w:pPr>
              <w:pStyle w:val="72"/>
              <w:rPr>
                <w:rFonts w:ascii="Times New Roman" w:hAnsi="Times New Roman"/>
              </w:rPr>
            </w:pPr>
            <w:r>
              <w:rPr>
                <w:rFonts w:ascii="Times New Roman" w:hAnsi="Times New Roman"/>
              </w:rPr>
              <w:t>限制因素</w:t>
            </w:r>
          </w:p>
        </w:tc>
        <w:tc>
          <w:tcPr>
            <w:tcW w:w="2482" w:type="pct"/>
            <w:vAlign w:val="center"/>
          </w:tcPr>
          <w:p w14:paraId="2CA7207A">
            <w:pPr>
              <w:pStyle w:val="72"/>
              <w:rPr>
                <w:rFonts w:ascii="Times New Roman" w:hAnsi="Times New Roman"/>
              </w:rPr>
            </w:pPr>
            <w:r>
              <w:rPr>
                <w:rFonts w:ascii="Times New Roman" w:hAnsi="Times New Roman"/>
              </w:rPr>
              <w:t>分级</w:t>
            </w:r>
          </w:p>
        </w:tc>
        <w:tc>
          <w:tcPr>
            <w:tcW w:w="507" w:type="pct"/>
            <w:vAlign w:val="center"/>
          </w:tcPr>
          <w:p w14:paraId="2295B9B2">
            <w:pPr>
              <w:pStyle w:val="72"/>
              <w:rPr>
                <w:rFonts w:ascii="Times New Roman" w:hAnsi="Times New Roman"/>
              </w:rPr>
            </w:pPr>
            <w:r>
              <w:rPr>
                <w:rFonts w:ascii="Times New Roman" w:hAnsi="Times New Roman"/>
              </w:rPr>
              <w:t>宜耕</w:t>
            </w:r>
          </w:p>
        </w:tc>
        <w:tc>
          <w:tcPr>
            <w:tcW w:w="481" w:type="pct"/>
            <w:vAlign w:val="center"/>
          </w:tcPr>
          <w:p w14:paraId="65019F2E">
            <w:pPr>
              <w:pStyle w:val="72"/>
              <w:rPr>
                <w:rFonts w:ascii="Times New Roman" w:hAnsi="Times New Roman"/>
              </w:rPr>
            </w:pPr>
            <w:r>
              <w:rPr>
                <w:rFonts w:ascii="Times New Roman" w:hAnsi="Times New Roman"/>
              </w:rPr>
              <w:t>宜林</w:t>
            </w:r>
          </w:p>
        </w:tc>
        <w:tc>
          <w:tcPr>
            <w:tcW w:w="444" w:type="pct"/>
            <w:vAlign w:val="center"/>
          </w:tcPr>
          <w:p w14:paraId="0A44866D">
            <w:pPr>
              <w:pStyle w:val="72"/>
              <w:rPr>
                <w:rFonts w:ascii="Times New Roman" w:hAnsi="Times New Roman"/>
              </w:rPr>
            </w:pPr>
            <w:r>
              <w:rPr>
                <w:rFonts w:ascii="Times New Roman" w:hAnsi="Times New Roman"/>
              </w:rPr>
              <w:t>宜草</w:t>
            </w:r>
          </w:p>
        </w:tc>
      </w:tr>
      <w:tr w14:paraId="4C7C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restart"/>
            <w:vAlign w:val="center"/>
          </w:tcPr>
          <w:p w14:paraId="62574079">
            <w:pPr>
              <w:pStyle w:val="72"/>
              <w:rPr>
                <w:rFonts w:ascii="Times New Roman" w:hAnsi="Times New Roman"/>
              </w:rPr>
            </w:pPr>
            <w:r>
              <w:rPr>
                <w:rFonts w:ascii="Times New Roman" w:hAnsi="Times New Roman"/>
              </w:rPr>
              <w:t>1</w:t>
            </w:r>
          </w:p>
        </w:tc>
        <w:tc>
          <w:tcPr>
            <w:tcW w:w="693" w:type="pct"/>
            <w:vMerge w:val="restart"/>
            <w:vAlign w:val="center"/>
          </w:tcPr>
          <w:p w14:paraId="48514889">
            <w:pPr>
              <w:pStyle w:val="72"/>
              <w:rPr>
                <w:rFonts w:ascii="Times New Roman" w:hAnsi="Times New Roman"/>
              </w:rPr>
            </w:pPr>
            <w:r>
              <w:rPr>
                <w:rFonts w:ascii="Times New Roman" w:hAnsi="Times New Roman"/>
              </w:rPr>
              <w:t>地形坡度</w:t>
            </w:r>
          </w:p>
        </w:tc>
        <w:tc>
          <w:tcPr>
            <w:tcW w:w="2482" w:type="pct"/>
            <w:vAlign w:val="center"/>
          </w:tcPr>
          <w:p w14:paraId="715893CC">
            <w:pPr>
              <w:pStyle w:val="72"/>
              <w:rPr>
                <w:rFonts w:ascii="Times New Roman" w:hAnsi="Times New Roman"/>
              </w:rPr>
            </w:pPr>
            <w:r>
              <w:rPr>
                <w:rFonts w:ascii="Times New Roman" w:hAnsi="Times New Roman"/>
              </w:rPr>
              <w:t>&lt;2°</w:t>
            </w:r>
          </w:p>
        </w:tc>
        <w:tc>
          <w:tcPr>
            <w:tcW w:w="507" w:type="pct"/>
            <w:vAlign w:val="center"/>
          </w:tcPr>
          <w:p w14:paraId="6E2AE5C1">
            <w:pPr>
              <w:pStyle w:val="72"/>
              <w:rPr>
                <w:rFonts w:ascii="Times New Roman" w:hAnsi="Times New Roman"/>
              </w:rPr>
            </w:pPr>
            <w:r>
              <w:rPr>
                <w:rFonts w:ascii="Times New Roman" w:hAnsi="Times New Roman"/>
              </w:rPr>
              <w:t>1</w:t>
            </w:r>
          </w:p>
        </w:tc>
        <w:tc>
          <w:tcPr>
            <w:tcW w:w="481" w:type="pct"/>
            <w:vAlign w:val="center"/>
          </w:tcPr>
          <w:p w14:paraId="7EBD05A2">
            <w:pPr>
              <w:pStyle w:val="72"/>
              <w:rPr>
                <w:rFonts w:ascii="Times New Roman" w:hAnsi="Times New Roman"/>
              </w:rPr>
            </w:pPr>
            <w:r>
              <w:rPr>
                <w:rFonts w:ascii="Times New Roman" w:hAnsi="Times New Roman"/>
              </w:rPr>
              <w:t>1</w:t>
            </w:r>
          </w:p>
        </w:tc>
        <w:tc>
          <w:tcPr>
            <w:tcW w:w="444" w:type="pct"/>
            <w:vAlign w:val="center"/>
          </w:tcPr>
          <w:p w14:paraId="348E270A">
            <w:pPr>
              <w:pStyle w:val="72"/>
              <w:rPr>
                <w:rFonts w:ascii="Times New Roman" w:hAnsi="Times New Roman"/>
              </w:rPr>
            </w:pPr>
            <w:r>
              <w:rPr>
                <w:rFonts w:ascii="Times New Roman" w:hAnsi="Times New Roman"/>
              </w:rPr>
              <w:t>1</w:t>
            </w:r>
          </w:p>
        </w:tc>
      </w:tr>
      <w:tr w14:paraId="4234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609F5FDE">
            <w:pPr>
              <w:pStyle w:val="72"/>
              <w:rPr>
                <w:rFonts w:ascii="Times New Roman" w:hAnsi="Times New Roman"/>
              </w:rPr>
            </w:pPr>
          </w:p>
        </w:tc>
        <w:tc>
          <w:tcPr>
            <w:tcW w:w="693" w:type="pct"/>
            <w:vMerge w:val="continue"/>
            <w:vAlign w:val="center"/>
          </w:tcPr>
          <w:p w14:paraId="5D2DB651">
            <w:pPr>
              <w:pStyle w:val="72"/>
              <w:rPr>
                <w:rFonts w:ascii="Times New Roman" w:hAnsi="Times New Roman"/>
              </w:rPr>
            </w:pPr>
          </w:p>
        </w:tc>
        <w:tc>
          <w:tcPr>
            <w:tcW w:w="2482" w:type="pct"/>
            <w:vAlign w:val="center"/>
          </w:tcPr>
          <w:p w14:paraId="3DB82621">
            <w:pPr>
              <w:pStyle w:val="72"/>
              <w:rPr>
                <w:rFonts w:ascii="Times New Roman" w:hAnsi="Times New Roman"/>
              </w:rPr>
            </w:pPr>
            <w:r>
              <w:rPr>
                <w:rFonts w:ascii="Times New Roman" w:hAnsi="Times New Roman"/>
              </w:rPr>
              <w:t>2°~6°</w:t>
            </w:r>
          </w:p>
        </w:tc>
        <w:tc>
          <w:tcPr>
            <w:tcW w:w="507" w:type="pct"/>
            <w:vAlign w:val="center"/>
          </w:tcPr>
          <w:p w14:paraId="5C9B9E9F">
            <w:pPr>
              <w:pStyle w:val="72"/>
              <w:rPr>
                <w:rFonts w:ascii="Times New Roman" w:hAnsi="Times New Roman"/>
              </w:rPr>
            </w:pPr>
            <w:r>
              <w:rPr>
                <w:rFonts w:ascii="Times New Roman" w:hAnsi="Times New Roman"/>
              </w:rPr>
              <w:t>2</w:t>
            </w:r>
          </w:p>
        </w:tc>
        <w:tc>
          <w:tcPr>
            <w:tcW w:w="481" w:type="pct"/>
            <w:vAlign w:val="center"/>
          </w:tcPr>
          <w:p w14:paraId="59212369">
            <w:pPr>
              <w:pStyle w:val="72"/>
              <w:rPr>
                <w:rFonts w:ascii="Times New Roman" w:hAnsi="Times New Roman"/>
              </w:rPr>
            </w:pPr>
            <w:r>
              <w:rPr>
                <w:rFonts w:ascii="Times New Roman" w:hAnsi="Times New Roman"/>
              </w:rPr>
              <w:t>1</w:t>
            </w:r>
          </w:p>
        </w:tc>
        <w:tc>
          <w:tcPr>
            <w:tcW w:w="444" w:type="pct"/>
            <w:vAlign w:val="center"/>
          </w:tcPr>
          <w:p w14:paraId="67585154">
            <w:pPr>
              <w:pStyle w:val="72"/>
              <w:rPr>
                <w:rFonts w:ascii="Times New Roman" w:hAnsi="Times New Roman"/>
              </w:rPr>
            </w:pPr>
            <w:r>
              <w:rPr>
                <w:rFonts w:ascii="Times New Roman" w:hAnsi="Times New Roman"/>
              </w:rPr>
              <w:t>1</w:t>
            </w:r>
          </w:p>
        </w:tc>
      </w:tr>
      <w:tr w14:paraId="2EB4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02F70865">
            <w:pPr>
              <w:pStyle w:val="72"/>
              <w:rPr>
                <w:rFonts w:ascii="Times New Roman" w:hAnsi="Times New Roman"/>
              </w:rPr>
            </w:pPr>
          </w:p>
        </w:tc>
        <w:tc>
          <w:tcPr>
            <w:tcW w:w="693" w:type="pct"/>
            <w:vMerge w:val="continue"/>
            <w:vAlign w:val="center"/>
          </w:tcPr>
          <w:p w14:paraId="5A09C848">
            <w:pPr>
              <w:pStyle w:val="72"/>
              <w:rPr>
                <w:rFonts w:ascii="Times New Roman" w:hAnsi="Times New Roman"/>
              </w:rPr>
            </w:pPr>
          </w:p>
        </w:tc>
        <w:tc>
          <w:tcPr>
            <w:tcW w:w="2482" w:type="pct"/>
            <w:vAlign w:val="center"/>
          </w:tcPr>
          <w:p w14:paraId="445557D6">
            <w:pPr>
              <w:pStyle w:val="72"/>
              <w:rPr>
                <w:rFonts w:ascii="Times New Roman" w:hAnsi="Times New Roman"/>
              </w:rPr>
            </w:pPr>
            <w:r>
              <w:rPr>
                <w:rFonts w:ascii="Times New Roman" w:hAnsi="Times New Roman"/>
              </w:rPr>
              <w:t>6°~15°</w:t>
            </w:r>
          </w:p>
        </w:tc>
        <w:tc>
          <w:tcPr>
            <w:tcW w:w="507" w:type="pct"/>
            <w:vAlign w:val="center"/>
          </w:tcPr>
          <w:p w14:paraId="191789E1">
            <w:pPr>
              <w:pStyle w:val="72"/>
              <w:rPr>
                <w:rFonts w:ascii="Times New Roman" w:hAnsi="Times New Roman"/>
              </w:rPr>
            </w:pPr>
            <w:r>
              <w:rPr>
                <w:rFonts w:ascii="Times New Roman" w:hAnsi="Times New Roman"/>
              </w:rPr>
              <w:t>3</w:t>
            </w:r>
          </w:p>
        </w:tc>
        <w:tc>
          <w:tcPr>
            <w:tcW w:w="481" w:type="pct"/>
            <w:vAlign w:val="center"/>
          </w:tcPr>
          <w:p w14:paraId="37114E1C">
            <w:pPr>
              <w:pStyle w:val="72"/>
              <w:rPr>
                <w:rFonts w:ascii="Times New Roman" w:hAnsi="Times New Roman"/>
              </w:rPr>
            </w:pPr>
            <w:r>
              <w:rPr>
                <w:rFonts w:ascii="Times New Roman" w:hAnsi="Times New Roman"/>
              </w:rPr>
              <w:t>1</w:t>
            </w:r>
          </w:p>
        </w:tc>
        <w:tc>
          <w:tcPr>
            <w:tcW w:w="444" w:type="pct"/>
            <w:vAlign w:val="center"/>
          </w:tcPr>
          <w:p w14:paraId="2DEE6C0D">
            <w:pPr>
              <w:pStyle w:val="72"/>
              <w:rPr>
                <w:rFonts w:ascii="Times New Roman" w:hAnsi="Times New Roman"/>
              </w:rPr>
            </w:pPr>
            <w:r>
              <w:rPr>
                <w:rFonts w:ascii="Times New Roman" w:hAnsi="Times New Roman"/>
              </w:rPr>
              <w:t>1</w:t>
            </w:r>
          </w:p>
        </w:tc>
      </w:tr>
      <w:tr w14:paraId="2454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4C742594">
            <w:pPr>
              <w:pStyle w:val="72"/>
              <w:rPr>
                <w:rFonts w:ascii="Times New Roman" w:hAnsi="Times New Roman"/>
              </w:rPr>
            </w:pPr>
          </w:p>
        </w:tc>
        <w:tc>
          <w:tcPr>
            <w:tcW w:w="693" w:type="pct"/>
            <w:vMerge w:val="continue"/>
            <w:vAlign w:val="center"/>
          </w:tcPr>
          <w:p w14:paraId="1ED278D5">
            <w:pPr>
              <w:pStyle w:val="72"/>
              <w:rPr>
                <w:rFonts w:ascii="Times New Roman" w:hAnsi="Times New Roman"/>
              </w:rPr>
            </w:pPr>
          </w:p>
        </w:tc>
        <w:tc>
          <w:tcPr>
            <w:tcW w:w="2482" w:type="pct"/>
            <w:vAlign w:val="center"/>
          </w:tcPr>
          <w:p w14:paraId="0B724399">
            <w:pPr>
              <w:pStyle w:val="72"/>
              <w:rPr>
                <w:rFonts w:ascii="Times New Roman" w:hAnsi="Times New Roman"/>
              </w:rPr>
            </w:pPr>
            <w:r>
              <w:rPr>
                <w:rFonts w:ascii="Times New Roman" w:hAnsi="Times New Roman"/>
              </w:rPr>
              <w:t>15°~25°</w:t>
            </w:r>
          </w:p>
        </w:tc>
        <w:tc>
          <w:tcPr>
            <w:tcW w:w="507" w:type="pct"/>
            <w:vAlign w:val="center"/>
          </w:tcPr>
          <w:p w14:paraId="3997EB3F">
            <w:pPr>
              <w:pStyle w:val="72"/>
              <w:rPr>
                <w:rFonts w:ascii="Times New Roman" w:hAnsi="Times New Roman"/>
              </w:rPr>
            </w:pPr>
            <w:r>
              <w:rPr>
                <w:rFonts w:ascii="Times New Roman" w:hAnsi="Times New Roman"/>
              </w:rPr>
              <w:t>4</w:t>
            </w:r>
          </w:p>
        </w:tc>
        <w:tc>
          <w:tcPr>
            <w:tcW w:w="481" w:type="pct"/>
            <w:vAlign w:val="center"/>
          </w:tcPr>
          <w:p w14:paraId="14289F3D">
            <w:pPr>
              <w:pStyle w:val="72"/>
              <w:rPr>
                <w:rFonts w:ascii="Times New Roman" w:hAnsi="Times New Roman"/>
              </w:rPr>
            </w:pPr>
            <w:r>
              <w:rPr>
                <w:rFonts w:ascii="Times New Roman" w:hAnsi="Times New Roman"/>
              </w:rPr>
              <w:t>2</w:t>
            </w:r>
          </w:p>
        </w:tc>
        <w:tc>
          <w:tcPr>
            <w:tcW w:w="444" w:type="pct"/>
            <w:vAlign w:val="center"/>
          </w:tcPr>
          <w:p w14:paraId="7571A858">
            <w:pPr>
              <w:pStyle w:val="72"/>
              <w:rPr>
                <w:rFonts w:ascii="Times New Roman" w:hAnsi="Times New Roman"/>
              </w:rPr>
            </w:pPr>
            <w:r>
              <w:rPr>
                <w:rFonts w:ascii="Times New Roman" w:hAnsi="Times New Roman"/>
              </w:rPr>
              <w:t>2</w:t>
            </w:r>
          </w:p>
        </w:tc>
      </w:tr>
      <w:tr w14:paraId="0A1E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4E23FFEC">
            <w:pPr>
              <w:pStyle w:val="72"/>
              <w:rPr>
                <w:rFonts w:ascii="Times New Roman" w:hAnsi="Times New Roman"/>
              </w:rPr>
            </w:pPr>
          </w:p>
        </w:tc>
        <w:tc>
          <w:tcPr>
            <w:tcW w:w="693" w:type="pct"/>
            <w:vMerge w:val="continue"/>
            <w:vAlign w:val="center"/>
          </w:tcPr>
          <w:p w14:paraId="561DCDC2">
            <w:pPr>
              <w:pStyle w:val="72"/>
              <w:rPr>
                <w:rFonts w:ascii="Times New Roman" w:hAnsi="Times New Roman"/>
              </w:rPr>
            </w:pPr>
          </w:p>
        </w:tc>
        <w:tc>
          <w:tcPr>
            <w:tcW w:w="2482" w:type="pct"/>
            <w:vAlign w:val="center"/>
          </w:tcPr>
          <w:p w14:paraId="506B8130">
            <w:pPr>
              <w:pStyle w:val="72"/>
              <w:rPr>
                <w:rFonts w:ascii="Times New Roman" w:hAnsi="Times New Roman"/>
              </w:rPr>
            </w:pPr>
            <w:r>
              <w:rPr>
                <w:rFonts w:ascii="Times New Roman" w:hAnsi="Times New Roman"/>
              </w:rPr>
              <w:t>&gt;25°</w:t>
            </w:r>
          </w:p>
        </w:tc>
        <w:tc>
          <w:tcPr>
            <w:tcW w:w="507" w:type="pct"/>
            <w:vAlign w:val="center"/>
          </w:tcPr>
          <w:p w14:paraId="4747F5FD">
            <w:pPr>
              <w:pStyle w:val="72"/>
              <w:rPr>
                <w:rFonts w:ascii="Times New Roman" w:hAnsi="Times New Roman"/>
              </w:rPr>
            </w:pPr>
            <w:r>
              <w:rPr>
                <w:rFonts w:ascii="Times New Roman" w:hAnsi="Times New Roman"/>
              </w:rPr>
              <w:t>4</w:t>
            </w:r>
          </w:p>
        </w:tc>
        <w:tc>
          <w:tcPr>
            <w:tcW w:w="481" w:type="pct"/>
            <w:vAlign w:val="center"/>
          </w:tcPr>
          <w:p w14:paraId="2EB4C5CD">
            <w:pPr>
              <w:pStyle w:val="72"/>
              <w:rPr>
                <w:rFonts w:ascii="Times New Roman" w:hAnsi="Times New Roman"/>
              </w:rPr>
            </w:pPr>
            <w:r>
              <w:rPr>
                <w:rFonts w:ascii="Times New Roman" w:hAnsi="Times New Roman"/>
              </w:rPr>
              <w:t>4</w:t>
            </w:r>
          </w:p>
        </w:tc>
        <w:tc>
          <w:tcPr>
            <w:tcW w:w="444" w:type="pct"/>
            <w:vAlign w:val="center"/>
          </w:tcPr>
          <w:p w14:paraId="6815099C">
            <w:pPr>
              <w:pStyle w:val="72"/>
              <w:rPr>
                <w:rFonts w:ascii="Times New Roman" w:hAnsi="Times New Roman"/>
              </w:rPr>
            </w:pPr>
            <w:r>
              <w:rPr>
                <w:rFonts w:ascii="Times New Roman" w:hAnsi="Times New Roman"/>
              </w:rPr>
              <w:t>3</w:t>
            </w:r>
          </w:p>
        </w:tc>
      </w:tr>
      <w:tr w14:paraId="0B79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restart"/>
            <w:vAlign w:val="center"/>
          </w:tcPr>
          <w:p w14:paraId="51D77630">
            <w:pPr>
              <w:pStyle w:val="72"/>
              <w:rPr>
                <w:rFonts w:ascii="Times New Roman" w:hAnsi="Times New Roman"/>
              </w:rPr>
            </w:pPr>
            <w:r>
              <w:rPr>
                <w:rFonts w:ascii="Times New Roman" w:hAnsi="Times New Roman"/>
              </w:rPr>
              <w:t>2</w:t>
            </w:r>
          </w:p>
        </w:tc>
        <w:tc>
          <w:tcPr>
            <w:tcW w:w="693" w:type="pct"/>
            <w:vMerge w:val="restart"/>
            <w:vAlign w:val="center"/>
          </w:tcPr>
          <w:p w14:paraId="51DDF69D">
            <w:pPr>
              <w:pStyle w:val="72"/>
              <w:rPr>
                <w:rFonts w:ascii="Times New Roman" w:hAnsi="Times New Roman"/>
              </w:rPr>
            </w:pPr>
            <w:r>
              <w:rPr>
                <w:rFonts w:ascii="Times New Roman" w:hAnsi="Times New Roman"/>
              </w:rPr>
              <w:t>地表物质组成</w:t>
            </w:r>
          </w:p>
        </w:tc>
        <w:tc>
          <w:tcPr>
            <w:tcW w:w="2482" w:type="pct"/>
            <w:vAlign w:val="center"/>
          </w:tcPr>
          <w:p w14:paraId="4B4AC372">
            <w:pPr>
              <w:pStyle w:val="72"/>
              <w:rPr>
                <w:rFonts w:ascii="Times New Roman" w:hAnsi="Times New Roman"/>
              </w:rPr>
            </w:pPr>
            <w:r>
              <w:rPr>
                <w:rFonts w:ascii="Times New Roman" w:hAnsi="Times New Roman"/>
              </w:rPr>
              <w:t>壤土</w:t>
            </w:r>
          </w:p>
        </w:tc>
        <w:tc>
          <w:tcPr>
            <w:tcW w:w="507" w:type="pct"/>
            <w:vAlign w:val="center"/>
          </w:tcPr>
          <w:p w14:paraId="0E38C129">
            <w:pPr>
              <w:pStyle w:val="72"/>
              <w:rPr>
                <w:rFonts w:ascii="Times New Roman" w:hAnsi="Times New Roman"/>
              </w:rPr>
            </w:pPr>
            <w:r>
              <w:rPr>
                <w:rFonts w:ascii="Times New Roman" w:hAnsi="Times New Roman"/>
              </w:rPr>
              <w:t>1</w:t>
            </w:r>
          </w:p>
        </w:tc>
        <w:tc>
          <w:tcPr>
            <w:tcW w:w="481" w:type="pct"/>
            <w:vAlign w:val="center"/>
          </w:tcPr>
          <w:p w14:paraId="32570615">
            <w:pPr>
              <w:pStyle w:val="72"/>
              <w:rPr>
                <w:rFonts w:ascii="Times New Roman" w:hAnsi="Times New Roman"/>
              </w:rPr>
            </w:pPr>
            <w:r>
              <w:rPr>
                <w:rFonts w:ascii="Times New Roman" w:hAnsi="Times New Roman"/>
              </w:rPr>
              <w:t>1</w:t>
            </w:r>
          </w:p>
        </w:tc>
        <w:tc>
          <w:tcPr>
            <w:tcW w:w="444" w:type="pct"/>
            <w:vAlign w:val="center"/>
          </w:tcPr>
          <w:p w14:paraId="4F911258">
            <w:pPr>
              <w:pStyle w:val="72"/>
              <w:rPr>
                <w:rFonts w:ascii="Times New Roman" w:hAnsi="Times New Roman"/>
              </w:rPr>
            </w:pPr>
            <w:r>
              <w:rPr>
                <w:rFonts w:ascii="Times New Roman" w:hAnsi="Times New Roman"/>
              </w:rPr>
              <w:t>1</w:t>
            </w:r>
          </w:p>
        </w:tc>
      </w:tr>
      <w:tr w14:paraId="5A10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52591BAC">
            <w:pPr>
              <w:pStyle w:val="72"/>
              <w:rPr>
                <w:rFonts w:ascii="Times New Roman" w:hAnsi="Times New Roman"/>
              </w:rPr>
            </w:pPr>
          </w:p>
        </w:tc>
        <w:tc>
          <w:tcPr>
            <w:tcW w:w="693" w:type="pct"/>
            <w:vMerge w:val="continue"/>
            <w:vAlign w:val="center"/>
          </w:tcPr>
          <w:p w14:paraId="3F87758B">
            <w:pPr>
              <w:pStyle w:val="72"/>
              <w:rPr>
                <w:rFonts w:ascii="Times New Roman" w:hAnsi="Times New Roman"/>
              </w:rPr>
            </w:pPr>
          </w:p>
        </w:tc>
        <w:tc>
          <w:tcPr>
            <w:tcW w:w="2482" w:type="pct"/>
            <w:vAlign w:val="center"/>
          </w:tcPr>
          <w:p w14:paraId="4AB52A17">
            <w:pPr>
              <w:pStyle w:val="72"/>
              <w:rPr>
                <w:rFonts w:ascii="Times New Roman" w:hAnsi="Times New Roman"/>
              </w:rPr>
            </w:pPr>
            <w:r>
              <w:rPr>
                <w:rFonts w:ascii="Times New Roman" w:hAnsi="Times New Roman"/>
              </w:rPr>
              <w:t>粘土、砂土</w:t>
            </w:r>
          </w:p>
        </w:tc>
        <w:tc>
          <w:tcPr>
            <w:tcW w:w="507" w:type="pct"/>
            <w:vAlign w:val="center"/>
          </w:tcPr>
          <w:p w14:paraId="231C90F8">
            <w:pPr>
              <w:pStyle w:val="72"/>
              <w:rPr>
                <w:rFonts w:ascii="Times New Roman" w:hAnsi="Times New Roman"/>
              </w:rPr>
            </w:pPr>
            <w:r>
              <w:rPr>
                <w:rFonts w:ascii="Times New Roman" w:hAnsi="Times New Roman"/>
              </w:rPr>
              <w:t>2</w:t>
            </w:r>
          </w:p>
        </w:tc>
        <w:tc>
          <w:tcPr>
            <w:tcW w:w="481" w:type="pct"/>
            <w:vAlign w:val="center"/>
          </w:tcPr>
          <w:p w14:paraId="19F2410E">
            <w:pPr>
              <w:pStyle w:val="72"/>
              <w:rPr>
                <w:rFonts w:ascii="Times New Roman" w:hAnsi="Times New Roman"/>
              </w:rPr>
            </w:pPr>
            <w:r>
              <w:rPr>
                <w:rFonts w:ascii="Times New Roman" w:hAnsi="Times New Roman"/>
              </w:rPr>
              <w:t>2</w:t>
            </w:r>
          </w:p>
        </w:tc>
        <w:tc>
          <w:tcPr>
            <w:tcW w:w="444" w:type="pct"/>
            <w:vAlign w:val="center"/>
          </w:tcPr>
          <w:p w14:paraId="7DB66A15">
            <w:pPr>
              <w:pStyle w:val="72"/>
              <w:rPr>
                <w:rFonts w:ascii="Times New Roman" w:hAnsi="Times New Roman"/>
              </w:rPr>
            </w:pPr>
            <w:r>
              <w:rPr>
                <w:rFonts w:ascii="Times New Roman" w:hAnsi="Times New Roman"/>
              </w:rPr>
              <w:t>2</w:t>
            </w:r>
          </w:p>
        </w:tc>
      </w:tr>
      <w:tr w14:paraId="2F83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4C59A43F">
            <w:pPr>
              <w:pStyle w:val="72"/>
              <w:rPr>
                <w:rFonts w:ascii="Times New Roman" w:hAnsi="Times New Roman"/>
              </w:rPr>
            </w:pPr>
          </w:p>
        </w:tc>
        <w:tc>
          <w:tcPr>
            <w:tcW w:w="693" w:type="pct"/>
            <w:vMerge w:val="continue"/>
            <w:vAlign w:val="center"/>
          </w:tcPr>
          <w:p w14:paraId="25FEDCB4">
            <w:pPr>
              <w:pStyle w:val="72"/>
              <w:rPr>
                <w:rFonts w:ascii="Times New Roman" w:hAnsi="Times New Roman"/>
              </w:rPr>
            </w:pPr>
          </w:p>
        </w:tc>
        <w:tc>
          <w:tcPr>
            <w:tcW w:w="2482" w:type="pct"/>
            <w:vAlign w:val="center"/>
          </w:tcPr>
          <w:p w14:paraId="3D65BABC">
            <w:pPr>
              <w:pStyle w:val="72"/>
              <w:rPr>
                <w:rFonts w:ascii="Times New Roman" w:hAnsi="Times New Roman"/>
              </w:rPr>
            </w:pPr>
            <w:r>
              <w:rPr>
                <w:rFonts w:ascii="Times New Roman" w:hAnsi="Times New Roman"/>
              </w:rPr>
              <w:t>砂质、砾质</w:t>
            </w:r>
          </w:p>
        </w:tc>
        <w:tc>
          <w:tcPr>
            <w:tcW w:w="507" w:type="pct"/>
            <w:vAlign w:val="center"/>
          </w:tcPr>
          <w:p w14:paraId="02B993DE">
            <w:pPr>
              <w:pStyle w:val="72"/>
              <w:rPr>
                <w:rFonts w:ascii="Times New Roman" w:hAnsi="Times New Roman"/>
              </w:rPr>
            </w:pPr>
            <w:r>
              <w:rPr>
                <w:rFonts w:ascii="Times New Roman" w:hAnsi="Times New Roman"/>
              </w:rPr>
              <w:t>4</w:t>
            </w:r>
          </w:p>
        </w:tc>
        <w:tc>
          <w:tcPr>
            <w:tcW w:w="481" w:type="pct"/>
            <w:vAlign w:val="center"/>
          </w:tcPr>
          <w:p w14:paraId="246A6FC3">
            <w:pPr>
              <w:pStyle w:val="72"/>
              <w:rPr>
                <w:rFonts w:ascii="Times New Roman" w:hAnsi="Times New Roman"/>
              </w:rPr>
            </w:pPr>
            <w:r>
              <w:rPr>
                <w:rFonts w:ascii="Times New Roman" w:hAnsi="Times New Roman"/>
              </w:rPr>
              <w:t>2</w:t>
            </w:r>
          </w:p>
        </w:tc>
        <w:tc>
          <w:tcPr>
            <w:tcW w:w="444" w:type="pct"/>
            <w:vAlign w:val="center"/>
          </w:tcPr>
          <w:p w14:paraId="224E4397">
            <w:pPr>
              <w:pStyle w:val="72"/>
              <w:rPr>
                <w:rFonts w:ascii="Times New Roman" w:hAnsi="Times New Roman"/>
              </w:rPr>
            </w:pPr>
            <w:r>
              <w:rPr>
                <w:rFonts w:ascii="Times New Roman" w:hAnsi="Times New Roman"/>
              </w:rPr>
              <w:t>3</w:t>
            </w:r>
          </w:p>
        </w:tc>
      </w:tr>
      <w:tr w14:paraId="4951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restart"/>
            <w:vAlign w:val="center"/>
          </w:tcPr>
          <w:p w14:paraId="6D921C89">
            <w:pPr>
              <w:pStyle w:val="72"/>
              <w:rPr>
                <w:rFonts w:ascii="Times New Roman" w:hAnsi="Times New Roman"/>
              </w:rPr>
            </w:pPr>
            <w:r>
              <w:rPr>
                <w:rFonts w:ascii="Times New Roman" w:hAnsi="Times New Roman"/>
              </w:rPr>
              <w:t>3</w:t>
            </w:r>
          </w:p>
        </w:tc>
        <w:tc>
          <w:tcPr>
            <w:tcW w:w="693" w:type="pct"/>
            <w:vMerge w:val="restart"/>
            <w:vAlign w:val="center"/>
          </w:tcPr>
          <w:p w14:paraId="195D982D">
            <w:pPr>
              <w:pStyle w:val="72"/>
              <w:rPr>
                <w:rFonts w:ascii="Times New Roman" w:hAnsi="Times New Roman"/>
              </w:rPr>
            </w:pPr>
            <w:r>
              <w:rPr>
                <w:rFonts w:ascii="Times New Roman" w:hAnsi="Times New Roman"/>
              </w:rPr>
              <w:t>灌溉条件</w:t>
            </w:r>
          </w:p>
        </w:tc>
        <w:tc>
          <w:tcPr>
            <w:tcW w:w="2482" w:type="pct"/>
            <w:vAlign w:val="center"/>
          </w:tcPr>
          <w:p w14:paraId="36A3B91C">
            <w:pPr>
              <w:pStyle w:val="72"/>
              <w:rPr>
                <w:rFonts w:ascii="Times New Roman" w:hAnsi="Times New Roman"/>
              </w:rPr>
            </w:pPr>
            <w:r>
              <w:rPr>
                <w:rFonts w:ascii="Times New Roman" w:hAnsi="Times New Roman"/>
              </w:rPr>
              <w:t>旱作较稳定或有稳定条件的半干旱土地</w:t>
            </w:r>
          </w:p>
        </w:tc>
        <w:tc>
          <w:tcPr>
            <w:tcW w:w="507" w:type="pct"/>
            <w:vAlign w:val="center"/>
          </w:tcPr>
          <w:p w14:paraId="42013AF1">
            <w:pPr>
              <w:pStyle w:val="72"/>
              <w:rPr>
                <w:rFonts w:ascii="Times New Roman" w:hAnsi="Times New Roman"/>
              </w:rPr>
            </w:pPr>
            <w:r>
              <w:rPr>
                <w:rFonts w:ascii="Times New Roman" w:hAnsi="Times New Roman"/>
              </w:rPr>
              <w:t>1</w:t>
            </w:r>
          </w:p>
        </w:tc>
        <w:tc>
          <w:tcPr>
            <w:tcW w:w="481" w:type="pct"/>
            <w:vAlign w:val="center"/>
          </w:tcPr>
          <w:p w14:paraId="443F0C3D">
            <w:pPr>
              <w:pStyle w:val="72"/>
              <w:rPr>
                <w:rFonts w:ascii="Times New Roman" w:hAnsi="Times New Roman"/>
              </w:rPr>
            </w:pPr>
            <w:r>
              <w:rPr>
                <w:rFonts w:ascii="Times New Roman" w:hAnsi="Times New Roman"/>
              </w:rPr>
              <w:t>1</w:t>
            </w:r>
          </w:p>
        </w:tc>
        <w:tc>
          <w:tcPr>
            <w:tcW w:w="444" w:type="pct"/>
            <w:vAlign w:val="center"/>
          </w:tcPr>
          <w:p w14:paraId="41C54E16">
            <w:pPr>
              <w:pStyle w:val="72"/>
              <w:rPr>
                <w:rFonts w:ascii="Times New Roman" w:hAnsi="Times New Roman"/>
              </w:rPr>
            </w:pPr>
            <w:r>
              <w:rPr>
                <w:rFonts w:ascii="Times New Roman" w:hAnsi="Times New Roman"/>
              </w:rPr>
              <w:t>1</w:t>
            </w:r>
          </w:p>
        </w:tc>
      </w:tr>
      <w:tr w14:paraId="7765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557E7242">
            <w:pPr>
              <w:pStyle w:val="72"/>
              <w:rPr>
                <w:rFonts w:ascii="Times New Roman" w:hAnsi="Times New Roman"/>
              </w:rPr>
            </w:pPr>
          </w:p>
        </w:tc>
        <w:tc>
          <w:tcPr>
            <w:tcW w:w="693" w:type="pct"/>
            <w:vMerge w:val="continue"/>
            <w:vAlign w:val="center"/>
          </w:tcPr>
          <w:p w14:paraId="6EF22D5C">
            <w:pPr>
              <w:pStyle w:val="72"/>
              <w:rPr>
                <w:rFonts w:ascii="Times New Roman" w:hAnsi="Times New Roman"/>
              </w:rPr>
            </w:pPr>
          </w:p>
        </w:tc>
        <w:tc>
          <w:tcPr>
            <w:tcW w:w="2482" w:type="pct"/>
            <w:vAlign w:val="center"/>
          </w:tcPr>
          <w:p w14:paraId="5BC30507">
            <w:pPr>
              <w:pStyle w:val="72"/>
              <w:rPr>
                <w:rFonts w:ascii="Times New Roman" w:hAnsi="Times New Roman"/>
              </w:rPr>
            </w:pPr>
            <w:r>
              <w:rPr>
                <w:rFonts w:ascii="Times New Roman" w:hAnsi="Times New Roman"/>
              </w:rPr>
              <w:t>灌溉水源保证差、旱作不稳定的半干旱土地</w:t>
            </w:r>
          </w:p>
        </w:tc>
        <w:tc>
          <w:tcPr>
            <w:tcW w:w="507" w:type="pct"/>
            <w:vAlign w:val="center"/>
          </w:tcPr>
          <w:p w14:paraId="63A4B8E1">
            <w:pPr>
              <w:pStyle w:val="72"/>
              <w:rPr>
                <w:rFonts w:ascii="Times New Roman" w:hAnsi="Times New Roman"/>
              </w:rPr>
            </w:pPr>
            <w:r>
              <w:rPr>
                <w:rFonts w:ascii="Times New Roman" w:hAnsi="Times New Roman"/>
              </w:rPr>
              <w:t>2</w:t>
            </w:r>
          </w:p>
        </w:tc>
        <w:tc>
          <w:tcPr>
            <w:tcW w:w="481" w:type="pct"/>
            <w:vAlign w:val="center"/>
          </w:tcPr>
          <w:p w14:paraId="415579B0">
            <w:pPr>
              <w:pStyle w:val="72"/>
              <w:rPr>
                <w:rFonts w:ascii="Times New Roman" w:hAnsi="Times New Roman"/>
              </w:rPr>
            </w:pPr>
            <w:r>
              <w:rPr>
                <w:rFonts w:ascii="Times New Roman" w:hAnsi="Times New Roman"/>
              </w:rPr>
              <w:t>2</w:t>
            </w:r>
          </w:p>
        </w:tc>
        <w:tc>
          <w:tcPr>
            <w:tcW w:w="444" w:type="pct"/>
            <w:vAlign w:val="center"/>
          </w:tcPr>
          <w:p w14:paraId="072A28A3">
            <w:pPr>
              <w:pStyle w:val="72"/>
              <w:rPr>
                <w:rFonts w:ascii="Times New Roman" w:hAnsi="Times New Roman"/>
              </w:rPr>
            </w:pPr>
            <w:r>
              <w:rPr>
                <w:rFonts w:ascii="Times New Roman" w:hAnsi="Times New Roman"/>
              </w:rPr>
              <w:t>1</w:t>
            </w:r>
          </w:p>
        </w:tc>
      </w:tr>
      <w:tr w14:paraId="5DDD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11674717">
            <w:pPr>
              <w:pStyle w:val="72"/>
              <w:rPr>
                <w:rFonts w:ascii="Times New Roman" w:hAnsi="Times New Roman"/>
              </w:rPr>
            </w:pPr>
          </w:p>
        </w:tc>
        <w:tc>
          <w:tcPr>
            <w:tcW w:w="693" w:type="pct"/>
            <w:vMerge w:val="continue"/>
            <w:vAlign w:val="center"/>
          </w:tcPr>
          <w:p w14:paraId="421EECEF">
            <w:pPr>
              <w:pStyle w:val="72"/>
              <w:rPr>
                <w:rFonts w:ascii="Times New Roman" w:hAnsi="Times New Roman"/>
              </w:rPr>
            </w:pPr>
          </w:p>
        </w:tc>
        <w:tc>
          <w:tcPr>
            <w:tcW w:w="2482" w:type="pct"/>
            <w:vAlign w:val="center"/>
          </w:tcPr>
          <w:p w14:paraId="377473C7">
            <w:pPr>
              <w:pStyle w:val="72"/>
              <w:rPr>
                <w:rFonts w:ascii="Times New Roman" w:hAnsi="Times New Roman"/>
              </w:rPr>
            </w:pPr>
            <w:r>
              <w:rPr>
                <w:rFonts w:ascii="Times New Roman" w:hAnsi="Times New Roman"/>
              </w:rPr>
              <w:t>无灌溉水源保证、旱作不稳定的半干旱土地</w:t>
            </w:r>
          </w:p>
        </w:tc>
        <w:tc>
          <w:tcPr>
            <w:tcW w:w="507" w:type="pct"/>
            <w:vAlign w:val="center"/>
          </w:tcPr>
          <w:p w14:paraId="098A62CD">
            <w:pPr>
              <w:pStyle w:val="72"/>
              <w:rPr>
                <w:rFonts w:ascii="Times New Roman" w:hAnsi="Times New Roman"/>
              </w:rPr>
            </w:pPr>
            <w:r>
              <w:rPr>
                <w:rFonts w:ascii="Times New Roman" w:hAnsi="Times New Roman"/>
              </w:rPr>
              <w:t>3或2</w:t>
            </w:r>
          </w:p>
        </w:tc>
        <w:tc>
          <w:tcPr>
            <w:tcW w:w="481" w:type="pct"/>
            <w:vAlign w:val="center"/>
          </w:tcPr>
          <w:p w14:paraId="1CFD0D38">
            <w:pPr>
              <w:pStyle w:val="72"/>
              <w:rPr>
                <w:rFonts w:ascii="Times New Roman" w:hAnsi="Times New Roman"/>
              </w:rPr>
            </w:pPr>
            <w:r>
              <w:rPr>
                <w:rFonts w:ascii="Times New Roman" w:hAnsi="Times New Roman"/>
              </w:rPr>
              <w:t>3</w:t>
            </w:r>
          </w:p>
        </w:tc>
        <w:tc>
          <w:tcPr>
            <w:tcW w:w="444" w:type="pct"/>
            <w:vAlign w:val="center"/>
          </w:tcPr>
          <w:p w14:paraId="32F0E068">
            <w:pPr>
              <w:pStyle w:val="72"/>
              <w:rPr>
                <w:rFonts w:ascii="Times New Roman" w:hAnsi="Times New Roman"/>
              </w:rPr>
            </w:pPr>
            <w:r>
              <w:rPr>
                <w:rFonts w:ascii="Times New Roman" w:hAnsi="Times New Roman"/>
              </w:rPr>
              <w:t>2</w:t>
            </w:r>
          </w:p>
        </w:tc>
      </w:tr>
      <w:tr w14:paraId="7A2E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restart"/>
            <w:vAlign w:val="center"/>
          </w:tcPr>
          <w:p w14:paraId="1EF79504">
            <w:pPr>
              <w:pStyle w:val="72"/>
              <w:rPr>
                <w:rFonts w:ascii="Times New Roman" w:hAnsi="Times New Roman"/>
              </w:rPr>
            </w:pPr>
            <w:r>
              <w:rPr>
                <w:rFonts w:ascii="Times New Roman" w:hAnsi="Times New Roman"/>
              </w:rPr>
              <w:t>4</w:t>
            </w:r>
          </w:p>
        </w:tc>
        <w:tc>
          <w:tcPr>
            <w:tcW w:w="693" w:type="pct"/>
            <w:vMerge w:val="restart"/>
            <w:vAlign w:val="center"/>
          </w:tcPr>
          <w:p w14:paraId="1B1C89E1">
            <w:pPr>
              <w:pStyle w:val="72"/>
              <w:rPr>
                <w:rFonts w:ascii="Times New Roman" w:hAnsi="Times New Roman"/>
              </w:rPr>
            </w:pPr>
            <w:r>
              <w:rPr>
                <w:rFonts w:ascii="Times New Roman" w:hAnsi="Times New Roman"/>
              </w:rPr>
              <w:t>排水条件</w:t>
            </w:r>
          </w:p>
        </w:tc>
        <w:tc>
          <w:tcPr>
            <w:tcW w:w="2482" w:type="pct"/>
            <w:vAlign w:val="center"/>
          </w:tcPr>
          <w:p w14:paraId="30E244E5">
            <w:pPr>
              <w:pStyle w:val="72"/>
              <w:rPr>
                <w:rFonts w:ascii="Times New Roman" w:hAnsi="Times New Roman"/>
              </w:rPr>
            </w:pPr>
            <w:r>
              <w:rPr>
                <w:rFonts w:ascii="Times New Roman" w:hAnsi="Times New Roman"/>
              </w:rPr>
              <w:t>不淹没或偶然淹没、排水条件好</w:t>
            </w:r>
          </w:p>
        </w:tc>
        <w:tc>
          <w:tcPr>
            <w:tcW w:w="507" w:type="pct"/>
            <w:vAlign w:val="center"/>
          </w:tcPr>
          <w:p w14:paraId="7379DBF5">
            <w:pPr>
              <w:pStyle w:val="72"/>
              <w:rPr>
                <w:rFonts w:ascii="Times New Roman" w:hAnsi="Times New Roman"/>
              </w:rPr>
            </w:pPr>
            <w:r>
              <w:rPr>
                <w:rFonts w:ascii="Times New Roman" w:hAnsi="Times New Roman"/>
              </w:rPr>
              <w:t>1</w:t>
            </w:r>
          </w:p>
        </w:tc>
        <w:tc>
          <w:tcPr>
            <w:tcW w:w="481" w:type="pct"/>
            <w:vAlign w:val="center"/>
          </w:tcPr>
          <w:p w14:paraId="24F82CE2">
            <w:pPr>
              <w:pStyle w:val="72"/>
              <w:rPr>
                <w:rFonts w:ascii="Times New Roman" w:hAnsi="Times New Roman"/>
              </w:rPr>
            </w:pPr>
            <w:r>
              <w:rPr>
                <w:rFonts w:ascii="Times New Roman" w:hAnsi="Times New Roman"/>
              </w:rPr>
              <w:t>1</w:t>
            </w:r>
          </w:p>
        </w:tc>
        <w:tc>
          <w:tcPr>
            <w:tcW w:w="444" w:type="pct"/>
            <w:vAlign w:val="center"/>
          </w:tcPr>
          <w:p w14:paraId="5FDE9CB6">
            <w:pPr>
              <w:pStyle w:val="72"/>
              <w:rPr>
                <w:rFonts w:ascii="Times New Roman" w:hAnsi="Times New Roman"/>
              </w:rPr>
            </w:pPr>
            <w:r>
              <w:rPr>
                <w:rFonts w:ascii="Times New Roman" w:hAnsi="Times New Roman"/>
              </w:rPr>
              <w:t>1</w:t>
            </w:r>
          </w:p>
        </w:tc>
      </w:tr>
      <w:tr w14:paraId="2D41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731387FD">
            <w:pPr>
              <w:pStyle w:val="72"/>
              <w:rPr>
                <w:rFonts w:ascii="Times New Roman" w:hAnsi="Times New Roman"/>
              </w:rPr>
            </w:pPr>
          </w:p>
        </w:tc>
        <w:tc>
          <w:tcPr>
            <w:tcW w:w="693" w:type="pct"/>
            <w:vMerge w:val="continue"/>
            <w:vAlign w:val="center"/>
          </w:tcPr>
          <w:p w14:paraId="4F54E886">
            <w:pPr>
              <w:pStyle w:val="72"/>
              <w:rPr>
                <w:rFonts w:ascii="Times New Roman" w:hAnsi="Times New Roman"/>
              </w:rPr>
            </w:pPr>
          </w:p>
        </w:tc>
        <w:tc>
          <w:tcPr>
            <w:tcW w:w="2482" w:type="pct"/>
            <w:vAlign w:val="center"/>
          </w:tcPr>
          <w:p w14:paraId="07694103">
            <w:pPr>
              <w:pStyle w:val="72"/>
              <w:rPr>
                <w:rFonts w:ascii="Times New Roman" w:hAnsi="Times New Roman"/>
              </w:rPr>
            </w:pPr>
            <w:r>
              <w:rPr>
                <w:rFonts w:ascii="Times New Roman" w:hAnsi="Times New Roman"/>
              </w:rPr>
              <w:t>季节性短期淹没、排水条件较好</w:t>
            </w:r>
          </w:p>
        </w:tc>
        <w:tc>
          <w:tcPr>
            <w:tcW w:w="507" w:type="pct"/>
            <w:vAlign w:val="center"/>
          </w:tcPr>
          <w:p w14:paraId="6BEFCBE1">
            <w:pPr>
              <w:pStyle w:val="72"/>
              <w:rPr>
                <w:rFonts w:ascii="Times New Roman" w:hAnsi="Times New Roman"/>
              </w:rPr>
            </w:pPr>
            <w:r>
              <w:rPr>
                <w:rFonts w:ascii="Times New Roman" w:hAnsi="Times New Roman"/>
              </w:rPr>
              <w:t>2</w:t>
            </w:r>
          </w:p>
        </w:tc>
        <w:tc>
          <w:tcPr>
            <w:tcW w:w="481" w:type="pct"/>
            <w:vAlign w:val="center"/>
          </w:tcPr>
          <w:p w14:paraId="696D74FE">
            <w:pPr>
              <w:pStyle w:val="72"/>
              <w:rPr>
                <w:rFonts w:ascii="Times New Roman" w:hAnsi="Times New Roman"/>
              </w:rPr>
            </w:pPr>
            <w:r>
              <w:rPr>
                <w:rFonts w:ascii="Times New Roman" w:hAnsi="Times New Roman"/>
              </w:rPr>
              <w:t>2</w:t>
            </w:r>
          </w:p>
        </w:tc>
        <w:tc>
          <w:tcPr>
            <w:tcW w:w="444" w:type="pct"/>
            <w:vAlign w:val="center"/>
          </w:tcPr>
          <w:p w14:paraId="272E10A9">
            <w:pPr>
              <w:pStyle w:val="72"/>
              <w:rPr>
                <w:rFonts w:ascii="Times New Roman" w:hAnsi="Times New Roman"/>
              </w:rPr>
            </w:pPr>
            <w:r>
              <w:rPr>
                <w:rFonts w:ascii="Times New Roman" w:hAnsi="Times New Roman"/>
              </w:rPr>
              <w:t>2</w:t>
            </w:r>
          </w:p>
        </w:tc>
      </w:tr>
      <w:tr w14:paraId="53C6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57661AED">
            <w:pPr>
              <w:pStyle w:val="72"/>
              <w:rPr>
                <w:rFonts w:ascii="Times New Roman" w:hAnsi="Times New Roman"/>
              </w:rPr>
            </w:pPr>
          </w:p>
        </w:tc>
        <w:tc>
          <w:tcPr>
            <w:tcW w:w="693" w:type="pct"/>
            <w:vMerge w:val="continue"/>
            <w:vAlign w:val="center"/>
          </w:tcPr>
          <w:p w14:paraId="0323D111">
            <w:pPr>
              <w:pStyle w:val="72"/>
              <w:rPr>
                <w:rFonts w:ascii="Times New Roman" w:hAnsi="Times New Roman"/>
              </w:rPr>
            </w:pPr>
          </w:p>
        </w:tc>
        <w:tc>
          <w:tcPr>
            <w:tcW w:w="2482" w:type="pct"/>
            <w:vAlign w:val="center"/>
          </w:tcPr>
          <w:p w14:paraId="101819EC">
            <w:pPr>
              <w:pStyle w:val="72"/>
              <w:rPr>
                <w:rFonts w:ascii="Times New Roman" w:hAnsi="Times New Roman"/>
              </w:rPr>
            </w:pPr>
            <w:r>
              <w:rPr>
                <w:rFonts w:ascii="Times New Roman" w:hAnsi="Times New Roman"/>
              </w:rPr>
              <w:t>季节性长期淹没、排水条件较差</w:t>
            </w:r>
          </w:p>
        </w:tc>
        <w:tc>
          <w:tcPr>
            <w:tcW w:w="507" w:type="pct"/>
            <w:vAlign w:val="center"/>
          </w:tcPr>
          <w:p w14:paraId="07A734AD">
            <w:pPr>
              <w:pStyle w:val="72"/>
              <w:rPr>
                <w:rFonts w:ascii="Times New Roman" w:hAnsi="Times New Roman"/>
              </w:rPr>
            </w:pPr>
            <w:r>
              <w:rPr>
                <w:rFonts w:ascii="Times New Roman" w:hAnsi="Times New Roman"/>
              </w:rPr>
              <w:t>3</w:t>
            </w:r>
          </w:p>
        </w:tc>
        <w:tc>
          <w:tcPr>
            <w:tcW w:w="481" w:type="pct"/>
            <w:vAlign w:val="center"/>
          </w:tcPr>
          <w:p w14:paraId="349C9555">
            <w:pPr>
              <w:pStyle w:val="72"/>
              <w:rPr>
                <w:rFonts w:ascii="Times New Roman" w:hAnsi="Times New Roman"/>
              </w:rPr>
            </w:pPr>
            <w:r>
              <w:rPr>
                <w:rFonts w:ascii="Times New Roman" w:hAnsi="Times New Roman"/>
              </w:rPr>
              <w:t>3</w:t>
            </w:r>
          </w:p>
        </w:tc>
        <w:tc>
          <w:tcPr>
            <w:tcW w:w="444" w:type="pct"/>
            <w:vAlign w:val="center"/>
          </w:tcPr>
          <w:p w14:paraId="7619B877">
            <w:pPr>
              <w:pStyle w:val="72"/>
              <w:rPr>
                <w:rFonts w:ascii="Times New Roman" w:hAnsi="Times New Roman"/>
              </w:rPr>
            </w:pPr>
            <w:r>
              <w:rPr>
                <w:rFonts w:ascii="Times New Roman" w:hAnsi="Times New Roman"/>
              </w:rPr>
              <w:t>3或4</w:t>
            </w:r>
          </w:p>
        </w:tc>
      </w:tr>
      <w:tr w14:paraId="01D3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05B0C741">
            <w:pPr>
              <w:pStyle w:val="72"/>
              <w:rPr>
                <w:rFonts w:ascii="Times New Roman" w:hAnsi="Times New Roman"/>
              </w:rPr>
            </w:pPr>
          </w:p>
        </w:tc>
        <w:tc>
          <w:tcPr>
            <w:tcW w:w="693" w:type="pct"/>
            <w:vMerge w:val="continue"/>
            <w:vAlign w:val="center"/>
          </w:tcPr>
          <w:p w14:paraId="69D8B438">
            <w:pPr>
              <w:pStyle w:val="72"/>
              <w:rPr>
                <w:rFonts w:ascii="Times New Roman" w:hAnsi="Times New Roman"/>
              </w:rPr>
            </w:pPr>
          </w:p>
        </w:tc>
        <w:tc>
          <w:tcPr>
            <w:tcW w:w="2482" w:type="pct"/>
            <w:vAlign w:val="center"/>
          </w:tcPr>
          <w:p w14:paraId="3986BD9B">
            <w:pPr>
              <w:pStyle w:val="72"/>
              <w:rPr>
                <w:rFonts w:ascii="Times New Roman" w:hAnsi="Times New Roman"/>
              </w:rPr>
            </w:pPr>
            <w:r>
              <w:rPr>
                <w:rFonts w:ascii="Times New Roman" w:hAnsi="Times New Roman"/>
              </w:rPr>
              <w:t>长期淹没、排水条件很差</w:t>
            </w:r>
          </w:p>
        </w:tc>
        <w:tc>
          <w:tcPr>
            <w:tcW w:w="507" w:type="pct"/>
            <w:vAlign w:val="center"/>
          </w:tcPr>
          <w:p w14:paraId="0124C76B">
            <w:pPr>
              <w:pStyle w:val="72"/>
              <w:rPr>
                <w:rFonts w:ascii="Times New Roman" w:hAnsi="Times New Roman"/>
              </w:rPr>
            </w:pPr>
            <w:r>
              <w:rPr>
                <w:rFonts w:ascii="Times New Roman" w:hAnsi="Times New Roman"/>
              </w:rPr>
              <w:t>4</w:t>
            </w:r>
          </w:p>
        </w:tc>
        <w:tc>
          <w:tcPr>
            <w:tcW w:w="481" w:type="pct"/>
            <w:vAlign w:val="center"/>
          </w:tcPr>
          <w:p w14:paraId="7B02FAC1">
            <w:pPr>
              <w:pStyle w:val="72"/>
              <w:rPr>
                <w:rFonts w:ascii="Times New Roman" w:hAnsi="Times New Roman"/>
              </w:rPr>
            </w:pPr>
            <w:r>
              <w:rPr>
                <w:rFonts w:ascii="Times New Roman" w:hAnsi="Times New Roman"/>
              </w:rPr>
              <w:t>4</w:t>
            </w:r>
          </w:p>
        </w:tc>
        <w:tc>
          <w:tcPr>
            <w:tcW w:w="444" w:type="pct"/>
            <w:vAlign w:val="center"/>
          </w:tcPr>
          <w:p w14:paraId="3C5AC8BB">
            <w:pPr>
              <w:pStyle w:val="72"/>
              <w:rPr>
                <w:rFonts w:ascii="Times New Roman" w:hAnsi="Times New Roman"/>
              </w:rPr>
            </w:pPr>
            <w:r>
              <w:rPr>
                <w:rFonts w:ascii="Times New Roman" w:hAnsi="Times New Roman"/>
              </w:rPr>
              <w:t>4</w:t>
            </w:r>
          </w:p>
        </w:tc>
      </w:tr>
      <w:tr w14:paraId="3230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000" w:type="pct"/>
            <w:gridSpan w:val="6"/>
            <w:vAlign w:val="center"/>
          </w:tcPr>
          <w:p w14:paraId="2CFAF25C">
            <w:pPr>
              <w:pStyle w:val="72"/>
              <w:rPr>
                <w:rFonts w:ascii="Times New Roman" w:hAnsi="Times New Roman"/>
              </w:rPr>
            </w:pPr>
            <w:r>
              <w:rPr>
                <w:rFonts w:ascii="Times New Roman" w:hAnsi="Times New Roman"/>
              </w:rPr>
              <w:t>说明：1代表适宜，2代表基本适宜，3代表临界适宜，4代表不适宜</w:t>
            </w:r>
          </w:p>
        </w:tc>
      </w:tr>
    </w:tbl>
    <w:p w14:paraId="08D98C5A">
      <w:pPr>
        <w:ind w:firstLine="560"/>
        <w:jc w:val="both"/>
        <w:rPr>
          <w:bCs/>
          <w:szCs w:val="28"/>
        </w:rPr>
      </w:pPr>
      <w:r>
        <w:rPr>
          <w:bCs/>
          <w:szCs w:val="28"/>
        </w:rPr>
        <w:t>（8）适宜性等级评定及结果分析</w:t>
      </w:r>
    </w:p>
    <w:p w14:paraId="1CE9FD1D">
      <w:pPr>
        <w:ind w:firstLine="560"/>
        <w:jc w:val="both"/>
        <w:rPr>
          <w:szCs w:val="28"/>
        </w:rPr>
      </w:pPr>
      <w:r>
        <w:rPr>
          <w:szCs w:val="28"/>
        </w:rPr>
        <w:t>依据项目区</w:t>
      </w:r>
      <w:r>
        <w:t>地形坡度、地表物质组成、灌溉条件、排水条件</w:t>
      </w:r>
      <w:r>
        <w:rPr>
          <w:szCs w:val="28"/>
        </w:rPr>
        <w:t>调查结果，将参评分区的土地质量分别与土地生态修复主要限制因素的农林草评价等级标准对比，以限制最大、适宜性等级最低的土地质量参评项目决定该分区的土地适宜等级。本方案的土地生态修复适宜性评价分区包括：</w:t>
      </w:r>
      <w:r>
        <w:rPr>
          <w:rFonts w:hint="eastAsia"/>
          <w:szCs w:val="28"/>
          <w:lang w:eastAsia="zh-CN"/>
        </w:rPr>
        <w:t>工业广场、三处废弃</w:t>
      </w:r>
      <w:r>
        <w:rPr>
          <w:rFonts w:hint="eastAsia"/>
          <w:szCs w:val="28"/>
          <w:lang w:val="en-US" w:eastAsia="zh-CN"/>
        </w:rPr>
        <w:t>平硐</w:t>
      </w:r>
      <w:r>
        <w:rPr>
          <w:rFonts w:hint="eastAsia"/>
          <w:szCs w:val="28"/>
          <w:lang w:eastAsia="zh-CN"/>
        </w:rPr>
        <w:t>、</w:t>
      </w:r>
      <w:r>
        <w:rPr>
          <w:rFonts w:hint="eastAsia"/>
          <w:szCs w:val="28"/>
          <w:lang w:val="en-US" w:eastAsia="zh-CN"/>
        </w:rPr>
        <w:t>490m平硐工业广场、520m平硐工业广场、548m平硐工业广场和地裂缝</w:t>
      </w:r>
      <w:r>
        <w:rPr>
          <w:szCs w:val="28"/>
        </w:rPr>
        <w:t>。评价结果见表3-</w:t>
      </w:r>
      <w:r>
        <w:rPr>
          <w:rFonts w:hint="eastAsia"/>
          <w:szCs w:val="28"/>
        </w:rPr>
        <w:t>2</w:t>
      </w:r>
      <w:r>
        <w:rPr>
          <w:rFonts w:hint="eastAsia"/>
          <w:szCs w:val="28"/>
          <w:lang w:val="en-US" w:eastAsia="zh-CN"/>
        </w:rPr>
        <w:t>2</w:t>
      </w:r>
      <w:r>
        <w:rPr>
          <w:szCs w:val="28"/>
        </w:rPr>
        <w:t>。</w:t>
      </w:r>
    </w:p>
    <w:p w14:paraId="256A9872">
      <w:pPr>
        <w:widowControl/>
        <w:adjustRightInd/>
        <w:snapToGrid/>
        <w:spacing w:line="240" w:lineRule="auto"/>
        <w:ind w:firstLine="0" w:firstLineChars="0"/>
        <w:rPr>
          <w:szCs w:val="28"/>
        </w:rPr>
      </w:pPr>
      <w:r>
        <w:rPr>
          <w:szCs w:val="28"/>
        </w:rPr>
        <w:br w:type="page"/>
      </w:r>
    </w:p>
    <w:p w14:paraId="579FFFA6">
      <w:pPr>
        <w:pStyle w:val="78"/>
        <w:ind w:firstLine="560"/>
        <w:rPr>
          <w:rFonts w:cs="Times New Roman"/>
          <w:b/>
          <w:color w:val="auto"/>
          <w:szCs w:val="28"/>
        </w:rPr>
      </w:pPr>
      <w:r>
        <w:rPr>
          <w:rFonts w:cs="Times New Roman"/>
          <w:b/>
          <w:color w:val="auto"/>
          <w:szCs w:val="28"/>
        </w:rPr>
        <w:t>表3-</w:t>
      </w:r>
      <w:r>
        <w:rPr>
          <w:rFonts w:hint="eastAsia" w:cs="Times New Roman"/>
          <w:b/>
          <w:color w:val="auto"/>
          <w:szCs w:val="28"/>
        </w:rPr>
        <w:t>2</w:t>
      </w:r>
      <w:r>
        <w:rPr>
          <w:rFonts w:hint="eastAsia" w:cs="Times New Roman"/>
          <w:b/>
          <w:color w:val="auto"/>
          <w:szCs w:val="28"/>
          <w:lang w:val="en-US" w:eastAsia="zh-CN"/>
        </w:rPr>
        <w:t>2</w:t>
      </w:r>
      <w:r>
        <w:rPr>
          <w:rFonts w:cs="Times New Roman"/>
          <w:b/>
          <w:color w:val="auto"/>
          <w:szCs w:val="28"/>
        </w:rPr>
        <w:t>土地生态修复适宜性评价结果表单位：hm²</w:t>
      </w:r>
    </w:p>
    <w:tbl>
      <w:tblPr>
        <w:tblStyle w:val="42"/>
        <w:tblW w:w="5137" w:type="pct"/>
        <w:tblInd w:w="-267" w:type="dxa"/>
        <w:tblLayout w:type="autofit"/>
        <w:tblCellMar>
          <w:top w:w="56" w:type="dxa"/>
          <w:left w:w="117" w:type="dxa"/>
          <w:bottom w:w="0" w:type="dxa"/>
          <w:right w:w="120" w:type="dxa"/>
        </w:tblCellMar>
      </w:tblPr>
      <w:tblGrid>
        <w:gridCol w:w="2071"/>
        <w:gridCol w:w="1167"/>
        <w:gridCol w:w="1254"/>
        <w:gridCol w:w="990"/>
        <w:gridCol w:w="1139"/>
        <w:gridCol w:w="3233"/>
      </w:tblGrid>
      <w:tr w14:paraId="5A81B397">
        <w:tblPrEx>
          <w:tblCellMar>
            <w:top w:w="56" w:type="dxa"/>
            <w:left w:w="117" w:type="dxa"/>
            <w:bottom w:w="0" w:type="dxa"/>
            <w:right w:w="120" w:type="dxa"/>
          </w:tblCellMar>
        </w:tblPrEx>
        <w:trPr>
          <w:trHeight w:val="113" w:hRule="atLeast"/>
        </w:trPr>
        <w:tc>
          <w:tcPr>
            <w:tcW w:w="1051" w:type="pct"/>
            <w:vMerge w:val="restart"/>
            <w:tcBorders>
              <w:top w:val="single" w:color="000000" w:sz="4" w:space="0"/>
              <w:left w:val="single" w:color="000000" w:sz="4" w:space="0"/>
              <w:bottom w:val="single" w:color="000000" w:sz="4" w:space="0"/>
              <w:right w:val="single" w:color="000000" w:sz="4" w:space="0"/>
            </w:tcBorders>
            <w:vAlign w:val="center"/>
          </w:tcPr>
          <w:p w14:paraId="6E0100D1">
            <w:pPr>
              <w:pStyle w:val="145"/>
              <w:rPr>
                <w:lang w:bidi="ar"/>
              </w:rPr>
            </w:pPr>
            <w:r>
              <w:rPr>
                <w:rFonts w:hint="eastAsia"/>
                <w:lang w:bidi="ar"/>
              </w:rPr>
              <w:t>评价单元</w:t>
            </w:r>
          </w:p>
        </w:tc>
        <w:tc>
          <w:tcPr>
            <w:tcW w:w="592" w:type="pct"/>
            <w:tcBorders>
              <w:top w:val="single" w:color="000000" w:sz="4" w:space="0"/>
              <w:left w:val="single" w:color="000000" w:sz="4" w:space="0"/>
              <w:bottom w:val="single" w:color="000000" w:sz="4" w:space="0"/>
              <w:right w:val="single" w:color="000000" w:sz="4" w:space="0"/>
            </w:tcBorders>
          </w:tcPr>
          <w:p w14:paraId="378940F8">
            <w:pPr>
              <w:pStyle w:val="145"/>
              <w:rPr>
                <w:lang w:bidi="ar"/>
              </w:rPr>
            </w:pPr>
            <w:r>
              <w:rPr>
                <w:rFonts w:hint="eastAsia"/>
                <w:lang w:bidi="ar"/>
              </w:rPr>
              <w:t>面积</w:t>
            </w:r>
          </w:p>
        </w:tc>
        <w:tc>
          <w:tcPr>
            <w:tcW w:w="1716" w:type="pct"/>
            <w:gridSpan w:val="3"/>
            <w:tcBorders>
              <w:top w:val="single" w:color="000000" w:sz="4" w:space="0"/>
              <w:left w:val="single" w:color="000000" w:sz="4" w:space="0"/>
              <w:bottom w:val="single" w:color="000000" w:sz="4" w:space="0"/>
              <w:right w:val="single" w:color="000000" w:sz="4" w:space="0"/>
            </w:tcBorders>
          </w:tcPr>
          <w:p w14:paraId="278E4B6D">
            <w:pPr>
              <w:pStyle w:val="145"/>
              <w:rPr>
                <w:lang w:bidi="ar"/>
              </w:rPr>
            </w:pPr>
            <w:r>
              <w:rPr>
                <w:rFonts w:hint="eastAsia"/>
                <w:lang w:bidi="ar"/>
              </w:rPr>
              <w:t>适宜性</w:t>
            </w:r>
          </w:p>
        </w:tc>
        <w:tc>
          <w:tcPr>
            <w:tcW w:w="1640" w:type="pct"/>
            <w:vMerge w:val="restart"/>
            <w:tcBorders>
              <w:top w:val="single" w:color="000000" w:sz="4" w:space="0"/>
              <w:left w:val="single" w:color="000000" w:sz="4" w:space="0"/>
              <w:bottom w:val="single" w:color="000000" w:sz="4" w:space="0"/>
              <w:right w:val="single" w:color="000000" w:sz="4" w:space="0"/>
            </w:tcBorders>
            <w:vAlign w:val="center"/>
          </w:tcPr>
          <w:p w14:paraId="18F06C91">
            <w:pPr>
              <w:pStyle w:val="145"/>
              <w:rPr>
                <w:lang w:bidi="ar"/>
              </w:rPr>
            </w:pPr>
            <w:r>
              <w:rPr>
                <w:rFonts w:hint="eastAsia"/>
                <w:lang w:bidi="ar"/>
              </w:rPr>
              <w:t>主要限制因子</w:t>
            </w:r>
          </w:p>
        </w:tc>
      </w:tr>
      <w:tr w14:paraId="0E4C47EB">
        <w:tblPrEx>
          <w:tblCellMar>
            <w:top w:w="56" w:type="dxa"/>
            <w:left w:w="117" w:type="dxa"/>
            <w:bottom w:w="0" w:type="dxa"/>
            <w:right w:w="120" w:type="dxa"/>
          </w:tblCellMar>
        </w:tblPrEx>
        <w:trPr>
          <w:trHeight w:val="90" w:hRule="atLeast"/>
        </w:trPr>
        <w:tc>
          <w:tcPr>
            <w:tcW w:w="1051" w:type="pct"/>
            <w:vMerge w:val="continue"/>
            <w:tcBorders>
              <w:top w:val="nil"/>
              <w:left w:val="single" w:color="000000" w:sz="4" w:space="0"/>
              <w:bottom w:val="single" w:color="000000" w:sz="4" w:space="0"/>
              <w:right w:val="single" w:color="000000" w:sz="4" w:space="0"/>
            </w:tcBorders>
          </w:tcPr>
          <w:p w14:paraId="3CD39B8C">
            <w:pPr>
              <w:pStyle w:val="145"/>
              <w:rPr>
                <w:lang w:bidi="ar"/>
              </w:rPr>
            </w:pPr>
          </w:p>
        </w:tc>
        <w:tc>
          <w:tcPr>
            <w:tcW w:w="592" w:type="pct"/>
            <w:tcBorders>
              <w:top w:val="single" w:color="000000" w:sz="4" w:space="0"/>
              <w:left w:val="single" w:color="000000" w:sz="4" w:space="0"/>
              <w:bottom w:val="single" w:color="000000" w:sz="4" w:space="0"/>
              <w:right w:val="single" w:color="000000" w:sz="4" w:space="0"/>
            </w:tcBorders>
          </w:tcPr>
          <w:p w14:paraId="1D030EB9">
            <w:pPr>
              <w:pStyle w:val="145"/>
              <w:rPr>
                <w:lang w:bidi="ar"/>
              </w:rPr>
            </w:pPr>
            <w:r>
              <w:rPr>
                <w:rFonts w:hint="eastAsia"/>
                <w:lang w:bidi="ar"/>
              </w:rPr>
              <w:t>(hm</w:t>
            </w:r>
            <w:r>
              <w:rPr>
                <w:rFonts w:hint="eastAsia"/>
                <w:vertAlign w:val="superscript"/>
                <w:lang w:bidi="ar"/>
              </w:rPr>
              <w:t>2</w:t>
            </w:r>
            <w:r>
              <w:rPr>
                <w:rFonts w:hint="eastAsia"/>
                <w:lang w:bidi="ar"/>
              </w:rPr>
              <w:t>)</w:t>
            </w:r>
          </w:p>
        </w:tc>
        <w:tc>
          <w:tcPr>
            <w:tcW w:w="636" w:type="pct"/>
            <w:tcBorders>
              <w:top w:val="single" w:color="000000" w:sz="4" w:space="0"/>
              <w:left w:val="single" w:color="000000" w:sz="4" w:space="0"/>
              <w:bottom w:val="single" w:color="000000" w:sz="4" w:space="0"/>
              <w:right w:val="single" w:color="000000" w:sz="4" w:space="0"/>
            </w:tcBorders>
          </w:tcPr>
          <w:p w14:paraId="19587FEA">
            <w:pPr>
              <w:pStyle w:val="145"/>
              <w:rPr>
                <w:lang w:bidi="ar"/>
              </w:rPr>
            </w:pPr>
            <w:r>
              <w:rPr>
                <w:rFonts w:hint="eastAsia"/>
                <w:lang w:bidi="ar"/>
              </w:rPr>
              <w:t>宜耕</w:t>
            </w:r>
          </w:p>
        </w:tc>
        <w:tc>
          <w:tcPr>
            <w:tcW w:w="502" w:type="pct"/>
            <w:tcBorders>
              <w:top w:val="single" w:color="000000" w:sz="4" w:space="0"/>
              <w:left w:val="single" w:color="000000" w:sz="4" w:space="0"/>
              <w:bottom w:val="single" w:color="000000" w:sz="4" w:space="0"/>
              <w:right w:val="single" w:color="000000" w:sz="4" w:space="0"/>
            </w:tcBorders>
          </w:tcPr>
          <w:p w14:paraId="732FEA07">
            <w:pPr>
              <w:pStyle w:val="145"/>
              <w:rPr>
                <w:lang w:bidi="ar"/>
              </w:rPr>
            </w:pPr>
            <w:r>
              <w:rPr>
                <w:rFonts w:hint="eastAsia"/>
                <w:lang w:bidi="ar"/>
              </w:rPr>
              <w:t>宜林</w:t>
            </w:r>
          </w:p>
        </w:tc>
        <w:tc>
          <w:tcPr>
            <w:tcW w:w="577" w:type="pct"/>
            <w:tcBorders>
              <w:top w:val="single" w:color="000000" w:sz="4" w:space="0"/>
              <w:left w:val="single" w:color="000000" w:sz="4" w:space="0"/>
              <w:bottom w:val="single" w:color="000000" w:sz="4" w:space="0"/>
              <w:right w:val="single" w:color="000000" w:sz="4" w:space="0"/>
            </w:tcBorders>
          </w:tcPr>
          <w:p w14:paraId="10320D53">
            <w:pPr>
              <w:pStyle w:val="145"/>
              <w:rPr>
                <w:lang w:bidi="ar"/>
              </w:rPr>
            </w:pPr>
            <w:r>
              <w:rPr>
                <w:rFonts w:hint="eastAsia"/>
                <w:lang w:bidi="ar"/>
              </w:rPr>
              <w:t>宜草</w:t>
            </w:r>
          </w:p>
        </w:tc>
        <w:tc>
          <w:tcPr>
            <w:tcW w:w="1640" w:type="pct"/>
            <w:vMerge w:val="continue"/>
            <w:tcBorders>
              <w:top w:val="nil"/>
              <w:left w:val="single" w:color="000000" w:sz="4" w:space="0"/>
              <w:bottom w:val="single" w:color="000000" w:sz="4" w:space="0"/>
              <w:right w:val="single" w:color="000000" w:sz="4" w:space="0"/>
            </w:tcBorders>
            <w:vAlign w:val="center"/>
          </w:tcPr>
          <w:p w14:paraId="6B35E983">
            <w:pPr>
              <w:pStyle w:val="145"/>
              <w:rPr>
                <w:lang w:bidi="ar"/>
              </w:rPr>
            </w:pPr>
          </w:p>
        </w:tc>
      </w:tr>
      <w:tr w14:paraId="549F4336">
        <w:tblPrEx>
          <w:tblCellMar>
            <w:top w:w="56" w:type="dxa"/>
            <w:left w:w="117" w:type="dxa"/>
            <w:bottom w:w="0" w:type="dxa"/>
            <w:right w:w="120" w:type="dxa"/>
          </w:tblCellMar>
        </w:tblPrEx>
        <w:trPr>
          <w:trHeight w:val="329" w:hRule="atLeast"/>
        </w:trPr>
        <w:tc>
          <w:tcPr>
            <w:tcW w:w="1051" w:type="pct"/>
            <w:tcBorders>
              <w:top w:val="single" w:color="000000" w:sz="4" w:space="0"/>
              <w:left w:val="single" w:color="000000" w:sz="4" w:space="0"/>
              <w:bottom w:val="single" w:color="000000" w:sz="4" w:space="0"/>
              <w:right w:val="single" w:color="000000" w:sz="4" w:space="0"/>
            </w:tcBorders>
            <w:vAlign w:val="center"/>
          </w:tcPr>
          <w:p w14:paraId="1F6FC9A1">
            <w:pPr>
              <w:pStyle w:val="72"/>
              <w:ind w:firstLine="0" w:firstLineChars="0"/>
              <w:rPr>
                <w:lang w:bidi="ar"/>
              </w:rPr>
            </w:pPr>
            <w:r>
              <w:rPr>
                <w:rFonts w:hint="eastAsia" w:ascii="Times New Roman" w:hAnsi="Times New Roman"/>
                <w:lang w:bidi="ar"/>
              </w:rPr>
              <w:t>工业广场</w:t>
            </w:r>
          </w:p>
        </w:tc>
        <w:tc>
          <w:tcPr>
            <w:tcW w:w="592" w:type="pct"/>
            <w:tcBorders>
              <w:top w:val="single" w:color="000000" w:sz="4" w:space="0"/>
              <w:left w:val="single" w:color="000000" w:sz="4" w:space="0"/>
              <w:bottom w:val="single" w:color="000000" w:sz="4" w:space="0"/>
              <w:right w:val="single" w:color="000000" w:sz="4" w:space="0"/>
            </w:tcBorders>
            <w:vAlign w:val="center"/>
          </w:tcPr>
          <w:p w14:paraId="1E96F55D">
            <w:pPr>
              <w:pStyle w:val="145"/>
              <w:rPr>
                <w:rFonts w:hint="default" w:eastAsia="仿宋_GB2312"/>
                <w:lang w:val="en-US" w:eastAsia="zh-CN" w:bidi="ar"/>
              </w:rPr>
            </w:pPr>
            <w:r>
              <w:rPr>
                <w:rFonts w:hint="eastAsia"/>
                <w:sz w:val="22"/>
                <w:szCs w:val="22"/>
                <w:lang w:val="en-US" w:eastAsia="zh-CN"/>
              </w:rPr>
              <w:t>0.3608</w:t>
            </w:r>
          </w:p>
        </w:tc>
        <w:tc>
          <w:tcPr>
            <w:tcW w:w="636" w:type="pct"/>
            <w:tcBorders>
              <w:top w:val="single" w:color="000000" w:sz="4" w:space="0"/>
              <w:left w:val="single" w:color="000000" w:sz="4" w:space="0"/>
              <w:bottom w:val="single" w:color="000000" w:sz="4" w:space="0"/>
              <w:right w:val="single" w:color="000000" w:sz="4" w:space="0"/>
            </w:tcBorders>
          </w:tcPr>
          <w:p w14:paraId="204FBC64">
            <w:pPr>
              <w:pStyle w:val="145"/>
              <w:rPr>
                <w:lang w:bidi="ar"/>
              </w:rPr>
            </w:pPr>
            <w:r>
              <w:rPr>
                <w:rFonts w:hint="eastAsia"/>
                <w:lang w:bidi="ar"/>
              </w:rPr>
              <w:t>适</w:t>
            </w:r>
          </w:p>
        </w:tc>
        <w:tc>
          <w:tcPr>
            <w:tcW w:w="502" w:type="pct"/>
            <w:tcBorders>
              <w:top w:val="single" w:color="000000" w:sz="4" w:space="0"/>
              <w:left w:val="single" w:color="000000" w:sz="4" w:space="0"/>
              <w:bottom w:val="single" w:color="000000" w:sz="4" w:space="0"/>
              <w:right w:val="single" w:color="000000" w:sz="4" w:space="0"/>
            </w:tcBorders>
          </w:tcPr>
          <w:p w14:paraId="2DFB065F">
            <w:pPr>
              <w:pStyle w:val="145"/>
              <w:rPr>
                <w:lang w:bidi="ar"/>
              </w:rPr>
            </w:pPr>
            <w:r>
              <w:rPr>
                <w:rFonts w:hint="eastAsia"/>
                <w:lang w:bidi="ar"/>
              </w:rPr>
              <w:t>适</w:t>
            </w:r>
          </w:p>
        </w:tc>
        <w:tc>
          <w:tcPr>
            <w:tcW w:w="577" w:type="pct"/>
            <w:tcBorders>
              <w:top w:val="single" w:color="000000" w:sz="4" w:space="0"/>
              <w:left w:val="single" w:color="000000" w:sz="4" w:space="0"/>
              <w:bottom w:val="single" w:color="000000" w:sz="4" w:space="0"/>
              <w:right w:val="single" w:color="000000" w:sz="4" w:space="0"/>
            </w:tcBorders>
          </w:tcPr>
          <w:p w14:paraId="12302D47">
            <w:pPr>
              <w:pStyle w:val="145"/>
              <w:rPr>
                <w:lang w:bidi="ar"/>
              </w:rPr>
            </w:pPr>
            <w:r>
              <w:rPr>
                <w:rFonts w:hint="eastAsia"/>
                <w:lang w:bidi="ar"/>
              </w:rPr>
              <w:t>适</w:t>
            </w:r>
          </w:p>
        </w:tc>
        <w:tc>
          <w:tcPr>
            <w:tcW w:w="1640" w:type="pct"/>
            <w:tcBorders>
              <w:top w:val="single" w:color="000000" w:sz="4" w:space="0"/>
              <w:left w:val="single" w:color="000000" w:sz="4" w:space="0"/>
              <w:bottom w:val="single" w:color="000000" w:sz="4" w:space="0"/>
              <w:right w:val="single" w:color="000000" w:sz="4" w:space="0"/>
            </w:tcBorders>
          </w:tcPr>
          <w:p w14:paraId="5D45AA33">
            <w:pPr>
              <w:pStyle w:val="145"/>
              <w:rPr>
                <w:rFonts w:hint="eastAsia"/>
                <w:lang w:bidi="ar"/>
              </w:rPr>
            </w:pPr>
            <w:r>
              <w:rPr>
                <w:rFonts w:hint="eastAsia"/>
                <w:lang w:bidi="ar"/>
              </w:rPr>
              <w:t>地表组成物质、有效土层厚度等</w:t>
            </w:r>
          </w:p>
        </w:tc>
      </w:tr>
      <w:tr w14:paraId="2DA7E6F1">
        <w:tblPrEx>
          <w:tblCellMar>
            <w:top w:w="56" w:type="dxa"/>
            <w:left w:w="117" w:type="dxa"/>
            <w:bottom w:w="0" w:type="dxa"/>
            <w:right w:w="120" w:type="dxa"/>
          </w:tblCellMar>
        </w:tblPrEx>
        <w:trPr>
          <w:trHeight w:val="329" w:hRule="atLeast"/>
        </w:trPr>
        <w:tc>
          <w:tcPr>
            <w:tcW w:w="1051" w:type="pct"/>
            <w:tcBorders>
              <w:top w:val="single" w:color="000000" w:sz="4" w:space="0"/>
              <w:left w:val="single" w:color="000000" w:sz="4" w:space="0"/>
              <w:bottom w:val="single" w:color="000000" w:sz="4" w:space="0"/>
              <w:right w:val="single" w:color="000000" w:sz="4" w:space="0"/>
            </w:tcBorders>
            <w:vAlign w:val="center"/>
          </w:tcPr>
          <w:p w14:paraId="0B881ED4">
            <w:pPr>
              <w:pStyle w:val="72"/>
              <w:ind w:firstLine="0" w:firstLineChars="0"/>
              <w:rPr>
                <w:rFonts w:hint="default"/>
                <w:lang w:val="en-US" w:bidi="ar"/>
              </w:rPr>
            </w:pPr>
            <w:r>
              <w:rPr>
                <w:rFonts w:hint="eastAsia" w:ascii="Times New Roman" w:hAnsi="Times New Roman"/>
                <w:lang w:val="en-US" w:eastAsia="zh-CN" w:bidi="ar"/>
              </w:rPr>
              <w:t>三处废弃平硐</w:t>
            </w:r>
          </w:p>
        </w:tc>
        <w:tc>
          <w:tcPr>
            <w:tcW w:w="592" w:type="pct"/>
            <w:tcBorders>
              <w:top w:val="single" w:color="000000" w:sz="4" w:space="0"/>
              <w:left w:val="single" w:color="000000" w:sz="4" w:space="0"/>
              <w:bottom w:val="single" w:color="000000" w:sz="4" w:space="0"/>
              <w:right w:val="single" w:color="000000" w:sz="4" w:space="0"/>
            </w:tcBorders>
            <w:vAlign w:val="center"/>
          </w:tcPr>
          <w:p w14:paraId="584E98E1">
            <w:pPr>
              <w:pStyle w:val="145"/>
              <w:rPr>
                <w:rFonts w:hint="default"/>
                <w:sz w:val="22"/>
                <w:szCs w:val="22"/>
                <w:lang w:val="en-US" w:eastAsia="zh-CN"/>
              </w:rPr>
            </w:pPr>
            <w:r>
              <w:rPr>
                <w:rFonts w:hint="eastAsia"/>
                <w:sz w:val="22"/>
                <w:szCs w:val="22"/>
                <w:lang w:val="en-US" w:eastAsia="zh-CN"/>
              </w:rPr>
              <w:t>0</w:t>
            </w:r>
          </w:p>
        </w:tc>
        <w:tc>
          <w:tcPr>
            <w:tcW w:w="636" w:type="pct"/>
            <w:tcBorders>
              <w:top w:val="single" w:color="000000" w:sz="4" w:space="0"/>
              <w:left w:val="single" w:color="000000" w:sz="4" w:space="0"/>
              <w:bottom w:val="single" w:color="000000" w:sz="4" w:space="0"/>
              <w:right w:val="single" w:color="000000" w:sz="4" w:space="0"/>
            </w:tcBorders>
            <w:vAlign w:val="top"/>
          </w:tcPr>
          <w:p w14:paraId="4ACE76CF">
            <w:pPr>
              <w:pStyle w:val="145"/>
              <w:rPr>
                <w:rFonts w:hint="eastAsia"/>
                <w:lang w:bidi="ar"/>
              </w:rPr>
            </w:pPr>
            <w:r>
              <w:rPr>
                <w:rFonts w:hint="eastAsia"/>
                <w:lang w:bidi="ar"/>
              </w:rPr>
              <w:t>适</w:t>
            </w:r>
          </w:p>
        </w:tc>
        <w:tc>
          <w:tcPr>
            <w:tcW w:w="502" w:type="pct"/>
            <w:tcBorders>
              <w:top w:val="single" w:color="000000" w:sz="4" w:space="0"/>
              <w:left w:val="single" w:color="000000" w:sz="4" w:space="0"/>
              <w:bottom w:val="single" w:color="000000" w:sz="4" w:space="0"/>
              <w:right w:val="single" w:color="000000" w:sz="4" w:space="0"/>
            </w:tcBorders>
            <w:vAlign w:val="top"/>
          </w:tcPr>
          <w:p w14:paraId="5B6CA700">
            <w:pPr>
              <w:pStyle w:val="145"/>
              <w:rPr>
                <w:rFonts w:hint="eastAsia"/>
                <w:lang w:bidi="ar"/>
              </w:rPr>
            </w:pPr>
            <w:r>
              <w:rPr>
                <w:rFonts w:hint="eastAsia"/>
                <w:lang w:bidi="ar"/>
              </w:rPr>
              <w:t>适</w:t>
            </w:r>
          </w:p>
        </w:tc>
        <w:tc>
          <w:tcPr>
            <w:tcW w:w="577" w:type="pct"/>
            <w:tcBorders>
              <w:top w:val="single" w:color="000000" w:sz="4" w:space="0"/>
              <w:left w:val="single" w:color="000000" w:sz="4" w:space="0"/>
              <w:bottom w:val="single" w:color="000000" w:sz="4" w:space="0"/>
              <w:right w:val="single" w:color="000000" w:sz="4" w:space="0"/>
            </w:tcBorders>
            <w:vAlign w:val="top"/>
          </w:tcPr>
          <w:p w14:paraId="7D583C5C">
            <w:pPr>
              <w:pStyle w:val="145"/>
              <w:rPr>
                <w:rFonts w:hint="eastAsia"/>
                <w:lang w:bidi="ar"/>
              </w:rPr>
            </w:pPr>
            <w:r>
              <w:rPr>
                <w:rFonts w:hint="eastAsia"/>
                <w:lang w:bidi="ar"/>
              </w:rPr>
              <w:t>适</w:t>
            </w:r>
          </w:p>
        </w:tc>
        <w:tc>
          <w:tcPr>
            <w:tcW w:w="1640" w:type="pct"/>
            <w:tcBorders>
              <w:top w:val="single" w:color="000000" w:sz="4" w:space="0"/>
              <w:left w:val="single" w:color="000000" w:sz="4" w:space="0"/>
              <w:bottom w:val="single" w:color="000000" w:sz="4" w:space="0"/>
              <w:right w:val="single" w:color="000000" w:sz="4" w:space="0"/>
            </w:tcBorders>
          </w:tcPr>
          <w:p w14:paraId="3970CA43">
            <w:pPr>
              <w:pStyle w:val="145"/>
              <w:rPr>
                <w:rFonts w:hint="eastAsia"/>
                <w:lang w:bidi="ar"/>
              </w:rPr>
            </w:pPr>
            <w:r>
              <w:rPr>
                <w:rFonts w:hint="eastAsia"/>
                <w:lang w:bidi="ar"/>
              </w:rPr>
              <w:t>地表组成物质、有效土层厚度等</w:t>
            </w:r>
          </w:p>
        </w:tc>
      </w:tr>
      <w:tr w14:paraId="5FD89510">
        <w:tblPrEx>
          <w:tblCellMar>
            <w:top w:w="56" w:type="dxa"/>
            <w:left w:w="117" w:type="dxa"/>
            <w:bottom w:w="0" w:type="dxa"/>
            <w:right w:w="120" w:type="dxa"/>
          </w:tblCellMar>
        </w:tblPrEx>
        <w:trPr>
          <w:trHeight w:val="329" w:hRule="atLeast"/>
        </w:trPr>
        <w:tc>
          <w:tcPr>
            <w:tcW w:w="1051" w:type="pct"/>
            <w:tcBorders>
              <w:top w:val="single" w:color="000000" w:sz="4" w:space="0"/>
              <w:left w:val="single" w:color="000000" w:sz="4" w:space="0"/>
              <w:bottom w:val="single" w:color="000000" w:sz="4" w:space="0"/>
              <w:right w:val="single" w:color="000000" w:sz="4" w:space="0"/>
            </w:tcBorders>
            <w:vAlign w:val="center"/>
          </w:tcPr>
          <w:p w14:paraId="5F0B2EDD">
            <w:pPr>
              <w:pStyle w:val="72"/>
              <w:ind w:firstLine="0" w:firstLineChars="0"/>
              <w:rPr>
                <w:rFonts w:hint="eastAsia"/>
                <w:lang w:bidi="ar"/>
              </w:rPr>
            </w:pPr>
            <w:r>
              <w:rPr>
                <w:rFonts w:hint="eastAsia"/>
                <w:szCs w:val="28"/>
                <w:lang w:val="en-US" w:eastAsia="zh-CN"/>
              </w:rPr>
              <w:t>490m平硐工业广场</w:t>
            </w:r>
          </w:p>
        </w:tc>
        <w:tc>
          <w:tcPr>
            <w:tcW w:w="592" w:type="pct"/>
            <w:tcBorders>
              <w:top w:val="single" w:color="000000" w:sz="4" w:space="0"/>
              <w:left w:val="single" w:color="000000" w:sz="4" w:space="0"/>
              <w:bottom w:val="single" w:color="000000" w:sz="4" w:space="0"/>
              <w:right w:val="single" w:color="000000" w:sz="4" w:space="0"/>
            </w:tcBorders>
            <w:vAlign w:val="center"/>
          </w:tcPr>
          <w:p w14:paraId="33E7DD22">
            <w:pPr>
              <w:pStyle w:val="145"/>
              <w:rPr>
                <w:rFonts w:hint="default"/>
                <w:sz w:val="22"/>
                <w:szCs w:val="22"/>
                <w:lang w:val="en-US" w:eastAsia="zh-CN"/>
              </w:rPr>
            </w:pPr>
            <w:r>
              <w:rPr>
                <w:rFonts w:hint="eastAsia"/>
                <w:sz w:val="22"/>
                <w:szCs w:val="22"/>
                <w:lang w:val="en-US" w:eastAsia="zh-CN"/>
              </w:rPr>
              <w:t>0.69</w:t>
            </w:r>
          </w:p>
        </w:tc>
        <w:tc>
          <w:tcPr>
            <w:tcW w:w="636" w:type="pct"/>
            <w:tcBorders>
              <w:top w:val="single" w:color="000000" w:sz="4" w:space="0"/>
              <w:left w:val="single" w:color="000000" w:sz="4" w:space="0"/>
              <w:bottom w:val="single" w:color="000000" w:sz="4" w:space="0"/>
              <w:right w:val="single" w:color="000000" w:sz="4" w:space="0"/>
            </w:tcBorders>
            <w:vAlign w:val="top"/>
          </w:tcPr>
          <w:p w14:paraId="33120E8C">
            <w:pPr>
              <w:pStyle w:val="145"/>
              <w:rPr>
                <w:rFonts w:hint="eastAsia"/>
                <w:lang w:bidi="ar"/>
              </w:rPr>
            </w:pPr>
            <w:r>
              <w:rPr>
                <w:rFonts w:hint="eastAsia"/>
                <w:lang w:bidi="ar"/>
              </w:rPr>
              <w:t>适</w:t>
            </w:r>
          </w:p>
        </w:tc>
        <w:tc>
          <w:tcPr>
            <w:tcW w:w="502" w:type="pct"/>
            <w:tcBorders>
              <w:top w:val="single" w:color="000000" w:sz="4" w:space="0"/>
              <w:left w:val="single" w:color="000000" w:sz="4" w:space="0"/>
              <w:bottom w:val="single" w:color="000000" w:sz="4" w:space="0"/>
              <w:right w:val="single" w:color="000000" w:sz="4" w:space="0"/>
            </w:tcBorders>
            <w:vAlign w:val="top"/>
          </w:tcPr>
          <w:p w14:paraId="4EDC7476">
            <w:pPr>
              <w:pStyle w:val="145"/>
              <w:rPr>
                <w:rFonts w:hint="eastAsia"/>
                <w:lang w:bidi="ar"/>
              </w:rPr>
            </w:pPr>
            <w:r>
              <w:rPr>
                <w:rFonts w:hint="eastAsia"/>
                <w:lang w:bidi="ar"/>
              </w:rPr>
              <w:t>适</w:t>
            </w:r>
          </w:p>
        </w:tc>
        <w:tc>
          <w:tcPr>
            <w:tcW w:w="577" w:type="pct"/>
            <w:tcBorders>
              <w:top w:val="single" w:color="000000" w:sz="4" w:space="0"/>
              <w:left w:val="single" w:color="000000" w:sz="4" w:space="0"/>
              <w:bottom w:val="single" w:color="000000" w:sz="4" w:space="0"/>
              <w:right w:val="single" w:color="000000" w:sz="4" w:space="0"/>
            </w:tcBorders>
            <w:vAlign w:val="top"/>
          </w:tcPr>
          <w:p w14:paraId="5B7C8CAD">
            <w:pPr>
              <w:pStyle w:val="145"/>
              <w:rPr>
                <w:rFonts w:hint="eastAsia"/>
                <w:lang w:bidi="ar"/>
              </w:rPr>
            </w:pPr>
            <w:r>
              <w:rPr>
                <w:rFonts w:hint="eastAsia"/>
                <w:lang w:bidi="ar"/>
              </w:rPr>
              <w:t>适</w:t>
            </w:r>
          </w:p>
        </w:tc>
        <w:tc>
          <w:tcPr>
            <w:tcW w:w="1640" w:type="pct"/>
            <w:tcBorders>
              <w:top w:val="single" w:color="000000" w:sz="4" w:space="0"/>
              <w:left w:val="single" w:color="000000" w:sz="4" w:space="0"/>
              <w:bottom w:val="single" w:color="000000" w:sz="4" w:space="0"/>
              <w:right w:val="single" w:color="000000" w:sz="4" w:space="0"/>
            </w:tcBorders>
          </w:tcPr>
          <w:p w14:paraId="55FCB337">
            <w:pPr>
              <w:pStyle w:val="145"/>
              <w:rPr>
                <w:rFonts w:hint="eastAsia"/>
                <w:lang w:bidi="ar"/>
              </w:rPr>
            </w:pPr>
            <w:r>
              <w:rPr>
                <w:rFonts w:hint="eastAsia"/>
                <w:lang w:bidi="ar"/>
              </w:rPr>
              <w:t>地表组成物质、有效土层厚度等</w:t>
            </w:r>
          </w:p>
        </w:tc>
      </w:tr>
      <w:tr w14:paraId="673EE6F7">
        <w:tblPrEx>
          <w:tblCellMar>
            <w:top w:w="56" w:type="dxa"/>
            <w:left w:w="117" w:type="dxa"/>
            <w:bottom w:w="0" w:type="dxa"/>
            <w:right w:w="120" w:type="dxa"/>
          </w:tblCellMar>
        </w:tblPrEx>
        <w:trPr>
          <w:trHeight w:val="329" w:hRule="atLeast"/>
        </w:trPr>
        <w:tc>
          <w:tcPr>
            <w:tcW w:w="1051" w:type="pct"/>
            <w:tcBorders>
              <w:top w:val="single" w:color="000000" w:sz="4" w:space="0"/>
              <w:left w:val="single" w:color="000000" w:sz="4" w:space="0"/>
              <w:bottom w:val="single" w:color="000000" w:sz="4" w:space="0"/>
              <w:right w:val="single" w:color="000000" w:sz="4" w:space="0"/>
            </w:tcBorders>
            <w:vAlign w:val="center"/>
          </w:tcPr>
          <w:p w14:paraId="018B6020">
            <w:pPr>
              <w:pStyle w:val="72"/>
              <w:ind w:firstLine="0" w:firstLineChars="0"/>
              <w:rPr>
                <w:rFonts w:hint="eastAsia"/>
                <w:lang w:bidi="ar"/>
              </w:rPr>
            </w:pPr>
            <w:r>
              <w:rPr>
                <w:rFonts w:hint="eastAsia"/>
                <w:szCs w:val="28"/>
                <w:lang w:val="en-US" w:eastAsia="zh-CN"/>
              </w:rPr>
              <w:t>520m平硐工业广场</w:t>
            </w:r>
          </w:p>
        </w:tc>
        <w:tc>
          <w:tcPr>
            <w:tcW w:w="592" w:type="pct"/>
            <w:tcBorders>
              <w:top w:val="single" w:color="000000" w:sz="4" w:space="0"/>
              <w:left w:val="single" w:color="000000" w:sz="4" w:space="0"/>
              <w:bottom w:val="single" w:color="000000" w:sz="4" w:space="0"/>
              <w:right w:val="single" w:color="000000" w:sz="4" w:space="0"/>
            </w:tcBorders>
            <w:vAlign w:val="center"/>
          </w:tcPr>
          <w:p w14:paraId="34E81DCE">
            <w:pPr>
              <w:pStyle w:val="145"/>
              <w:rPr>
                <w:rFonts w:hint="default"/>
                <w:sz w:val="22"/>
                <w:szCs w:val="22"/>
                <w:lang w:val="en-US" w:eastAsia="zh-CN"/>
              </w:rPr>
            </w:pPr>
            <w:r>
              <w:rPr>
                <w:rFonts w:hint="eastAsia"/>
                <w:sz w:val="22"/>
                <w:szCs w:val="22"/>
                <w:lang w:val="en-US" w:eastAsia="zh-CN"/>
              </w:rPr>
              <w:t>0.3</w:t>
            </w:r>
          </w:p>
        </w:tc>
        <w:tc>
          <w:tcPr>
            <w:tcW w:w="636" w:type="pct"/>
            <w:tcBorders>
              <w:top w:val="single" w:color="000000" w:sz="4" w:space="0"/>
              <w:left w:val="single" w:color="000000" w:sz="4" w:space="0"/>
              <w:bottom w:val="single" w:color="000000" w:sz="4" w:space="0"/>
              <w:right w:val="single" w:color="000000" w:sz="4" w:space="0"/>
            </w:tcBorders>
            <w:vAlign w:val="top"/>
          </w:tcPr>
          <w:p w14:paraId="574E38D5">
            <w:pPr>
              <w:pStyle w:val="145"/>
              <w:rPr>
                <w:rFonts w:hint="eastAsia"/>
                <w:lang w:bidi="ar"/>
              </w:rPr>
            </w:pPr>
            <w:r>
              <w:rPr>
                <w:rFonts w:hint="eastAsia"/>
                <w:lang w:bidi="ar"/>
              </w:rPr>
              <w:t>适</w:t>
            </w:r>
          </w:p>
        </w:tc>
        <w:tc>
          <w:tcPr>
            <w:tcW w:w="502" w:type="pct"/>
            <w:tcBorders>
              <w:top w:val="single" w:color="000000" w:sz="4" w:space="0"/>
              <w:left w:val="single" w:color="000000" w:sz="4" w:space="0"/>
              <w:bottom w:val="single" w:color="000000" w:sz="4" w:space="0"/>
              <w:right w:val="single" w:color="000000" w:sz="4" w:space="0"/>
            </w:tcBorders>
            <w:vAlign w:val="top"/>
          </w:tcPr>
          <w:p w14:paraId="5B715984">
            <w:pPr>
              <w:pStyle w:val="145"/>
              <w:rPr>
                <w:rFonts w:hint="eastAsia"/>
                <w:lang w:bidi="ar"/>
              </w:rPr>
            </w:pPr>
            <w:r>
              <w:rPr>
                <w:rFonts w:hint="eastAsia"/>
                <w:lang w:bidi="ar"/>
              </w:rPr>
              <w:t>适</w:t>
            </w:r>
          </w:p>
        </w:tc>
        <w:tc>
          <w:tcPr>
            <w:tcW w:w="577" w:type="pct"/>
            <w:tcBorders>
              <w:top w:val="single" w:color="000000" w:sz="4" w:space="0"/>
              <w:left w:val="single" w:color="000000" w:sz="4" w:space="0"/>
              <w:bottom w:val="single" w:color="000000" w:sz="4" w:space="0"/>
              <w:right w:val="single" w:color="000000" w:sz="4" w:space="0"/>
            </w:tcBorders>
            <w:vAlign w:val="top"/>
          </w:tcPr>
          <w:p w14:paraId="7745D187">
            <w:pPr>
              <w:pStyle w:val="145"/>
              <w:rPr>
                <w:rFonts w:hint="eastAsia"/>
                <w:lang w:bidi="ar"/>
              </w:rPr>
            </w:pPr>
            <w:r>
              <w:rPr>
                <w:rFonts w:hint="eastAsia"/>
                <w:lang w:bidi="ar"/>
              </w:rPr>
              <w:t>适</w:t>
            </w:r>
          </w:p>
        </w:tc>
        <w:tc>
          <w:tcPr>
            <w:tcW w:w="1640" w:type="pct"/>
            <w:tcBorders>
              <w:top w:val="single" w:color="000000" w:sz="4" w:space="0"/>
              <w:left w:val="single" w:color="000000" w:sz="4" w:space="0"/>
              <w:bottom w:val="single" w:color="000000" w:sz="4" w:space="0"/>
              <w:right w:val="single" w:color="000000" w:sz="4" w:space="0"/>
            </w:tcBorders>
          </w:tcPr>
          <w:p w14:paraId="6BF86DD8">
            <w:pPr>
              <w:pStyle w:val="145"/>
              <w:rPr>
                <w:rFonts w:hint="eastAsia"/>
                <w:lang w:bidi="ar"/>
              </w:rPr>
            </w:pPr>
            <w:r>
              <w:rPr>
                <w:rFonts w:hint="eastAsia"/>
                <w:lang w:bidi="ar"/>
              </w:rPr>
              <w:t>地表组成物质、有效土层厚度等</w:t>
            </w:r>
          </w:p>
        </w:tc>
      </w:tr>
      <w:tr w14:paraId="45618CBC">
        <w:tblPrEx>
          <w:tblCellMar>
            <w:top w:w="56" w:type="dxa"/>
            <w:left w:w="117" w:type="dxa"/>
            <w:bottom w:w="0" w:type="dxa"/>
            <w:right w:w="120" w:type="dxa"/>
          </w:tblCellMar>
        </w:tblPrEx>
        <w:trPr>
          <w:trHeight w:val="329" w:hRule="atLeast"/>
        </w:trPr>
        <w:tc>
          <w:tcPr>
            <w:tcW w:w="1051" w:type="pct"/>
            <w:tcBorders>
              <w:top w:val="single" w:color="000000" w:sz="4" w:space="0"/>
              <w:left w:val="single" w:color="000000" w:sz="4" w:space="0"/>
              <w:bottom w:val="single" w:color="000000" w:sz="4" w:space="0"/>
              <w:right w:val="single" w:color="000000" w:sz="4" w:space="0"/>
            </w:tcBorders>
            <w:vAlign w:val="center"/>
          </w:tcPr>
          <w:p w14:paraId="20303236">
            <w:pPr>
              <w:pStyle w:val="72"/>
              <w:ind w:firstLine="0" w:firstLineChars="0"/>
              <w:rPr>
                <w:rFonts w:hint="eastAsia"/>
                <w:lang w:bidi="ar"/>
              </w:rPr>
            </w:pPr>
            <w:r>
              <w:rPr>
                <w:rFonts w:hint="eastAsia"/>
                <w:szCs w:val="28"/>
                <w:lang w:val="en-US" w:eastAsia="zh-CN"/>
              </w:rPr>
              <w:t>548m平硐工业广场</w:t>
            </w:r>
          </w:p>
        </w:tc>
        <w:tc>
          <w:tcPr>
            <w:tcW w:w="592" w:type="pct"/>
            <w:tcBorders>
              <w:top w:val="single" w:color="000000" w:sz="4" w:space="0"/>
              <w:left w:val="single" w:color="000000" w:sz="4" w:space="0"/>
              <w:bottom w:val="single" w:color="000000" w:sz="4" w:space="0"/>
              <w:right w:val="single" w:color="000000" w:sz="4" w:space="0"/>
            </w:tcBorders>
            <w:vAlign w:val="center"/>
          </w:tcPr>
          <w:p w14:paraId="005479F9">
            <w:pPr>
              <w:pStyle w:val="145"/>
              <w:rPr>
                <w:rFonts w:hint="default"/>
                <w:sz w:val="22"/>
                <w:szCs w:val="22"/>
                <w:lang w:val="en-US" w:eastAsia="zh-CN"/>
              </w:rPr>
            </w:pPr>
            <w:r>
              <w:rPr>
                <w:rFonts w:hint="eastAsia"/>
                <w:sz w:val="22"/>
                <w:szCs w:val="22"/>
                <w:lang w:val="en-US" w:eastAsia="zh-CN"/>
              </w:rPr>
              <w:t>0.178</w:t>
            </w:r>
          </w:p>
        </w:tc>
        <w:tc>
          <w:tcPr>
            <w:tcW w:w="636" w:type="pct"/>
            <w:tcBorders>
              <w:top w:val="single" w:color="000000" w:sz="4" w:space="0"/>
              <w:left w:val="single" w:color="000000" w:sz="4" w:space="0"/>
              <w:bottom w:val="single" w:color="000000" w:sz="4" w:space="0"/>
              <w:right w:val="single" w:color="000000" w:sz="4" w:space="0"/>
            </w:tcBorders>
            <w:vAlign w:val="top"/>
          </w:tcPr>
          <w:p w14:paraId="54492EA6">
            <w:pPr>
              <w:pStyle w:val="145"/>
              <w:rPr>
                <w:rFonts w:hint="eastAsia"/>
                <w:lang w:bidi="ar"/>
              </w:rPr>
            </w:pPr>
            <w:r>
              <w:rPr>
                <w:rFonts w:hint="eastAsia"/>
                <w:lang w:bidi="ar"/>
              </w:rPr>
              <w:t>适</w:t>
            </w:r>
          </w:p>
        </w:tc>
        <w:tc>
          <w:tcPr>
            <w:tcW w:w="502" w:type="pct"/>
            <w:tcBorders>
              <w:top w:val="single" w:color="000000" w:sz="4" w:space="0"/>
              <w:left w:val="single" w:color="000000" w:sz="4" w:space="0"/>
              <w:bottom w:val="single" w:color="000000" w:sz="4" w:space="0"/>
              <w:right w:val="single" w:color="000000" w:sz="4" w:space="0"/>
            </w:tcBorders>
            <w:vAlign w:val="top"/>
          </w:tcPr>
          <w:p w14:paraId="12508689">
            <w:pPr>
              <w:pStyle w:val="145"/>
              <w:rPr>
                <w:rFonts w:hint="eastAsia"/>
                <w:lang w:bidi="ar"/>
              </w:rPr>
            </w:pPr>
            <w:r>
              <w:rPr>
                <w:rFonts w:hint="eastAsia"/>
                <w:lang w:bidi="ar"/>
              </w:rPr>
              <w:t>适</w:t>
            </w:r>
          </w:p>
        </w:tc>
        <w:tc>
          <w:tcPr>
            <w:tcW w:w="577" w:type="pct"/>
            <w:tcBorders>
              <w:top w:val="single" w:color="000000" w:sz="4" w:space="0"/>
              <w:left w:val="single" w:color="000000" w:sz="4" w:space="0"/>
              <w:bottom w:val="single" w:color="000000" w:sz="4" w:space="0"/>
              <w:right w:val="single" w:color="000000" w:sz="4" w:space="0"/>
            </w:tcBorders>
            <w:vAlign w:val="top"/>
          </w:tcPr>
          <w:p w14:paraId="18E29589">
            <w:pPr>
              <w:pStyle w:val="145"/>
              <w:rPr>
                <w:rFonts w:hint="eastAsia"/>
                <w:lang w:bidi="ar"/>
              </w:rPr>
            </w:pPr>
            <w:r>
              <w:rPr>
                <w:rFonts w:hint="eastAsia"/>
                <w:lang w:bidi="ar"/>
              </w:rPr>
              <w:t>适</w:t>
            </w:r>
          </w:p>
        </w:tc>
        <w:tc>
          <w:tcPr>
            <w:tcW w:w="1640" w:type="pct"/>
            <w:tcBorders>
              <w:top w:val="single" w:color="000000" w:sz="4" w:space="0"/>
              <w:left w:val="single" w:color="000000" w:sz="4" w:space="0"/>
              <w:bottom w:val="single" w:color="000000" w:sz="4" w:space="0"/>
              <w:right w:val="single" w:color="000000" w:sz="4" w:space="0"/>
            </w:tcBorders>
          </w:tcPr>
          <w:p w14:paraId="5CCEEF71">
            <w:pPr>
              <w:pStyle w:val="145"/>
              <w:rPr>
                <w:rFonts w:hint="eastAsia"/>
                <w:lang w:bidi="ar"/>
              </w:rPr>
            </w:pPr>
            <w:r>
              <w:rPr>
                <w:rFonts w:hint="eastAsia"/>
                <w:lang w:bidi="ar"/>
              </w:rPr>
              <w:t>地表组成物质、有效土层厚度等</w:t>
            </w:r>
          </w:p>
        </w:tc>
      </w:tr>
      <w:tr w14:paraId="57D1F990">
        <w:tblPrEx>
          <w:tblCellMar>
            <w:top w:w="56" w:type="dxa"/>
            <w:left w:w="117" w:type="dxa"/>
            <w:bottom w:w="0" w:type="dxa"/>
            <w:right w:w="120" w:type="dxa"/>
          </w:tblCellMar>
        </w:tblPrEx>
        <w:trPr>
          <w:trHeight w:val="329" w:hRule="atLeast"/>
        </w:trPr>
        <w:tc>
          <w:tcPr>
            <w:tcW w:w="1051" w:type="pct"/>
            <w:tcBorders>
              <w:top w:val="single" w:color="000000" w:sz="4" w:space="0"/>
              <w:left w:val="single" w:color="000000" w:sz="4" w:space="0"/>
              <w:bottom w:val="single" w:color="000000" w:sz="4" w:space="0"/>
              <w:right w:val="single" w:color="000000" w:sz="4" w:space="0"/>
            </w:tcBorders>
            <w:vAlign w:val="center"/>
          </w:tcPr>
          <w:p w14:paraId="7CE262E7">
            <w:pPr>
              <w:pStyle w:val="72"/>
              <w:ind w:firstLine="0" w:firstLineChars="0"/>
              <w:rPr>
                <w:lang w:bidi="ar"/>
              </w:rPr>
            </w:pPr>
            <w:r>
              <w:rPr>
                <w:rFonts w:hint="eastAsia" w:ascii="Times New Roman" w:hAnsi="Times New Roman"/>
                <w:lang w:eastAsia="zh-CN" w:bidi="ar"/>
              </w:rPr>
              <w:t>地裂缝</w:t>
            </w:r>
          </w:p>
        </w:tc>
        <w:tc>
          <w:tcPr>
            <w:tcW w:w="592" w:type="pct"/>
            <w:tcBorders>
              <w:top w:val="single" w:color="000000" w:sz="4" w:space="0"/>
              <w:left w:val="single" w:color="000000" w:sz="4" w:space="0"/>
              <w:bottom w:val="single" w:color="000000" w:sz="4" w:space="0"/>
              <w:right w:val="single" w:color="000000" w:sz="4" w:space="0"/>
            </w:tcBorders>
            <w:vAlign w:val="center"/>
          </w:tcPr>
          <w:p w14:paraId="13F93487">
            <w:pPr>
              <w:pStyle w:val="145"/>
              <w:rPr>
                <w:rFonts w:hint="eastAsia" w:eastAsia="仿宋_GB2312"/>
                <w:lang w:eastAsia="zh-CN" w:bidi="ar"/>
              </w:rPr>
            </w:pPr>
            <w:r>
              <w:rPr>
                <w:rFonts w:hint="eastAsia"/>
                <w:sz w:val="22"/>
                <w:szCs w:val="22"/>
                <w:lang w:val="en-US" w:eastAsia="zh-CN"/>
              </w:rPr>
              <w:t>0</w:t>
            </w:r>
          </w:p>
        </w:tc>
        <w:tc>
          <w:tcPr>
            <w:tcW w:w="636" w:type="pct"/>
            <w:tcBorders>
              <w:top w:val="single" w:color="000000" w:sz="4" w:space="0"/>
              <w:left w:val="single" w:color="000000" w:sz="4" w:space="0"/>
              <w:bottom w:val="single" w:color="000000" w:sz="4" w:space="0"/>
              <w:right w:val="single" w:color="000000" w:sz="4" w:space="0"/>
            </w:tcBorders>
          </w:tcPr>
          <w:p w14:paraId="5A60D537">
            <w:pPr>
              <w:pStyle w:val="145"/>
              <w:rPr>
                <w:lang w:bidi="ar"/>
              </w:rPr>
            </w:pPr>
            <w:r>
              <w:rPr>
                <w:rFonts w:hint="eastAsia"/>
                <w:lang w:bidi="ar"/>
              </w:rPr>
              <w:t>适</w:t>
            </w:r>
          </w:p>
        </w:tc>
        <w:tc>
          <w:tcPr>
            <w:tcW w:w="502" w:type="pct"/>
            <w:tcBorders>
              <w:top w:val="single" w:color="000000" w:sz="4" w:space="0"/>
              <w:left w:val="single" w:color="000000" w:sz="4" w:space="0"/>
              <w:bottom w:val="single" w:color="000000" w:sz="4" w:space="0"/>
              <w:right w:val="single" w:color="000000" w:sz="4" w:space="0"/>
            </w:tcBorders>
          </w:tcPr>
          <w:p w14:paraId="4FE08555">
            <w:pPr>
              <w:pStyle w:val="145"/>
              <w:rPr>
                <w:lang w:bidi="ar"/>
              </w:rPr>
            </w:pPr>
            <w:r>
              <w:rPr>
                <w:rFonts w:hint="eastAsia"/>
                <w:lang w:bidi="ar"/>
              </w:rPr>
              <w:t>适</w:t>
            </w:r>
          </w:p>
        </w:tc>
        <w:tc>
          <w:tcPr>
            <w:tcW w:w="577" w:type="pct"/>
            <w:tcBorders>
              <w:top w:val="single" w:color="000000" w:sz="4" w:space="0"/>
              <w:left w:val="single" w:color="000000" w:sz="4" w:space="0"/>
              <w:bottom w:val="single" w:color="000000" w:sz="4" w:space="0"/>
              <w:right w:val="single" w:color="000000" w:sz="4" w:space="0"/>
            </w:tcBorders>
          </w:tcPr>
          <w:p w14:paraId="7367EC5C">
            <w:pPr>
              <w:pStyle w:val="145"/>
              <w:rPr>
                <w:lang w:bidi="ar"/>
              </w:rPr>
            </w:pPr>
            <w:r>
              <w:rPr>
                <w:rFonts w:hint="eastAsia"/>
                <w:lang w:bidi="ar"/>
              </w:rPr>
              <w:t>适</w:t>
            </w:r>
          </w:p>
        </w:tc>
        <w:tc>
          <w:tcPr>
            <w:tcW w:w="1640" w:type="pct"/>
            <w:tcBorders>
              <w:top w:val="single" w:color="000000" w:sz="4" w:space="0"/>
              <w:left w:val="single" w:color="000000" w:sz="4" w:space="0"/>
              <w:bottom w:val="single" w:color="000000" w:sz="4" w:space="0"/>
              <w:right w:val="single" w:color="000000" w:sz="4" w:space="0"/>
            </w:tcBorders>
          </w:tcPr>
          <w:p w14:paraId="74E3877F">
            <w:pPr>
              <w:pStyle w:val="145"/>
              <w:rPr>
                <w:lang w:bidi="ar"/>
              </w:rPr>
            </w:pPr>
            <w:r>
              <w:rPr>
                <w:rFonts w:hint="eastAsia"/>
                <w:lang w:bidi="ar"/>
              </w:rPr>
              <w:t>地表组成物质、有效土层厚度等</w:t>
            </w:r>
          </w:p>
        </w:tc>
      </w:tr>
    </w:tbl>
    <w:p w14:paraId="306CF67D">
      <w:pPr>
        <w:pStyle w:val="78"/>
        <w:ind w:firstLine="560"/>
        <w:rPr>
          <w:rFonts w:cs="Times New Roman"/>
          <w:b/>
          <w:color w:val="auto"/>
          <w:szCs w:val="28"/>
        </w:rPr>
      </w:pPr>
    </w:p>
    <w:p w14:paraId="6772F8F4">
      <w:pPr>
        <w:ind w:firstLine="560"/>
        <w:jc w:val="both"/>
        <w:rPr>
          <w:bCs/>
          <w:szCs w:val="28"/>
        </w:rPr>
      </w:pPr>
      <w:r>
        <w:rPr>
          <w:bCs/>
          <w:szCs w:val="28"/>
        </w:rPr>
        <w:t>（9）适宜性评价的最终结论</w:t>
      </w:r>
    </w:p>
    <w:p w14:paraId="40C59895">
      <w:pPr>
        <w:ind w:firstLine="560"/>
        <w:jc w:val="both"/>
        <w:rPr>
          <w:szCs w:val="28"/>
        </w:rPr>
      </w:pPr>
      <w:r>
        <w:rPr>
          <w:szCs w:val="28"/>
        </w:rPr>
        <w:t>最终生态修复方向的确定需要综合考虑原有土地利用类型、生态环境、政策因素及土地权属人的意愿、当地居民的建议，并参考复垦标准、实际覆土厚度等；由初步生态修复方向定性分析结果可知，</w:t>
      </w:r>
      <w:r>
        <w:rPr>
          <w:rFonts w:hint="eastAsia"/>
          <w:szCs w:val="28"/>
          <w:lang w:val="en-US" w:eastAsia="zh-CN"/>
        </w:rPr>
        <w:t>全部复垦为乔木林地</w:t>
      </w:r>
      <w:r>
        <w:rPr>
          <w:rFonts w:hint="eastAsia"/>
          <w:szCs w:val="28"/>
          <w:lang w:eastAsia="zh-CN"/>
        </w:rPr>
        <w:t>，</w:t>
      </w:r>
      <w:r>
        <w:rPr>
          <w:rFonts w:hint="eastAsia"/>
          <w:szCs w:val="28"/>
        </w:rPr>
        <w:t>土地现状复垦</w:t>
      </w:r>
      <w:r>
        <w:rPr>
          <w:szCs w:val="28"/>
        </w:rPr>
        <w:t>符合《</w:t>
      </w:r>
      <w:r>
        <w:rPr>
          <w:rFonts w:hint="eastAsia"/>
          <w:szCs w:val="28"/>
          <w:lang w:eastAsia="zh-CN"/>
        </w:rPr>
        <w:t>通化市</w:t>
      </w:r>
      <w:r>
        <w:rPr>
          <w:rFonts w:hint="eastAsia"/>
          <w:szCs w:val="28"/>
        </w:rPr>
        <w:t>国土空间总体规划</w:t>
      </w:r>
      <w:r>
        <w:rPr>
          <w:szCs w:val="28"/>
        </w:rPr>
        <w:t>》。</w:t>
      </w:r>
    </w:p>
    <w:p w14:paraId="777B7434">
      <w:pPr>
        <w:ind w:firstLine="560"/>
        <w:jc w:val="both"/>
        <w:rPr>
          <w:rFonts w:hint="eastAsia" w:eastAsia="宋体"/>
          <w:szCs w:val="28"/>
          <w:lang w:eastAsia="zh-CN"/>
        </w:rPr>
      </w:pPr>
      <w:r>
        <w:rPr>
          <w:szCs w:val="28"/>
        </w:rPr>
        <w:t>据此确定生态修复面积</w:t>
      </w:r>
      <w:r>
        <w:rPr>
          <w:rFonts w:hint="eastAsia"/>
          <w:szCs w:val="28"/>
          <w:lang w:eastAsia="zh-CN"/>
        </w:rPr>
        <w:t>1.5288</w:t>
      </w:r>
      <w:r>
        <w:rPr>
          <w:szCs w:val="28"/>
        </w:rPr>
        <w:t>hm²，修复方向为</w:t>
      </w:r>
      <w:r>
        <w:rPr>
          <w:rFonts w:hint="eastAsia"/>
          <w:szCs w:val="28"/>
        </w:rPr>
        <w:t>乔木林地</w:t>
      </w:r>
      <w:r>
        <w:rPr>
          <w:rFonts w:hint="eastAsia"/>
          <w:szCs w:val="28"/>
          <w:lang w:eastAsia="zh-CN"/>
        </w:rPr>
        <w:t>1.5288</w:t>
      </w:r>
      <w:r>
        <w:rPr>
          <w:rFonts w:hint="eastAsia"/>
          <w:szCs w:val="28"/>
        </w:rPr>
        <w:t>hm</w:t>
      </w:r>
      <w:r>
        <w:rPr>
          <w:rFonts w:hint="eastAsia"/>
          <w:szCs w:val="28"/>
          <w:vertAlign w:val="superscript"/>
        </w:rPr>
        <w:t>2</w:t>
      </w:r>
      <w:r>
        <w:rPr>
          <w:szCs w:val="28"/>
        </w:rPr>
        <w:t>。</w:t>
      </w:r>
    </w:p>
    <w:p w14:paraId="5625D431">
      <w:pPr>
        <w:pStyle w:val="78"/>
        <w:ind w:firstLine="560"/>
        <w:rPr>
          <w:rFonts w:cs="Times New Roman"/>
          <w:b/>
          <w:color w:val="auto"/>
          <w:szCs w:val="28"/>
        </w:rPr>
      </w:pPr>
      <w:r>
        <w:rPr>
          <w:rFonts w:cs="Times New Roman"/>
          <w:b/>
          <w:color w:val="auto"/>
          <w:szCs w:val="28"/>
        </w:rPr>
        <w:t>表3-</w:t>
      </w:r>
      <w:r>
        <w:rPr>
          <w:rFonts w:hint="eastAsia" w:cs="Times New Roman"/>
          <w:b/>
          <w:color w:val="auto"/>
          <w:szCs w:val="28"/>
        </w:rPr>
        <w:t>2</w:t>
      </w:r>
      <w:r>
        <w:rPr>
          <w:rFonts w:hint="eastAsia" w:cs="Times New Roman"/>
          <w:b/>
          <w:color w:val="auto"/>
          <w:szCs w:val="28"/>
          <w:lang w:val="en-US" w:eastAsia="zh-CN"/>
        </w:rPr>
        <w:t>3</w:t>
      </w:r>
      <w:r>
        <w:rPr>
          <w:rFonts w:cs="Times New Roman"/>
          <w:b/>
          <w:color w:val="auto"/>
          <w:szCs w:val="28"/>
        </w:rPr>
        <w:t>生态修复适宜性评价结果表</w:t>
      </w:r>
    </w:p>
    <w:tbl>
      <w:tblPr>
        <w:tblStyle w:val="42"/>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130"/>
        <w:gridCol w:w="2493"/>
        <w:gridCol w:w="2160"/>
        <w:gridCol w:w="3588"/>
      </w:tblGrid>
      <w:tr w14:paraId="75F8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exact"/>
        </w:trPr>
        <w:tc>
          <w:tcPr>
            <w:tcW w:w="603" w:type="pct"/>
            <w:vAlign w:val="center"/>
          </w:tcPr>
          <w:p w14:paraId="46870B36">
            <w:pPr>
              <w:pStyle w:val="72"/>
              <w:rPr>
                <w:rFonts w:hint="eastAsia"/>
                <w:szCs w:val="21"/>
              </w:rPr>
            </w:pPr>
            <w:r>
              <w:rPr>
                <w:rFonts w:hint="eastAsia"/>
                <w:szCs w:val="21"/>
              </w:rPr>
              <w:t>序号</w:t>
            </w:r>
          </w:p>
        </w:tc>
        <w:tc>
          <w:tcPr>
            <w:tcW w:w="1330" w:type="pct"/>
            <w:vAlign w:val="center"/>
          </w:tcPr>
          <w:p w14:paraId="45C5FEB1">
            <w:pPr>
              <w:pStyle w:val="72"/>
              <w:rPr>
                <w:rFonts w:hint="eastAsia"/>
                <w:szCs w:val="21"/>
              </w:rPr>
            </w:pPr>
            <w:r>
              <w:rPr>
                <w:rFonts w:hint="eastAsia"/>
                <w:szCs w:val="21"/>
              </w:rPr>
              <w:t>评价单元</w:t>
            </w:r>
          </w:p>
        </w:tc>
        <w:tc>
          <w:tcPr>
            <w:tcW w:w="1150" w:type="pct"/>
            <w:vAlign w:val="center"/>
          </w:tcPr>
          <w:p w14:paraId="57C8B19A">
            <w:pPr>
              <w:pStyle w:val="72"/>
              <w:rPr>
                <w:rFonts w:hint="eastAsia"/>
                <w:szCs w:val="21"/>
              </w:rPr>
            </w:pPr>
            <w:r>
              <w:rPr>
                <w:rFonts w:hint="eastAsia"/>
                <w:szCs w:val="21"/>
              </w:rPr>
              <w:t>复垦方向</w:t>
            </w:r>
          </w:p>
        </w:tc>
        <w:tc>
          <w:tcPr>
            <w:tcW w:w="1914" w:type="pct"/>
            <w:vAlign w:val="center"/>
          </w:tcPr>
          <w:p w14:paraId="495250F6">
            <w:pPr>
              <w:pStyle w:val="72"/>
              <w:rPr>
                <w:rFonts w:hint="eastAsia"/>
                <w:szCs w:val="21"/>
              </w:rPr>
            </w:pPr>
            <w:r>
              <w:rPr>
                <w:rFonts w:hint="eastAsia"/>
                <w:szCs w:val="21"/>
              </w:rPr>
              <w:t>复垦面积（hm</w:t>
            </w:r>
            <w:r>
              <w:rPr>
                <w:rFonts w:ascii="Calibri" w:hAnsi="Calibri" w:cs="Calibri"/>
                <w:szCs w:val="21"/>
              </w:rPr>
              <w:t>²</w:t>
            </w:r>
            <w:r>
              <w:rPr>
                <w:rFonts w:hint="eastAsia" w:ascii="仿宋" w:hAnsi="仿宋" w:cs="仿宋"/>
                <w:szCs w:val="21"/>
              </w:rPr>
              <w:t>）</w:t>
            </w:r>
          </w:p>
        </w:tc>
      </w:tr>
      <w:tr w14:paraId="5AF4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exact"/>
        </w:trPr>
        <w:tc>
          <w:tcPr>
            <w:tcW w:w="603" w:type="pct"/>
            <w:vAlign w:val="center"/>
          </w:tcPr>
          <w:p w14:paraId="4019B527">
            <w:pPr>
              <w:pStyle w:val="145"/>
              <w:rPr>
                <w:rFonts w:hint="eastAsia"/>
                <w:sz w:val="22"/>
                <w:szCs w:val="22"/>
                <w:lang w:val="en-US" w:eastAsia="zh-CN"/>
              </w:rPr>
            </w:pPr>
            <w:r>
              <w:rPr>
                <w:rFonts w:hint="eastAsia"/>
                <w:sz w:val="22"/>
                <w:szCs w:val="22"/>
                <w:lang w:val="en-US" w:eastAsia="zh-CN"/>
              </w:rPr>
              <w:t>1</w:t>
            </w:r>
          </w:p>
        </w:tc>
        <w:tc>
          <w:tcPr>
            <w:tcW w:w="1330" w:type="pct"/>
            <w:vAlign w:val="center"/>
          </w:tcPr>
          <w:p w14:paraId="35477781">
            <w:pPr>
              <w:pStyle w:val="72"/>
              <w:rPr>
                <w:rFonts w:hint="default" w:ascii="Times New Roman" w:hAnsi="Times New Roman" w:eastAsia="仿宋" w:cs="Times New Roman"/>
                <w:szCs w:val="21"/>
                <w:lang w:val="en-US" w:eastAsia="zh-CN"/>
              </w:rPr>
            </w:pPr>
            <w:r>
              <w:rPr>
                <w:rFonts w:hint="default" w:ascii="Times New Roman" w:hAnsi="Times New Roman" w:cs="Times New Roman"/>
                <w:szCs w:val="21"/>
                <w:lang w:val="en-US" w:eastAsia="zh-CN"/>
              </w:rPr>
              <w:t>工业广场</w:t>
            </w:r>
          </w:p>
        </w:tc>
        <w:tc>
          <w:tcPr>
            <w:tcW w:w="1150" w:type="pct"/>
            <w:vAlign w:val="center"/>
          </w:tcPr>
          <w:p w14:paraId="11C05DA4">
            <w:pPr>
              <w:pStyle w:val="72"/>
              <w:rPr>
                <w:rFonts w:hint="eastAsia"/>
                <w:szCs w:val="21"/>
                <w:lang w:val="en-US" w:eastAsia="zh-CN"/>
              </w:rPr>
            </w:pPr>
            <w:r>
              <w:rPr>
                <w:rFonts w:hint="eastAsia"/>
                <w:szCs w:val="21"/>
                <w:lang w:val="en-US" w:eastAsia="zh-CN"/>
              </w:rPr>
              <w:t>乔木林地</w:t>
            </w:r>
          </w:p>
        </w:tc>
        <w:tc>
          <w:tcPr>
            <w:tcW w:w="1914" w:type="pct"/>
            <w:vAlign w:val="center"/>
          </w:tcPr>
          <w:p w14:paraId="1BD524E3">
            <w:pPr>
              <w:pStyle w:val="145"/>
              <w:rPr>
                <w:rFonts w:hint="default"/>
                <w:sz w:val="22"/>
                <w:szCs w:val="22"/>
                <w:lang w:val="en-US" w:eastAsia="zh-CN"/>
              </w:rPr>
            </w:pPr>
            <w:r>
              <w:rPr>
                <w:rFonts w:hint="eastAsia"/>
                <w:sz w:val="22"/>
                <w:szCs w:val="22"/>
                <w:lang w:val="en-US" w:eastAsia="zh-CN"/>
              </w:rPr>
              <w:t>0.3608</w:t>
            </w:r>
          </w:p>
        </w:tc>
      </w:tr>
      <w:tr w14:paraId="18C8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exact"/>
        </w:trPr>
        <w:tc>
          <w:tcPr>
            <w:tcW w:w="603" w:type="pct"/>
            <w:vAlign w:val="center"/>
          </w:tcPr>
          <w:p w14:paraId="598DC1B9">
            <w:pPr>
              <w:pStyle w:val="145"/>
              <w:rPr>
                <w:rFonts w:hint="eastAsia"/>
                <w:sz w:val="22"/>
                <w:szCs w:val="22"/>
                <w:lang w:val="en-US" w:eastAsia="zh-CN"/>
              </w:rPr>
            </w:pPr>
            <w:r>
              <w:rPr>
                <w:rFonts w:hint="eastAsia"/>
                <w:sz w:val="22"/>
                <w:szCs w:val="22"/>
                <w:lang w:val="en-US" w:eastAsia="zh-CN"/>
              </w:rPr>
              <w:t>2</w:t>
            </w:r>
          </w:p>
        </w:tc>
        <w:tc>
          <w:tcPr>
            <w:tcW w:w="1330" w:type="pct"/>
            <w:vAlign w:val="center"/>
          </w:tcPr>
          <w:p w14:paraId="2E4DCD1F">
            <w:pPr>
              <w:pStyle w:val="72"/>
              <w:rPr>
                <w:rFonts w:hint="default" w:ascii="Times New Roman" w:hAnsi="Times New Roman" w:eastAsia="仿宋" w:cs="Times New Roman"/>
                <w:szCs w:val="21"/>
                <w:lang w:val="en-US" w:eastAsia="zh-CN"/>
              </w:rPr>
            </w:pPr>
            <w:r>
              <w:rPr>
                <w:rFonts w:hint="default" w:ascii="Times New Roman" w:hAnsi="Times New Roman" w:cs="Times New Roman"/>
                <w:szCs w:val="21"/>
                <w:lang w:val="en-US" w:eastAsia="zh-CN"/>
              </w:rPr>
              <w:t>三处废弃平硐</w:t>
            </w:r>
          </w:p>
        </w:tc>
        <w:tc>
          <w:tcPr>
            <w:tcW w:w="1150" w:type="pct"/>
            <w:vAlign w:val="center"/>
          </w:tcPr>
          <w:p w14:paraId="79C2DBD9">
            <w:pPr>
              <w:pStyle w:val="72"/>
              <w:rPr>
                <w:rFonts w:hint="eastAsia"/>
                <w:szCs w:val="21"/>
                <w:lang w:val="en-US" w:eastAsia="zh-CN"/>
              </w:rPr>
            </w:pPr>
            <w:r>
              <w:rPr>
                <w:rFonts w:hint="eastAsia"/>
                <w:szCs w:val="21"/>
                <w:lang w:val="en-US" w:eastAsia="zh-CN"/>
              </w:rPr>
              <w:t>乔木林地</w:t>
            </w:r>
          </w:p>
        </w:tc>
        <w:tc>
          <w:tcPr>
            <w:tcW w:w="1914" w:type="pct"/>
            <w:vAlign w:val="center"/>
          </w:tcPr>
          <w:p w14:paraId="43791FE0">
            <w:pPr>
              <w:pStyle w:val="145"/>
              <w:rPr>
                <w:rFonts w:hint="eastAsia"/>
                <w:sz w:val="22"/>
                <w:szCs w:val="22"/>
                <w:lang w:val="en-US" w:eastAsia="zh-CN"/>
              </w:rPr>
            </w:pPr>
            <w:r>
              <w:rPr>
                <w:rFonts w:hint="eastAsia"/>
                <w:sz w:val="22"/>
                <w:szCs w:val="22"/>
                <w:lang w:val="en-US" w:eastAsia="zh-CN"/>
              </w:rPr>
              <w:t>0</w:t>
            </w:r>
          </w:p>
        </w:tc>
      </w:tr>
      <w:tr w14:paraId="76CF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exact"/>
        </w:trPr>
        <w:tc>
          <w:tcPr>
            <w:tcW w:w="603" w:type="pct"/>
            <w:vAlign w:val="center"/>
          </w:tcPr>
          <w:p w14:paraId="62DF2789">
            <w:pPr>
              <w:pStyle w:val="145"/>
              <w:rPr>
                <w:rFonts w:hint="default"/>
                <w:sz w:val="22"/>
                <w:szCs w:val="22"/>
                <w:lang w:val="en-US" w:eastAsia="zh-CN"/>
              </w:rPr>
            </w:pPr>
            <w:r>
              <w:rPr>
                <w:rFonts w:hint="eastAsia"/>
                <w:sz w:val="22"/>
                <w:szCs w:val="22"/>
                <w:lang w:val="en-US" w:eastAsia="zh-CN"/>
              </w:rPr>
              <w:t>3</w:t>
            </w:r>
          </w:p>
        </w:tc>
        <w:tc>
          <w:tcPr>
            <w:tcW w:w="1330" w:type="pct"/>
            <w:vAlign w:val="center"/>
          </w:tcPr>
          <w:p w14:paraId="25FC91B5">
            <w:pPr>
              <w:pStyle w:val="72"/>
              <w:rPr>
                <w:rFonts w:hint="default" w:ascii="Times New Roman" w:hAnsi="Times New Roman" w:eastAsia="仿宋" w:cs="Times New Roman"/>
                <w:szCs w:val="21"/>
                <w:lang w:val="en-US" w:eastAsia="zh-CN"/>
              </w:rPr>
            </w:pPr>
            <w:r>
              <w:rPr>
                <w:rFonts w:hint="default" w:ascii="Times New Roman" w:hAnsi="Times New Roman" w:cs="Times New Roman"/>
                <w:szCs w:val="21"/>
                <w:lang w:val="en-US" w:eastAsia="zh-CN"/>
              </w:rPr>
              <w:t>490m平硐工业广场</w:t>
            </w:r>
          </w:p>
        </w:tc>
        <w:tc>
          <w:tcPr>
            <w:tcW w:w="1150" w:type="pct"/>
            <w:vAlign w:val="center"/>
          </w:tcPr>
          <w:p w14:paraId="656E858C">
            <w:pPr>
              <w:pStyle w:val="72"/>
              <w:rPr>
                <w:rFonts w:hint="eastAsia"/>
                <w:szCs w:val="21"/>
                <w:lang w:val="en-US" w:eastAsia="zh-CN"/>
              </w:rPr>
            </w:pPr>
            <w:r>
              <w:rPr>
                <w:rFonts w:hint="eastAsia"/>
                <w:szCs w:val="21"/>
                <w:lang w:val="en-US" w:eastAsia="zh-CN"/>
              </w:rPr>
              <w:t>乔木林地</w:t>
            </w:r>
          </w:p>
        </w:tc>
        <w:tc>
          <w:tcPr>
            <w:tcW w:w="1914" w:type="pct"/>
            <w:vAlign w:val="center"/>
          </w:tcPr>
          <w:p w14:paraId="5C063FEC">
            <w:pPr>
              <w:pStyle w:val="145"/>
              <w:rPr>
                <w:rFonts w:hint="default"/>
                <w:sz w:val="22"/>
                <w:szCs w:val="22"/>
                <w:lang w:val="en-US" w:eastAsia="zh-CN"/>
              </w:rPr>
            </w:pPr>
            <w:r>
              <w:rPr>
                <w:rFonts w:hint="eastAsia"/>
                <w:sz w:val="22"/>
                <w:szCs w:val="22"/>
                <w:lang w:val="en-US" w:eastAsia="zh-CN"/>
              </w:rPr>
              <w:t>0.69</w:t>
            </w:r>
          </w:p>
        </w:tc>
      </w:tr>
      <w:tr w14:paraId="2487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exact"/>
        </w:trPr>
        <w:tc>
          <w:tcPr>
            <w:tcW w:w="603" w:type="pct"/>
            <w:vAlign w:val="center"/>
          </w:tcPr>
          <w:p w14:paraId="7E33CE67">
            <w:pPr>
              <w:pStyle w:val="145"/>
              <w:rPr>
                <w:rFonts w:hint="default"/>
                <w:sz w:val="22"/>
                <w:szCs w:val="22"/>
                <w:lang w:val="en-US" w:eastAsia="zh-CN"/>
              </w:rPr>
            </w:pPr>
            <w:r>
              <w:rPr>
                <w:rFonts w:hint="eastAsia"/>
                <w:sz w:val="22"/>
                <w:szCs w:val="22"/>
                <w:lang w:val="en-US" w:eastAsia="zh-CN"/>
              </w:rPr>
              <w:t>4</w:t>
            </w:r>
          </w:p>
        </w:tc>
        <w:tc>
          <w:tcPr>
            <w:tcW w:w="1330" w:type="pct"/>
            <w:vAlign w:val="center"/>
          </w:tcPr>
          <w:p w14:paraId="019ECA56">
            <w:pPr>
              <w:pStyle w:val="72"/>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520m平硐工业广场</w:t>
            </w:r>
          </w:p>
        </w:tc>
        <w:tc>
          <w:tcPr>
            <w:tcW w:w="1150" w:type="pct"/>
            <w:vAlign w:val="center"/>
          </w:tcPr>
          <w:p w14:paraId="2CFF4AA1">
            <w:pPr>
              <w:pStyle w:val="72"/>
              <w:rPr>
                <w:rFonts w:hint="eastAsia"/>
                <w:szCs w:val="21"/>
                <w:lang w:val="en-US" w:eastAsia="zh-CN"/>
              </w:rPr>
            </w:pPr>
            <w:r>
              <w:rPr>
                <w:rFonts w:hint="eastAsia"/>
                <w:szCs w:val="21"/>
                <w:lang w:val="en-US" w:eastAsia="zh-CN"/>
              </w:rPr>
              <w:t>乔木林地</w:t>
            </w:r>
          </w:p>
        </w:tc>
        <w:tc>
          <w:tcPr>
            <w:tcW w:w="1914" w:type="pct"/>
            <w:vAlign w:val="center"/>
          </w:tcPr>
          <w:p w14:paraId="2ECD95CE">
            <w:pPr>
              <w:pStyle w:val="145"/>
              <w:rPr>
                <w:rFonts w:hint="default"/>
                <w:sz w:val="22"/>
                <w:szCs w:val="22"/>
                <w:lang w:val="en-US" w:eastAsia="zh-CN"/>
              </w:rPr>
            </w:pPr>
            <w:r>
              <w:rPr>
                <w:rFonts w:hint="eastAsia"/>
                <w:sz w:val="22"/>
                <w:szCs w:val="22"/>
                <w:lang w:val="en-US" w:eastAsia="zh-CN"/>
              </w:rPr>
              <w:t>0.3</w:t>
            </w:r>
          </w:p>
        </w:tc>
      </w:tr>
      <w:tr w14:paraId="43EC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exact"/>
        </w:trPr>
        <w:tc>
          <w:tcPr>
            <w:tcW w:w="603" w:type="pct"/>
            <w:vAlign w:val="center"/>
          </w:tcPr>
          <w:p w14:paraId="1422ECB5">
            <w:pPr>
              <w:pStyle w:val="145"/>
              <w:rPr>
                <w:rFonts w:hint="default"/>
                <w:sz w:val="22"/>
                <w:szCs w:val="22"/>
                <w:lang w:val="en-US" w:eastAsia="zh-CN"/>
              </w:rPr>
            </w:pPr>
            <w:r>
              <w:rPr>
                <w:rFonts w:hint="eastAsia"/>
                <w:sz w:val="22"/>
                <w:szCs w:val="22"/>
                <w:lang w:val="en-US" w:eastAsia="zh-CN"/>
              </w:rPr>
              <w:t>5</w:t>
            </w:r>
          </w:p>
        </w:tc>
        <w:tc>
          <w:tcPr>
            <w:tcW w:w="1330" w:type="pct"/>
            <w:vAlign w:val="center"/>
          </w:tcPr>
          <w:p w14:paraId="4C8419A2">
            <w:pPr>
              <w:pStyle w:val="72"/>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548m平硐工业广场</w:t>
            </w:r>
          </w:p>
        </w:tc>
        <w:tc>
          <w:tcPr>
            <w:tcW w:w="1150" w:type="pct"/>
            <w:vAlign w:val="center"/>
          </w:tcPr>
          <w:p w14:paraId="51387ED1">
            <w:pPr>
              <w:pStyle w:val="72"/>
              <w:rPr>
                <w:rFonts w:hint="eastAsia"/>
                <w:szCs w:val="21"/>
                <w:lang w:val="en-US" w:eastAsia="zh-CN"/>
              </w:rPr>
            </w:pPr>
            <w:r>
              <w:rPr>
                <w:rFonts w:hint="eastAsia"/>
                <w:szCs w:val="21"/>
                <w:lang w:val="en-US" w:eastAsia="zh-CN"/>
              </w:rPr>
              <w:t>乔木林地</w:t>
            </w:r>
          </w:p>
        </w:tc>
        <w:tc>
          <w:tcPr>
            <w:tcW w:w="1914" w:type="pct"/>
            <w:vAlign w:val="center"/>
          </w:tcPr>
          <w:p w14:paraId="06F1D8FD">
            <w:pPr>
              <w:pStyle w:val="145"/>
              <w:rPr>
                <w:rFonts w:hint="default"/>
                <w:sz w:val="22"/>
                <w:szCs w:val="22"/>
                <w:lang w:val="en-US" w:eastAsia="zh-CN"/>
              </w:rPr>
            </w:pPr>
            <w:r>
              <w:rPr>
                <w:rFonts w:hint="eastAsia"/>
                <w:sz w:val="22"/>
                <w:szCs w:val="22"/>
                <w:lang w:val="en-US" w:eastAsia="zh-CN"/>
              </w:rPr>
              <w:t>0.178</w:t>
            </w:r>
          </w:p>
        </w:tc>
      </w:tr>
      <w:tr w14:paraId="11D5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exact"/>
        </w:trPr>
        <w:tc>
          <w:tcPr>
            <w:tcW w:w="603" w:type="pct"/>
            <w:vAlign w:val="center"/>
          </w:tcPr>
          <w:p w14:paraId="284488BE">
            <w:pPr>
              <w:pStyle w:val="145"/>
              <w:rPr>
                <w:rFonts w:hint="default"/>
                <w:sz w:val="22"/>
                <w:szCs w:val="22"/>
                <w:lang w:val="en-US" w:eastAsia="zh-CN"/>
              </w:rPr>
            </w:pPr>
            <w:r>
              <w:rPr>
                <w:rFonts w:hint="eastAsia"/>
                <w:sz w:val="22"/>
                <w:szCs w:val="22"/>
                <w:lang w:val="en-US" w:eastAsia="zh-CN"/>
              </w:rPr>
              <w:t>6</w:t>
            </w:r>
          </w:p>
        </w:tc>
        <w:tc>
          <w:tcPr>
            <w:tcW w:w="1330" w:type="pct"/>
            <w:vAlign w:val="center"/>
          </w:tcPr>
          <w:p w14:paraId="4FECFF33">
            <w:pPr>
              <w:pStyle w:val="72"/>
              <w:rPr>
                <w:rFonts w:hint="default"/>
                <w:szCs w:val="21"/>
                <w:lang w:val="en-US" w:eastAsia="zh-CN"/>
              </w:rPr>
            </w:pPr>
            <w:r>
              <w:rPr>
                <w:rFonts w:hint="eastAsia"/>
                <w:szCs w:val="21"/>
                <w:lang w:val="en-US" w:eastAsia="zh-CN"/>
              </w:rPr>
              <w:t>地裂缝</w:t>
            </w:r>
          </w:p>
        </w:tc>
        <w:tc>
          <w:tcPr>
            <w:tcW w:w="1150" w:type="pct"/>
            <w:vAlign w:val="center"/>
          </w:tcPr>
          <w:p w14:paraId="794EA0DA">
            <w:pPr>
              <w:pStyle w:val="72"/>
              <w:rPr>
                <w:rFonts w:hint="eastAsia"/>
                <w:szCs w:val="21"/>
                <w:lang w:val="en-US" w:eastAsia="zh-CN"/>
              </w:rPr>
            </w:pPr>
            <w:r>
              <w:rPr>
                <w:rFonts w:hint="eastAsia"/>
                <w:szCs w:val="21"/>
                <w:lang w:val="en-US" w:eastAsia="zh-CN"/>
              </w:rPr>
              <w:t>乔木林地</w:t>
            </w:r>
          </w:p>
        </w:tc>
        <w:tc>
          <w:tcPr>
            <w:tcW w:w="1914" w:type="pct"/>
            <w:vAlign w:val="center"/>
          </w:tcPr>
          <w:p w14:paraId="7459360D">
            <w:pPr>
              <w:pStyle w:val="145"/>
              <w:rPr>
                <w:rFonts w:hint="default"/>
                <w:sz w:val="22"/>
                <w:szCs w:val="22"/>
                <w:lang w:val="en-US" w:eastAsia="zh-CN"/>
              </w:rPr>
            </w:pPr>
            <w:r>
              <w:rPr>
                <w:rFonts w:hint="eastAsia"/>
                <w:sz w:val="22"/>
                <w:szCs w:val="22"/>
                <w:lang w:val="en-US" w:eastAsia="zh-CN"/>
              </w:rPr>
              <w:t>0</w:t>
            </w:r>
          </w:p>
        </w:tc>
      </w:tr>
      <w:tr w14:paraId="224D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exact"/>
        </w:trPr>
        <w:tc>
          <w:tcPr>
            <w:tcW w:w="3085" w:type="pct"/>
            <w:gridSpan w:val="3"/>
            <w:vAlign w:val="center"/>
          </w:tcPr>
          <w:p w14:paraId="044F1327">
            <w:pPr>
              <w:pStyle w:val="72"/>
              <w:rPr>
                <w:rFonts w:hint="eastAsia"/>
                <w:szCs w:val="21"/>
              </w:rPr>
            </w:pPr>
            <w:r>
              <w:rPr>
                <w:rFonts w:hint="eastAsia"/>
                <w:szCs w:val="21"/>
              </w:rPr>
              <w:t>合计</w:t>
            </w:r>
          </w:p>
        </w:tc>
        <w:tc>
          <w:tcPr>
            <w:tcW w:w="1914" w:type="pct"/>
            <w:vAlign w:val="center"/>
          </w:tcPr>
          <w:p w14:paraId="689E7723">
            <w:pPr>
              <w:pStyle w:val="145"/>
              <w:rPr>
                <w:rFonts w:hint="eastAsia"/>
                <w:sz w:val="22"/>
                <w:szCs w:val="22"/>
                <w:lang w:val="en-US" w:eastAsia="zh-CN"/>
              </w:rPr>
            </w:pPr>
            <w:r>
              <w:rPr>
                <w:rFonts w:hint="eastAsia"/>
                <w:sz w:val="22"/>
                <w:szCs w:val="22"/>
                <w:lang w:val="en-US" w:eastAsia="zh-CN"/>
              </w:rPr>
              <w:t>1.5288</w:t>
            </w:r>
          </w:p>
        </w:tc>
      </w:tr>
    </w:tbl>
    <w:p w14:paraId="57C2E9F5">
      <w:pPr>
        <w:pStyle w:val="5"/>
        <w:ind w:firstLine="562"/>
        <w:rPr>
          <w:bCs/>
        </w:rPr>
      </w:pPr>
      <w:r>
        <w:rPr>
          <w:bCs/>
        </w:rPr>
        <w:t>（三）边开采、边修复可行性分析</w:t>
      </w:r>
    </w:p>
    <w:p w14:paraId="7D371571">
      <w:pPr>
        <w:ind w:firstLine="560"/>
      </w:pPr>
      <w:r>
        <w:rPr>
          <w:rFonts w:hint="eastAsia"/>
        </w:rPr>
        <w:t>1.</w:t>
      </w:r>
      <w:r>
        <w:rPr>
          <w:rFonts w:hint="eastAsia"/>
          <w:lang w:val="en-US" w:eastAsia="zh-CN"/>
        </w:rPr>
        <w:t>工业广场及三处废弃平硐</w:t>
      </w:r>
      <w:r>
        <w:rPr>
          <w:rFonts w:hint="eastAsia"/>
        </w:rPr>
        <w:t>分析</w:t>
      </w:r>
    </w:p>
    <w:p w14:paraId="04945AB7">
      <w:pPr>
        <w:ind w:firstLine="560"/>
      </w:pPr>
      <w:r>
        <w:rPr>
          <w:rFonts w:hint="eastAsia"/>
          <w:lang w:val="en-US" w:eastAsia="zh-CN"/>
        </w:rPr>
        <w:t>二道滑石矿因为前期开采时产生工业广场和三处废弃平硐，工业广场后扩大后重新设立520m平硐广场，原工业广场占地面积0.3608</w:t>
      </w:r>
      <w:r>
        <w:rPr>
          <w:rFonts w:hint="eastAsia"/>
          <w:szCs w:val="28"/>
        </w:rPr>
        <w:t>hm</w:t>
      </w:r>
      <w:r>
        <w:rPr>
          <w:rFonts w:hint="eastAsia"/>
          <w:szCs w:val="28"/>
          <w:vertAlign w:val="superscript"/>
        </w:rPr>
        <w:t>2</w:t>
      </w:r>
      <w:r>
        <w:rPr>
          <w:rFonts w:hint="eastAsia"/>
          <w:szCs w:val="28"/>
          <w:vertAlign w:val="baseline"/>
          <w:lang w:eastAsia="zh-CN"/>
        </w:rPr>
        <w:t>，</w:t>
      </w:r>
      <w:r>
        <w:rPr>
          <w:rFonts w:hint="eastAsia"/>
          <w:szCs w:val="28"/>
          <w:vertAlign w:val="baseline"/>
          <w:lang w:val="en-US" w:eastAsia="zh-CN"/>
        </w:rPr>
        <w:t>矿山基础建设扩大0.3</w:t>
      </w:r>
      <w:r>
        <w:rPr>
          <w:rFonts w:hint="eastAsia"/>
          <w:szCs w:val="28"/>
        </w:rPr>
        <w:t>hm</w:t>
      </w:r>
      <w:r>
        <w:rPr>
          <w:rFonts w:hint="eastAsia"/>
          <w:szCs w:val="28"/>
          <w:vertAlign w:val="superscript"/>
        </w:rPr>
        <w:t>2</w:t>
      </w:r>
      <w:r>
        <w:rPr>
          <w:rFonts w:hint="eastAsia"/>
          <w:szCs w:val="28"/>
          <w:vertAlign w:val="baseline"/>
          <w:lang w:eastAsia="zh-CN"/>
        </w:rPr>
        <w:t>，</w:t>
      </w:r>
      <w:r>
        <w:rPr>
          <w:rFonts w:hint="eastAsia"/>
          <w:szCs w:val="28"/>
          <w:vertAlign w:val="baseline"/>
          <w:lang w:val="en-US" w:eastAsia="zh-CN"/>
        </w:rPr>
        <w:t>最后520m平硐广场区的面积为0.6608</w:t>
      </w:r>
      <w:r>
        <w:rPr>
          <w:rFonts w:hint="eastAsia"/>
          <w:szCs w:val="28"/>
        </w:rPr>
        <w:t>hm</w:t>
      </w:r>
      <w:r>
        <w:rPr>
          <w:rFonts w:hint="eastAsia"/>
          <w:szCs w:val="28"/>
          <w:vertAlign w:val="superscript"/>
        </w:rPr>
        <w:t>2</w:t>
      </w:r>
      <w:r>
        <w:rPr>
          <w:rFonts w:hint="eastAsia"/>
          <w:szCs w:val="28"/>
          <w:vertAlign w:val="baseline"/>
          <w:lang w:eastAsia="zh-CN"/>
        </w:rPr>
        <w:t>。</w:t>
      </w:r>
      <w:r>
        <w:rPr>
          <w:rFonts w:hint="eastAsia"/>
          <w:szCs w:val="28"/>
          <w:vertAlign w:val="baseline"/>
          <w:lang w:val="en-US" w:eastAsia="zh-CN"/>
        </w:rPr>
        <w:t>原来的三处废弃平硐</w:t>
      </w:r>
      <w:r>
        <w:t>工程</w:t>
      </w:r>
      <w:r>
        <w:rPr>
          <w:rFonts w:hint="eastAsia"/>
          <w:lang w:val="en-US" w:eastAsia="zh-CN"/>
        </w:rPr>
        <w:t>已经弃用，根据</w:t>
      </w:r>
      <w:r>
        <w:t>特性与安全要求，适宜采用“边开采、边治理”的生态修复模式。</w:t>
      </w:r>
    </w:p>
    <w:p w14:paraId="072E2ABF">
      <w:pPr>
        <w:ind w:firstLine="560"/>
      </w:pPr>
      <w:r>
        <w:rPr>
          <w:rFonts w:hint="eastAsia"/>
        </w:rPr>
        <w:t>（1）</w:t>
      </w:r>
      <w:r>
        <w:rPr>
          <w:rFonts w:hint="eastAsia"/>
          <w:lang w:eastAsia="zh-CN"/>
        </w:rPr>
        <w:t>滑石</w:t>
      </w:r>
      <w:r>
        <w:t>矿工业广场的核心功能是为井下开采提供持续、稳定、不间断的支撑服务，其运营具有刚性、全天候、不可中断的特点</w:t>
      </w:r>
      <w:r>
        <w:rPr>
          <w:rFonts w:hint="eastAsia"/>
        </w:rPr>
        <w:t>；</w:t>
      </w:r>
    </w:p>
    <w:p w14:paraId="7349E217">
      <w:pPr>
        <w:ind w:firstLine="560"/>
      </w:pPr>
      <w:r>
        <w:rPr>
          <w:rFonts w:hint="eastAsia"/>
        </w:rPr>
        <w:t>（2）</w:t>
      </w:r>
      <w:r>
        <w:t>工业广场内的建（构）筑物与基础设施多为刚性结构，对地表沉降、差异沉降、地基扰动等采动影响极为敏感。而“边开采、边治理”模式下，治理施工与采动影响的双重作用，将引发一系列不可控的重大工程安全风险</w:t>
      </w:r>
      <w:r>
        <w:rPr>
          <w:rFonts w:hint="eastAsia"/>
        </w:rPr>
        <w:t>；</w:t>
      </w:r>
    </w:p>
    <w:p w14:paraId="5BF434CA">
      <w:pPr>
        <w:ind w:firstLine="560"/>
      </w:pPr>
      <w:r>
        <w:rPr>
          <w:rFonts w:hint="eastAsia"/>
        </w:rPr>
        <w:t>（3）工业广场内人员密集、设备众多、作业频繁，若在开采过程中同步开展生态修复施工，将形成生产作业与治理施工的交叉作业场景，进一步增加安全风险。</w:t>
      </w:r>
    </w:p>
    <w:p w14:paraId="4647D8A0">
      <w:pPr>
        <w:ind w:firstLine="560"/>
        <w:rPr>
          <w:rFonts w:hint="eastAsia" w:ascii="宋体" w:hAnsi="宋体" w:cs="宋体"/>
          <w:szCs w:val="28"/>
        </w:rPr>
      </w:pPr>
      <w:r>
        <w:rPr>
          <w:rFonts w:hint="eastAsia"/>
        </w:rPr>
        <w:t>综上，</w:t>
      </w:r>
      <w:r>
        <w:rPr>
          <w:rFonts w:hint="eastAsia"/>
          <w:lang w:val="en-US" w:eastAsia="zh-CN"/>
        </w:rPr>
        <w:t>原来三处废弃平硐</w:t>
      </w:r>
      <w:r>
        <w:rPr>
          <w:rFonts w:hint="eastAsia" w:ascii="宋体" w:hAnsi="宋体" w:cs="宋体"/>
          <w:szCs w:val="28"/>
        </w:rPr>
        <w:t>适宜边开采、边修复</w:t>
      </w:r>
      <w:r>
        <w:rPr>
          <w:rFonts w:hint="eastAsia" w:ascii="宋体" w:hAnsi="宋体" w:cs="宋体"/>
        </w:rPr>
        <w:t>，</w:t>
      </w:r>
      <w:r>
        <w:rPr>
          <w:rFonts w:hint="eastAsia" w:ascii="宋体" w:hAnsi="宋体" w:cs="宋体"/>
          <w:lang w:val="en-US" w:eastAsia="zh-CN"/>
        </w:rPr>
        <w:t>工业广场和490m平硐工业广场、520m平硐工业广场及548m平硐工业广场</w:t>
      </w:r>
      <w:r>
        <w:rPr>
          <w:rFonts w:hint="eastAsia"/>
        </w:rPr>
        <w:t>本《方案》对其采取闭坑后</w:t>
      </w:r>
      <w:r>
        <w:t>整体生态修复</w:t>
      </w:r>
      <w:r>
        <w:rPr>
          <w:rFonts w:hint="eastAsia"/>
        </w:rPr>
        <w:t>的方式进行治理。</w:t>
      </w:r>
    </w:p>
    <w:p w14:paraId="7C090B6F">
      <w:pPr>
        <w:ind w:firstLine="560"/>
      </w:pPr>
      <w:r>
        <w:rPr>
          <w:rFonts w:hint="eastAsia"/>
        </w:rPr>
        <w:t>2.</w:t>
      </w:r>
      <w:r>
        <w:rPr>
          <w:rFonts w:hint="eastAsia"/>
          <w:lang w:eastAsia="zh-CN"/>
        </w:rPr>
        <w:t>地裂缝</w:t>
      </w:r>
      <w:r>
        <w:rPr>
          <w:rFonts w:hint="eastAsia"/>
        </w:rPr>
        <w:t>分析</w:t>
      </w:r>
    </w:p>
    <w:p w14:paraId="14F0E7F7">
      <w:pPr>
        <w:ind w:firstLine="560"/>
        <w:rPr>
          <w:szCs w:val="28"/>
        </w:rPr>
      </w:pPr>
      <w:r>
        <w:t>与</w:t>
      </w:r>
      <w:r>
        <w:rPr>
          <w:rFonts w:hint="eastAsia"/>
          <w:lang w:eastAsia="zh-CN"/>
        </w:rPr>
        <w:t>工业广场、三处废弃</w:t>
      </w:r>
      <w:r>
        <w:rPr>
          <w:rFonts w:hint="eastAsia"/>
          <w:lang w:val="en-US" w:eastAsia="zh-CN"/>
        </w:rPr>
        <w:t>平硐</w:t>
      </w:r>
      <w:r>
        <w:t>治理区域不同，</w:t>
      </w:r>
      <w:r>
        <w:rPr>
          <w:rFonts w:hint="eastAsia"/>
        </w:rPr>
        <w:t>矿区</w:t>
      </w:r>
      <w:r>
        <w:t>范围内的</w:t>
      </w:r>
      <w:r>
        <w:rPr>
          <w:rFonts w:hint="eastAsia"/>
          <w:lang w:val="en-US" w:eastAsia="zh-CN"/>
        </w:rPr>
        <w:t>地裂缝</w:t>
      </w:r>
      <w:r>
        <w:rPr>
          <w:rFonts w:hint="eastAsia"/>
        </w:rPr>
        <w:t>为</w:t>
      </w:r>
      <w:r>
        <w:t>柔性治理区域</w:t>
      </w:r>
      <w:r>
        <w:rPr>
          <w:rFonts w:hint="eastAsia"/>
        </w:rPr>
        <w:t>，</w:t>
      </w:r>
      <w:r>
        <w:rPr>
          <w:rFonts w:hint="eastAsia"/>
          <w:szCs w:val="28"/>
        </w:rPr>
        <w:t>塌陷区范围内主要为旱乔木林地</w:t>
      </w:r>
      <w:r>
        <w:rPr>
          <w:rFonts w:hint="eastAsia"/>
          <w:szCs w:val="28"/>
          <w:lang w:eastAsia="zh-CN"/>
        </w:rPr>
        <w:t>，</w:t>
      </w:r>
      <w:r>
        <w:rPr>
          <w:rFonts w:hint="eastAsia"/>
          <w:szCs w:val="28"/>
        </w:rPr>
        <w:t>核心功能是承载生态系统或农业生产，故</w:t>
      </w:r>
      <w:r>
        <w:rPr>
          <w:szCs w:val="28"/>
        </w:rPr>
        <w:t>修复作业可在不影响井下核心生产的前提下</w:t>
      </w:r>
      <w:r>
        <w:rPr>
          <w:rFonts w:hint="eastAsia"/>
          <w:szCs w:val="28"/>
        </w:rPr>
        <w:t>开展</w:t>
      </w:r>
      <w:r>
        <w:rPr>
          <w:szCs w:val="28"/>
        </w:rPr>
        <w:t>，</w:t>
      </w:r>
      <w:r>
        <w:rPr>
          <w:rFonts w:hint="eastAsia"/>
          <w:szCs w:val="28"/>
        </w:rPr>
        <w:t>且能及时消除或降低</w:t>
      </w:r>
      <w:r>
        <w:rPr>
          <w:rFonts w:hint="eastAsia"/>
          <w:szCs w:val="28"/>
          <w:lang w:val="en-US" w:eastAsia="zh-CN"/>
        </w:rPr>
        <w:t>地裂缝对</w:t>
      </w:r>
      <w:r>
        <w:rPr>
          <w:rFonts w:hint="eastAsia"/>
          <w:szCs w:val="28"/>
        </w:rPr>
        <w:t>农作物造成的不良影响，适宜“边开采、边修复”模式。</w:t>
      </w:r>
    </w:p>
    <w:p w14:paraId="6B964AD2">
      <w:pPr>
        <w:ind w:firstLine="560"/>
        <w:rPr>
          <w:szCs w:val="28"/>
        </w:rPr>
      </w:pPr>
      <w:r>
        <w:rPr>
          <w:rFonts w:hint="eastAsia"/>
          <w:szCs w:val="28"/>
        </w:rPr>
        <w:t>综上，</w:t>
      </w:r>
      <w:r>
        <w:rPr>
          <w:rFonts w:hint="eastAsia"/>
          <w:szCs w:val="28"/>
          <w:lang w:eastAsia="zh-CN"/>
        </w:rPr>
        <w:t>二道滑石矿</w:t>
      </w:r>
      <w:r>
        <w:rPr>
          <w:rFonts w:hint="eastAsia"/>
          <w:szCs w:val="28"/>
          <w:lang w:val="en-US" w:eastAsia="zh-CN"/>
        </w:rPr>
        <w:t>三处废弃平硐和</w:t>
      </w:r>
      <w:r>
        <w:rPr>
          <w:rFonts w:hint="eastAsia"/>
          <w:szCs w:val="28"/>
          <w:lang w:eastAsia="zh-CN"/>
        </w:rPr>
        <w:t>地裂缝</w:t>
      </w:r>
      <w:r>
        <w:rPr>
          <w:szCs w:val="28"/>
        </w:rPr>
        <w:t>“边开采、边</w:t>
      </w:r>
      <w:r>
        <w:rPr>
          <w:rFonts w:hint="eastAsia"/>
          <w:szCs w:val="28"/>
        </w:rPr>
        <w:t>修复</w:t>
      </w:r>
      <w:r>
        <w:rPr>
          <w:szCs w:val="28"/>
        </w:rPr>
        <w:t>”模式具备充分的可行性</w:t>
      </w:r>
      <w:r>
        <w:rPr>
          <w:rFonts w:hint="eastAsia"/>
          <w:szCs w:val="28"/>
        </w:rPr>
        <w:t>；</w:t>
      </w:r>
      <w:r>
        <w:rPr>
          <w:rFonts w:hint="eastAsia"/>
        </w:rPr>
        <w:t>工业广场</w:t>
      </w:r>
      <w:r>
        <w:rPr>
          <w:rFonts w:hint="eastAsia"/>
          <w:lang w:eastAsia="zh-CN"/>
        </w:rPr>
        <w:t>、</w:t>
      </w:r>
      <w:r>
        <w:rPr>
          <w:rFonts w:hint="default" w:ascii="Times New Roman" w:hAnsi="Times New Roman" w:cs="Times New Roman"/>
          <w:lang w:val="en-US" w:eastAsia="zh-CN"/>
        </w:rPr>
        <w:t>490m</w:t>
      </w:r>
      <w:r>
        <w:rPr>
          <w:rFonts w:hint="eastAsia" w:ascii="宋体" w:hAnsi="宋体" w:cs="宋体"/>
          <w:lang w:val="en-US" w:eastAsia="zh-CN"/>
        </w:rPr>
        <w:t>平硐工业广场、</w:t>
      </w:r>
      <w:r>
        <w:rPr>
          <w:rFonts w:hint="eastAsia" w:ascii="Times New Roman" w:hAnsi="Times New Roman" w:cs="Times New Roman"/>
          <w:lang w:val="en-US" w:eastAsia="zh-CN"/>
        </w:rPr>
        <w:t>520m</w:t>
      </w:r>
      <w:r>
        <w:rPr>
          <w:rFonts w:hint="eastAsia" w:ascii="宋体" w:hAnsi="宋体" w:cs="宋体"/>
          <w:lang w:val="en-US" w:eastAsia="zh-CN"/>
        </w:rPr>
        <w:t>平硐工业广场及</w:t>
      </w:r>
      <w:r>
        <w:rPr>
          <w:rFonts w:hint="eastAsia" w:ascii="Times New Roman" w:hAnsi="Times New Roman" w:cs="Times New Roman"/>
          <w:lang w:val="en-US" w:eastAsia="zh-CN"/>
        </w:rPr>
        <w:t>548m</w:t>
      </w:r>
      <w:r>
        <w:rPr>
          <w:rFonts w:hint="eastAsia" w:ascii="宋体" w:hAnsi="宋体" w:cs="宋体"/>
          <w:lang w:val="en-US" w:eastAsia="zh-CN"/>
        </w:rPr>
        <w:t>平硐工业广场</w:t>
      </w:r>
      <w:r>
        <w:rPr>
          <w:rFonts w:hint="eastAsia"/>
        </w:rPr>
        <w:t>则不适宜</w:t>
      </w:r>
      <w:r>
        <w:rPr>
          <w:szCs w:val="28"/>
        </w:rPr>
        <w:t>。</w:t>
      </w:r>
    </w:p>
    <w:p w14:paraId="7FC14CED">
      <w:pPr>
        <w:pStyle w:val="4"/>
        <w:ind w:firstLine="602"/>
        <w:rPr>
          <w:rFonts w:ascii="Times New Roman" w:hAnsi="Times New Roman"/>
        </w:rPr>
      </w:pPr>
      <w:bookmarkStart w:id="145" w:name="_Toc219050286"/>
      <w:bookmarkStart w:id="146" w:name="_Toc211790761"/>
      <w:bookmarkStart w:id="147" w:name="_Toc215692447"/>
      <w:r>
        <w:rPr>
          <w:rFonts w:ascii="Times New Roman" w:hAnsi="Times New Roman"/>
        </w:rPr>
        <w:t>三、</w:t>
      </w:r>
      <w:bookmarkStart w:id="148" w:name="OLE_LINK34"/>
      <w:r>
        <w:rPr>
          <w:rFonts w:ascii="Times New Roman" w:hAnsi="Times New Roman"/>
        </w:rPr>
        <w:t>生态修复分区</w:t>
      </w:r>
      <w:bookmarkEnd w:id="148"/>
      <w:r>
        <w:rPr>
          <w:rFonts w:ascii="Times New Roman" w:hAnsi="Times New Roman"/>
        </w:rPr>
        <w:t>及修复时序安排</w:t>
      </w:r>
      <w:bookmarkEnd w:id="145"/>
      <w:bookmarkEnd w:id="146"/>
      <w:bookmarkEnd w:id="147"/>
    </w:p>
    <w:p w14:paraId="35B11D01">
      <w:pPr>
        <w:pStyle w:val="5"/>
        <w:ind w:firstLine="562"/>
      </w:pPr>
      <w:bookmarkStart w:id="149" w:name="_Toc211790762"/>
      <w:r>
        <w:t>（一）</w:t>
      </w:r>
      <w:bookmarkStart w:id="150" w:name="_Hlk211200738"/>
      <w:r>
        <w:t>生态修复</w:t>
      </w:r>
      <w:bookmarkStart w:id="151" w:name="OLE_LINK38"/>
      <w:r>
        <w:t>分区</w:t>
      </w:r>
      <w:bookmarkEnd w:id="149"/>
      <w:bookmarkEnd w:id="150"/>
      <w:bookmarkEnd w:id="151"/>
    </w:p>
    <w:p w14:paraId="569F0495">
      <w:pPr>
        <w:ind w:firstLine="560"/>
      </w:pPr>
      <w:r>
        <w:rPr>
          <w:szCs w:val="28"/>
        </w:rPr>
        <w:t>根据生态修复可行性分析结果及开采进度，结合现场调查，综合考虑修复区土地损毁程度、地表水、地下水环境等，并分析当地自然条件、社会条件、土地复垦类比分析和工程施工难易程度等情况，划分了生态修复分区，包括</w:t>
      </w:r>
      <w:r>
        <w:rPr>
          <w:rFonts w:hint="eastAsia"/>
          <w:lang w:eastAsia="zh-CN"/>
        </w:rPr>
        <w:t>工业广场、三处废弃</w:t>
      </w:r>
      <w:r>
        <w:rPr>
          <w:rFonts w:hint="eastAsia"/>
          <w:lang w:val="en-US" w:eastAsia="zh-CN"/>
        </w:rPr>
        <w:t>平硐</w:t>
      </w:r>
      <w:r>
        <w:rPr>
          <w:rFonts w:hint="eastAsia"/>
          <w:lang w:eastAsia="zh-CN"/>
        </w:rPr>
        <w:t>、</w:t>
      </w:r>
      <w:r>
        <w:rPr>
          <w:rFonts w:hint="default" w:ascii="Times New Roman" w:hAnsi="Times New Roman" w:cs="Times New Roman"/>
          <w:lang w:val="en-US" w:eastAsia="zh-CN"/>
        </w:rPr>
        <w:t>490m</w:t>
      </w:r>
      <w:r>
        <w:rPr>
          <w:rFonts w:hint="eastAsia" w:ascii="宋体" w:hAnsi="宋体" w:cs="宋体"/>
          <w:lang w:val="en-US" w:eastAsia="zh-CN"/>
        </w:rPr>
        <w:t>平硐工业广场、</w:t>
      </w:r>
      <w:r>
        <w:rPr>
          <w:rFonts w:hint="eastAsia" w:ascii="Times New Roman" w:hAnsi="Times New Roman" w:cs="Times New Roman"/>
          <w:lang w:val="en-US" w:eastAsia="zh-CN"/>
        </w:rPr>
        <w:t>520m</w:t>
      </w:r>
      <w:r>
        <w:rPr>
          <w:rFonts w:hint="eastAsia" w:ascii="宋体" w:hAnsi="宋体" w:cs="宋体"/>
          <w:lang w:val="en-US" w:eastAsia="zh-CN"/>
        </w:rPr>
        <w:t>平硐工业广场及</w:t>
      </w:r>
      <w:r>
        <w:rPr>
          <w:rFonts w:hint="eastAsia" w:ascii="Times New Roman" w:hAnsi="Times New Roman" w:cs="Times New Roman"/>
          <w:lang w:val="en-US" w:eastAsia="zh-CN"/>
        </w:rPr>
        <w:t>548m</w:t>
      </w:r>
      <w:r>
        <w:rPr>
          <w:rFonts w:hint="eastAsia" w:ascii="宋体" w:hAnsi="宋体" w:cs="宋体"/>
          <w:lang w:val="en-US" w:eastAsia="zh-CN"/>
        </w:rPr>
        <w:t>平硐工业广场、</w:t>
      </w:r>
      <w:r>
        <w:rPr>
          <w:rFonts w:hint="eastAsia"/>
          <w:lang w:eastAsia="zh-CN"/>
        </w:rPr>
        <w:t>地裂缝</w:t>
      </w:r>
      <w:r>
        <w:t>。</w:t>
      </w:r>
    </w:p>
    <w:p w14:paraId="743FA828">
      <w:pPr>
        <w:spacing w:line="240" w:lineRule="auto"/>
        <w:ind w:firstLine="0" w:firstLineChars="0"/>
        <w:jc w:val="center"/>
        <w:rPr>
          <w:rFonts w:hint="eastAsia" w:eastAsia="宋体"/>
          <w:lang w:eastAsia="zh-CN"/>
        </w:rPr>
      </w:pPr>
      <w:r>
        <w:rPr>
          <w:rFonts w:hint="eastAsia" w:eastAsia="宋体"/>
          <w:lang w:eastAsia="zh-CN"/>
        </w:rPr>
        <w:drawing>
          <wp:inline distT="0" distB="0" distL="114300" distR="114300">
            <wp:extent cx="5928360" cy="4742815"/>
            <wp:effectExtent l="0" t="0" r="15240" b="635"/>
            <wp:docPr id="19" name="图片 19" descr="工业广场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工业广场区"/>
                    <pic:cNvPicPr>
                      <a:picLocks noChangeAspect="1"/>
                    </pic:cNvPicPr>
                  </pic:nvPicPr>
                  <pic:blipFill>
                    <a:blip r:embed="rId34"/>
                    <a:stretch>
                      <a:fillRect/>
                    </a:stretch>
                  </pic:blipFill>
                  <pic:spPr>
                    <a:xfrm>
                      <a:off x="0" y="0"/>
                      <a:ext cx="5928360" cy="4742815"/>
                    </a:xfrm>
                    <a:prstGeom prst="rect">
                      <a:avLst/>
                    </a:prstGeom>
                  </pic:spPr>
                </pic:pic>
              </a:graphicData>
            </a:graphic>
          </wp:inline>
        </w:drawing>
      </w:r>
    </w:p>
    <w:p w14:paraId="4922EFE1">
      <w:pPr>
        <w:ind w:firstLine="420"/>
        <w:jc w:val="center"/>
        <w:rPr>
          <w:rFonts w:hint="eastAsia" w:ascii="黑体" w:hAnsi="黑体" w:eastAsia="黑体" w:cs="黑体"/>
          <w:sz w:val="21"/>
          <w:szCs w:val="21"/>
        </w:rPr>
      </w:pPr>
      <w:r>
        <w:rPr>
          <w:rFonts w:hint="eastAsia" w:ascii="黑体" w:hAnsi="黑体" w:eastAsia="黑体" w:cs="黑体"/>
          <w:sz w:val="21"/>
          <w:szCs w:val="21"/>
        </w:rPr>
        <w:t>图3-11</w:t>
      </w:r>
      <w:r>
        <w:rPr>
          <w:rFonts w:hint="eastAsia" w:ascii="黑体" w:hAnsi="黑体" w:eastAsia="黑体" w:cs="黑体"/>
          <w:sz w:val="21"/>
          <w:szCs w:val="21"/>
          <w:lang w:eastAsia="zh-CN"/>
        </w:rPr>
        <w:t>二道滑石矿</w:t>
      </w:r>
      <w:r>
        <w:rPr>
          <w:rFonts w:hint="eastAsia" w:ascii="黑体" w:hAnsi="黑体" w:eastAsia="黑体" w:cs="黑体"/>
          <w:sz w:val="21"/>
          <w:szCs w:val="21"/>
        </w:rPr>
        <w:t>矿区生态修复分区图</w:t>
      </w:r>
    </w:p>
    <w:p w14:paraId="26D9E522">
      <w:pPr>
        <w:ind w:firstLine="560"/>
        <w:sectPr>
          <w:pgSz w:w="11906" w:h="16838"/>
          <w:pgMar w:top="1134" w:right="1134" w:bottom="1134" w:left="1418" w:header="851" w:footer="567" w:gutter="0"/>
          <w:pgNumType w:fmt="decimal"/>
          <w:cols w:space="720" w:num="1"/>
          <w:docGrid w:type="linesAndChars" w:linePitch="381" w:charSpace="0"/>
        </w:sectPr>
      </w:pPr>
    </w:p>
    <w:p w14:paraId="66B28168">
      <w:pPr>
        <w:ind w:firstLine="560"/>
        <w:rPr>
          <w:color w:val="FF0000"/>
        </w:rPr>
      </w:pPr>
    </w:p>
    <w:p w14:paraId="691B6F03">
      <w:pPr>
        <w:pStyle w:val="78"/>
        <w:ind w:firstLine="560"/>
        <w:rPr>
          <w:rFonts w:cs="Times New Roman"/>
          <w:b/>
          <w:color w:val="auto"/>
          <w:szCs w:val="28"/>
        </w:rPr>
      </w:pPr>
      <w:r>
        <w:rPr>
          <w:rFonts w:cs="Times New Roman"/>
          <w:b/>
          <w:color w:val="auto"/>
          <w:szCs w:val="28"/>
        </w:rPr>
        <w:t>表3-</w:t>
      </w:r>
      <w:r>
        <w:rPr>
          <w:rFonts w:hint="eastAsia" w:cs="Times New Roman"/>
          <w:b/>
          <w:color w:val="auto"/>
          <w:szCs w:val="28"/>
        </w:rPr>
        <w:t>2</w:t>
      </w:r>
      <w:r>
        <w:rPr>
          <w:rFonts w:hint="eastAsia" w:cs="Times New Roman"/>
          <w:b/>
          <w:color w:val="auto"/>
          <w:szCs w:val="28"/>
          <w:lang w:val="en-US" w:eastAsia="zh-CN"/>
        </w:rPr>
        <w:t>4</w:t>
      </w:r>
      <w:r>
        <w:rPr>
          <w:rFonts w:cs="Times New Roman"/>
          <w:b/>
          <w:color w:val="auto"/>
          <w:szCs w:val="28"/>
        </w:rPr>
        <w:t>生态修复分区划分表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3"/>
        <w:gridCol w:w="2242"/>
        <w:gridCol w:w="4028"/>
        <w:gridCol w:w="3017"/>
        <w:gridCol w:w="2126"/>
      </w:tblGrid>
      <w:tr w14:paraId="4D4D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40" w:type="pct"/>
            <w:vMerge w:val="restart"/>
            <w:noWrap/>
            <w:vAlign w:val="center"/>
          </w:tcPr>
          <w:p w14:paraId="48D62587">
            <w:pPr>
              <w:pStyle w:val="72"/>
              <w:rPr>
                <w:rFonts w:hint="eastAsia"/>
              </w:rPr>
            </w:pPr>
            <w:r>
              <w:t>生态修复分区</w:t>
            </w:r>
          </w:p>
        </w:tc>
        <w:tc>
          <w:tcPr>
            <w:tcW w:w="758" w:type="pct"/>
            <w:vMerge w:val="restart"/>
            <w:noWrap/>
            <w:vAlign w:val="center"/>
          </w:tcPr>
          <w:p w14:paraId="5A6A99CD">
            <w:pPr>
              <w:pStyle w:val="72"/>
              <w:rPr>
                <w:rFonts w:hint="eastAsia"/>
              </w:rPr>
            </w:pPr>
            <w:r>
              <w:rPr>
                <w:rFonts w:hint="eastAsia"/>
              </w:rPr>
              <w:t>分区面积hm</w:t>
            </w:r>
            <w:r>
              <w:t>²</w:t>
            </w:r>
          </w:p>
        </w:tc>
        <w:tc>
          <w:tcPr>
            <w:tcW w:w="1362" w:type="pct"/>
            <w:noWrap/>
            <w:vAlign w:val="center"/>
          </w:tcPr>
          <w:p w14:paraId="183C869E">
            <w:pPr>
              <w:pStyle w:val="72"/>
              <w:rPr>
                <w:rFonts w:hint="eastAsia"/>
              </w:rPr>
            </w:pPr>
            <w:r>
              <w:rPr>
                <w:rFonts w:hint="eastAsia"/>
              </w:rPr>
              <w:t>土地类型及面积（hm</w:t>
            </w:r>
            <w:r>
              <w:t>²</w:t>
            </w:r>
            <w:r>
              <w:rPr>
                <w:rFonts w:hint="eastAsia"/>
              </w:rPr>
              <w:t>）　</w:t>
            </w:r>
          </w:p>
        </w:tc>
        <w:tc>
          <w:tcPr>
            <w:tcW w:w="1020" w:type="pct"/>
            <w:vMerge w:val="restart"/>
            <w:vAlign w:val="center"/>
          </w:tcPr>
          <w:p w14:paraId="24D644A1">
            <w:pPr>
              <w:pStyle w:val="72"/>
              <w:rPr>
                <w:rFonts w:hint="eastAsia"/>
              </w:rPr>
            </w:pPr>
            <w:r>
              <w:t>生态修复方向</w:t>
            </w:r>
          </w:p>
        </w:tc>
        <w:tc>
          <w:tcPr>
            <w:tcW w:w="718" w:type="pct"/>
            <w:vMerge w:val="restart"/>
            <w:vAlign w:val="center"/>
          </w:tcPr>
          <w:p w14:paraId="71C9C8EF">
            <w:pPr>
              <w:pStyle w:val="72"/>
              <w:rPr>
                <w:rFonts w:hint="eastAsia"/>
              </w:rPr>
            </w:pPr>
            <w:r>
              <w:t>生态修复面积（hm²）</w:t>
            </w:r>
          </w:p>
        </w:tc>
      </w:tr>
      <w:tr w14:paraId="40E9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40" w:type="pct"/>
            <w:vMerge w:val="continue"/>
            <w:noWrap/>
            <w:vAlign w:val="center"/>
          </w:tcPr>
          <w:p w14:paraId="37A7CD37">
            <w:pPr>
              <w:pStyle w:val="72"/>
              <w:rPr>
                <w:rFonts w:hint="eastAsia"/>
              </w:rPr>
            </w:pPr>
          </w:p>
        </w:tc>
        <w:tc>
          <w:tcPr>
            <w:tcW w:w="758" w:type="pct"/>
            <w:vMerge w:val="continue"/>
            <w:noWrap/>
            <w:vAlign w:val="center"/>
          </w:tcPr>
          <w:p w14:paraId="3B78995D">
            <w:pPr>
              <w:pStyle w:val="72"/>
              <w:rPr>
                <w:rFonts w:hint="eastAsia"/>
              </w:rPr>
            </w:pPr>
          </w:p>
        </w:tc>
        <w:tc>
          <w:tcPr>
            <w:tcW w:w="1362" w:type="pct"/>
            <w:noWrap/>
            <w:vAlign w:val="center"/>
          </w:tcPr>
          <w:p w14:paraId="123489B7">
            <w:pPr>
              <w:pStyle w:val="72"/>
              <w:rPr>
                <w:rFonts w:hint="eastAsia"/>
              </w:rPr>
            </w:pPr>
            <w:r>
              <w:rPr>
                <w:rFonts w:hint="eastAsia"/>
              </w:rPr>
              <w:t>0301乔木林地</w:t>
            </w:r>
          </w:p>
        </w:tc>
        <w:tc>
          <w:tcPr>
            <w:tcW w:w="1020" w:type="pct"/>
            <w:vMerge w:val="continue"/>
            <w:vAlign w:val="center"/>
          </w:tcPr>
          <w:p w14:paraId="4745810C">
            <w:pPr>
              <w:pStyle w:val="72"/>
              <w:rPr>
                <w:rFonts w:hint="eastAsia"/>
              </w:rPr>
            </w:pPr>
          </w:p>
        </w:tc>
        <w:tc>
          <w:tcPr>
            <w:tcW w:w="718" w:type="pct"/>
            <w:vMerge w:val="continue"/>
            <w:vAlign w:val="center"/>
          </w:tcPr>
          <w:p w14:paraId="417BA396">
            <w:pPr>
              <w:pStyle w:val="72"/>
              <w:rPr>
                <w:rFonts w:hint="eastAsia"/>
              </w:rPr>
            </w:pPr>
          </w:p>
        </w:tc>
      </w:tr>
      <w:tr w14:paraId="4131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40" w:type="pct"/>
            <w:noWrap/>
            <w:vAlign w:val="center"/>
          </w:tcPr>
          <w:p w14:paraId="63409E35">
            <w:pPr>
              <w:pStyle w:val="72"/>
              <w:rPr>
                <w:rFonts w:hint="eastAsia" w:eastAsia="仿宋"/>
                <w:lang w:eastAsia="zh-CN"/>
              </w:rPr>
            </w:pPr>
            <w:r>
              <w:rPr>
                <w:rFonts w:hint="eastAsia"/>
                <w:lang w:val="en-US" w:eastAsia="zh-CN"/>
              </w:rPr>
              <w:t>工业广场</w:t>
            </w:r>
          </w:p>
        </w:tc>
        <w:tc>
          <w:tcPr>
            <w:tcW w:w="758" w:type="pct"/>
            <w:noWrap/>
            <w:vAlign w:val="center"/>
          </w:tcPr>
          <w:p w14:paraId="41024A6B">
            <w:pPr>
              <w:pStyle w:val="72"/>
              <w:rPr>
                <w:rFonts w:hint="default" w:ascii="Times New Roman" w:hAnsi="Times New Roman" w:eastAsia="仿宋" w:cs="Times New Roman"/>
                <w:lang w:val="en-US" w:eastAsia="zh-CN"/>
              </w:rPr>
            </w:pPr>
            <w:r>
              <w:rPr>
                <w:rFonts w:hint="eastAsia" w:ascii="Times New Roman" w:hAnsi="Times New Roman" w:cs="Times New Roman"/>
                <w:lang w:val="en-US" w:eastAsia="zh-CN"/>
              </w:rPr>
              <w:t>0.3608</w:t>
            </w:r>
          </w:p>
        </w:tc>
        <w:tc>
          <w:tcPr>
            <w:tcW w:w="4028" w:type="dxa"/>
            <w:noWrap/>
            <w:vAlign w:val="center"/>
          </w:tcPr>
          <w:p w14:paraId="3CA03030">
            <w:pPr>
              <w:pStyle w:val="72"/>
              <w:ind w:firstLine="0" w:firstLineChars="0"/>
              <w:rPr>
                <w:rFonts w:hint="default" w:ascii="Times New Roman" w:hAnsi="Times New Roman" w:cs="Times New Roman"/>
              </w:rPr>
            </w:pPr>
            <w:r>
              <w:rPr>
                <w:rFonts w:hint="eastAsia" w:ascii="Times New Roman" w:hAnsi="Times New Roman" w:cs="Times New Roman"/>
                <w:lang w:val="en-US" w:eastAsia="zh-CN"/>
              </w:rPr>
              <w:t>0.3608</w:t>
            </w:r>
          </w:p>
        </w:tc>
        <w:tc>
          <w:tcPr>
            <w:tcW w:w="1020" w:type="pct"/>
            <w:vAlign w:val="center"/>
          </w:tcPr>
          <w:p w14:paraId="23DF4A6A">
            <w:pPr>
              <w:pStyle w:val="72"/>
              <w:rPr>
                <w:rFonts w:hint="eastAsia"/>
              </w:rPr>
            </w:pPr>
            <w:r>
              <w:rPr>
                <w:rFonts w:hint="eastAsia"/>
              </w:rPr>
              <w:t>乔木林地</w:t>
            </w:r>
          </w:p>
        </w:tc>
        <w:tc>
          <w:tcPr>
            <w:tcW w:w="2126" w:type="dxa"/>
            <w:vAlign w:val="center"/>
          </w:tcPr>
          <w:p w14:paraId="021F0115">
            <w:pPr>
              <w:pStyle w:val="72"/>
              <w:ind w:firstLine="0" w:firstLineChars="0"/>
              <w:rPr>
                <w:rFonts w:hint="eastAsia" w:ascii="Times New Roman" w:hAnsi="Times New Roman" w:cs="Times New Roman"/>
                <w:color w:val="000000"/>
                <w:lang w:eastAsia="zh-CN"/>
              </w:rPr>
            </w:pPr>
            <w:r>
              <w:rPr>
                <w:rFonts w:hint="eastAsia" w:ascii="Times New Roman" w:hAnsi="Times New Roman" w:cs="Times New Roman"/>
                <w:lang w:val="en-US" w:eastAsia="zh-CN"/>
              </w:rPr>
              <w:t>0.3608</w:t>
            </w:r>
          </w:p>
        </w:tc>
      </w:tr>
      <w:tr w14:paraId="2E5DF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40" w:type="pct"/>
            <w:noWrap/>
            <w:vAlign w:val="center"/>
          </w:tcPr>
          <w:p w14:paraId="2A71DCE7">
            <w:pPr>
              <w:pStyle w:val="72"/>
              <w:rPr>
                <w:rFonts w:hint="default" w:eastAsia="仿宋"/>
                <w:lang w:val="en-US" w:eastAsia="zh-CN"/>
              </w:rPr>
            </w:pPr>
            <w:r>
              <w:rPr>
                <w:rFonts w:hint="eastAsia"/>
                <w:lang w:val="en-US" w:eastAsia="zh-CN"/>
              </w:rPr>
              <w:t>三处废弃平硐</w:t>
            </w:r>
          </w:p>
        </w:tc>
        <w:tc>
          <w:tcPr>
            <w:tcW w:w="758" w:type="pct"/>
            <w:noWrap/>
            <w:vAlign w:val="center"/>
          </w:tcPr>
          <w:p w14:paraId="6D344602">
            <w:pPr>
              <w:pStyle w:val="72"/>
              <w:rPr>
                <w:rFonts w:hint="eastAsia" w:ascii="Times New Roman" w:hAnsi="Times New Roman" w:eastAsia="仿宋" w:cs="Times New Roman"/>
                <w:lang w:val="en-US" w:eastAsia="zh-CN"/>
              </w:rPr>
            </w:pPr>
            <w:r>
              <w:rPr>
                <w:rFonts w:hint="eastAsia" w:ascii="Times New Roman" w:hAnsi="Times New Roman" w:cs="Times New Roman"/>
                <w:lang w:val="en-US" w:eastAsia="zh-CN"/>
              </w:rPr>
              <w:t>0</w:t>
            </w:r>
          </w:p>
        </w:tc>
        <w:tc>
          <w:tcPr>
            <w:tcW w:w="4028" w:type="dxa"/>
            <w:noWrap/>
            <w:vAlign w:val="center"/>
          </w:tcPr>
          <w:p w14:paraId="186AE224">
            <w:pPr>
              <w:pStyle w:val="72"/>
              <w:ind w:firstLine="0" w:firstLineChars="0"/>
              <w:rPr>
                <w:rFonts w:hint="default" w:ascii="Times New Roman" w:hAnsi="Times New Roman" w:cs="Times New Roman"/>
              </w:rPr>
            </w:pPr>
            <w:r>
              <w:rPr>
                <w:rFonts w:hint="eastAsia" w:ascii="Times New Roman" w:hAnsi="Times New Roman" w:cs="Times New Roman"/>
                <w:lang w:val="en-US" w:eastAsia="zh-CN"/>
              </w:rPr>
              <w:t>0</w:t>
            </w:r>
          </w:p>
        </w:tc>
        <w:tc>
          <w:tcPr>
            <w:tcW w:w="1020" w:type="pct"/>
            <w:vAlign w:val="center"/>
          </w:tcPr>
          <w:p w14:paraId="6D2CEA23">
            <w:pPr>
              <w:pStyle w:val="72"/>
              <w:rPr>
                <w:rFonts w:hint="eastAsia"/>
              </w:rPr>
            </w:pPr>
            <w:r>
              <w:rPr>
                <w:rFonts w:hint="eastAsia"/>
              </w:rPr>
              <w:t>乔木林地</w:t>
            </w:r>
          </w:p>
        </w:tc>
        <w:tc>
          <w:tcPr>
            <w:tcW w:w="2126" w:type="dxa"/>
            <w:vAlign w:val="center"/>
          </w:tcPr>
          <w:p w14:paraId="18510DA6">
            <w:pPr>
              <w:pStyle w:val="72"/>
              <w:ind w:firstLine="0" w:firstLineChars="0"/>
              <w:rPr>
                <w:rFonts w:hint="eastAsia" w:ascii="Times New Roman" w:hAnsi="Times New Roman" w:cs="Times New Roman"/>
                <w:color w:val="000000"/>
                <w:lang w:eastAsia="zh-CN"/>
              </w:rPr>
            </w:pPr>
            <w:r>
              <w:rPr>
                <w:rFonts w:hint="eastAsia" w:ascii="Times New Roman" w:hAnsi="Times New Roman" w:cs="Times New Roman"/>
                <w:lang w:val="en-US" w:eastAsia="zh-CN"/>
              </w:rPr>
              <w:t>0</w:t>
            </w:r>
          </w:p>
        </w:tc>
      </w:tr>
      <w:tr w14:paraId="5975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40" w:type="pct"/>
            <w:noWrap/>
            <w:vAlign w:val="center"/>
          </w:tcPr>
          <w:p w14:paraId="65AFC016">
            <w:pPr>
              <w:pStyle w:val="72"/>
              <w:rPr>
                <w:rFonts w:hint="default" w:eastAsia="仿宋"/>
                <w:lang w:val="en-US" w:eastAsia="zh-CN"/>
              </w:rPr>
            </w:pPr>
            <w:r>
              <w:rPr>
                <w:rFonts w:hint="eastAsia"/>
                <w:lang w:val="en-US" w:eastAsia="zh-CN"/>
              </w:rPr>
              <w:t>490m平硐工业广场</w:t>
            </w:r>
          </w:p>
        </w:tc>
        <w:tc>
          <w:tcPr>
            <w:tcW w:w="758" w:type="pct"/>
            <w:noWrap/>
            <w:vAlign w:val="center"/>
          </w:tcPr>
          <w:p w14:paraId="22690108">
            <w:pPr>
              <w:pStyle w:val="72"/>
              <w:rPr>
                <w:rFonts w:hint="default" w:ascii="Times New Roman" w:hAnsi="Times New Roman" w:eastAsia="仿宋" w:cs="Times New Roman"/>
                <w:lang w:val="en-US" w:eastAsia="zh-CN"/>
              </w:rPr>
            </w:pPr>
            <w:r>
              <w:rPr>
                <w:rFonts w:hint="eastAsia" w:ascii="Times New Roman" w:hAnsi="Times New Roman" w:cs="Times New Roman"/>
                <w:lang w:val="en-US" w:eastAsia="zh-CN"/>
              </w:rPr>
              <w:t>0.69</w:t>
            </w:r>
          </w:p>
        </w:tc>
        <w:tc>
          <w:tcPr>
            <w:tcW w:w="4028" w:type="dxa"/>
            <w:noWrap/>
            <w:vAlign w:val="center"/>
          </w:tcPr>
          <w:p w14:paraId="535ABFA3">
            <w:pPr>
              <w:pStyle w:val="72"/>
              <w:ind w:firstLine="0" w:firstLineChars="0"/>
              <w:rPr>
                <w:rFonts w:hint="default" w:ascii="Times New Roman" w:hAnsi="Times New Roman" w:cs="Times New Roman"/>
              </w:rPr>
            </w:pPr>
            <w:r>
              <w:rPr>
                <w:rFonts w:hint="eastAsia" w:ascii="Times New Roman" w:hAnsi="Times New Roman" w:cs="Times New Roman"/>
                <w:lang w:val="en-US" w:eastAsia="zh-CN"/>
              </w:rPr>
              <w:t>0.69</w:t>
            </w:r>
          </w:p>
        </w:tc>
        <w:tc>
          <w:tcPr>
            <w:tcW w:w="1020" w:type="pct"/>
            <w:vAlign w:val="center"/>
          </w:tcPr>
          <w:p w14:paraId="1CB12D0E">
            <w:pPr>
              <w:pStyle w:val="72"/>
              <w:rPr>
                <w:rFonts w:hint="eastAsia"/>
              </w:rPr>
            </w:pPr>
            <w:r>
              <w:rPr>
                <w:rFonts w:hint="eastAsia"/>
              </w:rPr>
              <w:t>乔木林地</w:t>
            </w:r>
          </w:p>
        </w:tc>
        <w:tc>
          <w:tcPr>
            <w:tcW w:w="2126" w:type="dxa"/>
            <w:vAlign w:val="center"/>
          </w:tcPr>
          <w:p w14:paraId="2D69601F">
            <w:pPr>
              <w:pStyle w:val="72"/>
              <w:ind w:firstLine="0" w:firstLineChars="0"/>
              <w:rPr>
                <w:rFonts w:hint="eastAsia" w:ascii="Times New Roman" w:hAnsi="Times New Roman" w:cs="Times New Roman"/>
                <w:color w:val="000000"/>
                <w:lang w:eastAsia="zh-CN"/>
              </w:rPr>
            </w:pPr>
            <w:r>
              <w:rPr>
                <w:rFonts w:hint="eastAsia" w:ascii="Times New Roman" w:hAnsi="Times New Roman" w:cs="Times New Roman"/>
                <w:lang w:val="en-US" w:eastAsia="zh-CN"/>
              </w:rPr>
              <w:t>0.69</w:t>
            </w:r>
          </w:p>
        </w:tc>
      </w:tr>
      <w:tr w14:paraId="26BE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40" w:type="pct"/>
            <w:noWrap/>
            <w:vAlign w:val="center"/>
          </w:tcPr>
          <w:p w14:paraId="22E589E0">
            <w:pPr>
              <w:pStyle w:val="72"/>
              <w:rPr>
                <w:rFonts w:hint="eastAsia"/>
                <w:lang w:val="en-US" w:eastAsia="zh-CN"/>
              </w:rPr>
            </w:pPr>
            <w:r>
              <w:rPr>
                <w:rFonts w:hint="eastAsia"/>
                <w:lang w:val="en-US" w:eastAsia="zh-CN"/>
              </w:rPr>
              <w:t>520m平硐工业广场</w:t>
            </w:r>
          </w:p>
        </w:tc>
        <w:tc>
          <w:tcPr>
            <w:tcW w:w="758" w:type="pct"/>
            <w:noWrap/>
            <w:vAlign w:val="center"/>
          </w:tcPr>
          <w:p w14:paraId="7D88589A">
            <w:pPr>
              <w:pStyle w:val="72"/>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0.3</w:t>
            </w:r>
          </w:p>
        </w:tc>
        <w:tc>
          <w:tcPr>
            <w:tcW w:w="4028" w:type="dxa"/>
            <w:noWrap/>
            <w:vAlign w:val="center"/>
          </w:tcPr>
          <w:p w14:paraId="429C32C8">
            <w:pPr>
              <w:pStyle w:val="72"/>
              <w:ind w:firstLine="0" w:firstLineChars="0"/>
              <w:rPr>
                <w:rFonts w:hint="default" w:ascii="Times New Roman" w:hAnsi="Times New Roman" w:eastAsia="等线" w:cs="Times New Roman"/>
                <w:color w:val="000000"/>
                <w:lang w:eastAsia="zh-CN"/>
              </w:rPr>
            </w:pPr>
            <w:r>
              <w:rPr>
                <w:rFonts w:hint="eastAsia" w:ascii="Times New Roman" w:hAnsi="Times New Roman" w:cs="Times New Roman"/>
                <w:color w:val="000000"/>
                <w:lang w:val="en-US" w:eastAsia="zh-CN"/>
              </w:rPr>
              <w:t>0.3</w:t>
            </w:r>
          </w:p>
        </w:tc>
        <w:tc>
          <w:tcPr>
            <w:tcW w:w="1020" w:type="pct"/>
            <w:vAlign w:val="center"/>
          </w:tcPr>
          <w:p w14:paraId="44492A03">
            <w:pPr>
              <w:pStyle w:val="72"/>
              <w:rPr>
                <w:rFonts w:hint="eastAsia"/>
              </w:rPr>
            </w:pPr>
            <w:r>
              <w:rPr>
                <w:rFonts w:hint="eastAsia"/>
              </w:rPr>
              <w:t>乔木林地</w:t>
            </w:r>
          </w:p>
        </w:tc>
        <w:tc>
          <w:tcPr>
            <w:tcW w:w="2126" w:type="dxa"/>
            <w:vAlign w:val="center"/>
          </w:tcPr>
          <w:p w14:paraId="795A1941">
            <w:pPr>
              <w:pStyle w:val="72"/>
              <w:ind w:firstLine="0" w:firstLineChars="0"/>
              <w:rPr>
                <w:rFonts w:hint="eastAsia" w:ascii="Times New Roman" w:hAnsi="Times New Roman" w:cs="Times New Roman"/>
                <w:color w:val="000000"/>
                <w:lang w:eastAsia="zh-CN"/>
              </w:rPr>
            </w:pPr>
            <w:r>
              <w:rPr>
                <w:rFonts w:hint="eastAsia" w:ascii="Times New Roman" w:hAnsi="Times New Roman" w:cs="Times New Roman"/>
                <w:color w:val="000000"/>
                <w:lang w:val="en-US" w:eastAsia="zh-CN"/>
              </w:rPr>
              <w:t>0.3</w:t>
            </w:r>
          </w:p>
        </w:tc>
      </w:tr>
      <w:tr w14:paraId="280E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40" w:type="pct"/>
            <w:noWrap/>
            <w:vAlign w:val="center"/>
          </w:tcPr>
          <w:p w14:paraId="1A61D6D1">
            <w:pPr>
              <w:pStyle w:val="72"/>
              <w:rPr>
                <w:rFonts w:hint="eastAsia"/>
                <w:lang w:val="en-US" w:eastAsia="zh-CN"/>
              </w:rPr>
            </w:pPr>
            <w:r>
              <w:rPr>
                <w:rFonts w:hint="eastAsia"/>
                <w:lang w:val="en-US" w:eastAsia="zh-CN"/>
              </w:rPr>
              <w:t>548m平硐工业广场</w:t>
            </w:r>
          </w:p>
        </w:tc>
        <w:tc>
          <w:tcPr>
            <w:tcW w:w="758" w:type="pct"/>
            <w:noWrap/>
            <w:vAlign w:val="center"/>
          </w:tcPr>
          <w:p w14:paraId="393A58DC">
            <w:pPr>
              <w:pStyle w:val="72"/>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0.178</w:t>
            </w:r>
          </w:p>
        </w:tc>
        <w:tc>
          <w:tcPr>
            <w:tcW w:w="4028" w:type="dxa"/>
            <w:noWrap/>
            <w:vAlign w:val="center"/>
          </w:tcPr>
          <w:p w14:paraId="729688B4">
            <w:pPr>
              <w:pStyle w:val="72"/>
              <w:ind w:firstLine="0" w:firstLineChars="0"/>
              <w:rPr>
                <w:rFonts w:hint="default" w:ascii="Times New Roman" w:hAnsi="Times New Roman" w:eastAsia="等线" w:cs="Times New Roman"/>
                <w:color w:val="000000"/>
                <w:lang w:eastAsia="zh-CN"/>
              </w:rPr>
            </w:pPr>
            <w:r>
              <w:rPr>
                <w:rFonts w:hint="eastAsia" w:ascii="Times New Roman" w:hAnsi="Times New Roman" w:cs="Times New Roman"/>
                <w:color w:val="000000"/>
                <w:lang w:val="en-US" w:eastAsia="zh-CN"/>
              </w:rPr>
              <w:t>0.178</w:t>
            </w:r>
          </w:p>
        </w:tc>
        <w:tc>
          <w:tcPr>
            <w:tcW w:w="1020" w:type="pct"/>
            <w:vAlign w:val="center"/>
          </w:tcPr>
          <w:p w14:paraId="5A8DC2E0">
            <w:pPr>
              <w:pStyle w:val="72"/>
              <w:rPr>
                <w:rFonts w:hint="eastAsia"/>
              </w:rPr>
            </w:pPr>
            <w:r>
              <w:rPr>
                <w:rFonts w:hint="eastAsia"/>
              </w:rPr>
              <w:t>乔木林地</w:t>
            </w:r>
          </w:p>
        </w:tc>
        <w:tc>
          <w:tcPr>
            <w:tcW w:w="2126" w:type="dxa"/>
            <w:vAlign w:val="center"/>
          </w:tcPr>
          <w:p w14:paraId="3A9FBE0F">
            <w:pPr>
              <w:pStyle w:val="72"/>
              <w:ind w:firstLine="0" w:firstLineChars="0"/>
              <w:rPr>
                <w:rFonts w:hint="eastAsia" w:ascii="Times New Roman" w:hAnsi="Times New Roman" w:cs="Times New Roman"/>
                <w:color w:val="000000"/>
                <w:lang w:eastAsia="zh-CN"/>
              </w:rPr>
            </w:pPr>
            <w:r>
              <w:rPr>
                <w:rFonts w:hint="eastAsia" w:ascii="Times New Roman" w:hAnsi="Times New Roman" w:cs="Times New Roman"/>
                <w:color w:val="000000"/>
                <w:lang w:val="en-US" w:eastAsia="zh-CN"/>
              </w:rPr>
              <w:t>0.178</w:t>
            </w:r>
          </w:p>
        </w:tc>
      </w:tr>
      <w:tr w14:paraId="4E8E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40" w:type="pct"/>
            <w:noWrap/>
            <w:vAlign w:val="center"/>
          </w:tcPr>
          <w:p w14:paraId="1B681BC0">
            <w:pPr>
              <w:pStyle w:val="72"/>
              <w:rPr>
                <w:rFonts w:hint="default"/>
                <w:lang w:val="en-US" w:eastAsia="zh-CN"/>
              </w:rPr>
            </w:pPr>
            <w:r>
              <w:rPr>
                <w:rFonts w:hint="eastAsia"/>
                <w:lang w:val="en-US" w:eastAsia="zh-CN"/>
              </w:rPr>
              <w:t>地裂缝</w:t>
            </w:r>
          </w:p>
        </w:tc>
        <w:tc>
          <w:tcPr>
            <w:tcW w:w="758" w:type="pct"/>
            <w:noWrap/>
            <w:vAlign w:val="center"/>
          </w:tcPr>
          <w:p w14:paraId="17CC14A8">
            <w:pPr>
              <w:pStyle w:val="72"/>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0</w:t>
            </w:r>
          </w:p>
        </w:tc>
        <w:tc>
          <w:tcPr>
            <w:tcW w:w="4028" w:type="dxa"/>
            <w:noWrap/>
            <w:vAlign w:val="center"/>
          </w:tcPr>
          <w:p w14:paraId="6B855A98">
            <w:pPr>
              <w:pStyle w:val="72"/>
              <w:ind w:firstLine="0" w:firstLineChars="0"/>
              <w:rPr>
                <w:rFonts w:hint="default" w:ascii="Times New Roman" w:hAnsi="Times New Roman" w:eastAsia="等线" w:cs="Times New Roman"/>
                <w:color w:val="000000"/>
                <w:lang w:eastAsia="zh-CN"/>
              </w:rPr>
            </w:pPr>
            <w:r>
              <w:rPr>
                <w:rFonts w:hint="eastAsia" w:ascii="Times New Roman" w:hAnsi="Times New Roman" w:cs="Times New Roman"/>
                <w:color w:val="000000"/>
                <w:lang w:val="en-US" w:eastAsia="zh-CN"/>
              </w:rPr>
              <w:t>0</w:t>
            </w:r>
          </w:p>
        </w:tc>
        <w:tc>
          <w:tcPr>
            <w:tcW w:w="1020" w:type="pct"/>
            <w:vAlign w:val="center"/>
          </w:tcPr>
          <w:p w14:paraId="6B67029A">
            <w:pPr>
              <w:pStyle w:val="72"/>
              <w:rPr>
                <w:rFonts w:hint="eastAsia"/>
              </w:rPr>
            </w:pPr>
            <w:r>
              <w:rPr>
                <w:rFonts w:hint="eastAsia"/>
              </w:rPr>
              <w:t>乔木林地</w:t>
            </w:r>
          </w:p>
        </w:tc>
        <w:tc>
          <w:tcPr>
            <w:tcW w:w="2126" w:type="dxa"/>
            <w:vAlign w:val="center"/>
          </w:tcPr>
          <w:p w14:paraId="265DA13D">
            <w:pPr>
              <w:pStyle w:val="72"/>
              <w:ind w:firstLine="0" w:firstLineChars="0"/>
              <w:rPr>
                <w:rFonts w:hint="eastAsia" w:ascii="Times New Roman" w:hAnsi="Times New Roman" w:cs="Times New Roman"/>
                <w:color w:val="000000"/>
                <w:lang w:eastAsia="zh-CN"/>
              </w:rPr>
            </w:pPr>
            <w:r>
              <w:rPr>
                <w:rFonts w:hint="eastAsia" w:ascii="Times New Roman" w:hAnsi="Times New Roman" w:cs="Times New Roman"/>
                <w:color w:val="000000"/>
                <w:lang w:val="en-US" w:eastAsia="zh-CN"/>
              </w:rPr>
              <w:t>0</w:t>
            </w:r>
          </w:p>
        </w:tc>
      </w:tr>
      <w:tr w14:paraId="373A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40" w:type="pct"/>
            <w:noWrap/>
            <w:vAlign w:val="center"/>
          </w:tcPr>
          <w:p w14:paraId="05117A7F">
            <w:pPr>
              <w:pStyle w:val="72"/>
              <w:rPr>
                <w:rFonts w:hint="eastAsia"/>
              </w:rPr>
            </w:pPr>
            <w:r>
              <w:rPr>
                <w:rFonts w:hint="eastAsia"/>
              </w:rPr>
              <w:t>合计</w:t>
            </w:r>
          </w:p>
        </w:tc>
        <w:tc>
          <w:tcPr>
            <w:tcW w:w="758" w:type="pct"/>
            <w:noWrap/>
            <w:vAlign w:val="center"/>
          </w:tcPr>
          <w:p w14:paraId="0A950C91">
            <w:pPr>
              <w:pStyle w:val="72"/>
              <w:rPr>
                <w:rFonts w:hint="default" w:ascii="Times New Roman" w:hAnsi="Times New Roman" w:eastAsia="仿宋" w:cs="Times New Roman"/>
                <w:lang w:eastAsia="zh-CN"/>
              </w:rPr>
            </w:pPr>
            <w:r>
              <w:rPr>
                <w:rFonts w:hint="default" w:ascii="Times New Roman" w:hAnsi="Times New Roman" w:cs="Times New Roman"/>
                <w:color w:val="000000"/>
                <w:lang w:eastAsia="zh-CN"/>
              </w:rPr>
              <w:t>1.5288</w:t>
            </w:r>
          </w:p>
        </w:tc>
        <w:tc>
          <w:tcPr>
            <w:tcW w:w="4028" w:type="dxa"/>
            <w:noWrap/>
            <w:vAlign w:val="center"/>
          </w:tcPr>
          <w:p w14:paraId="7249EE0C">
            <w:pPr>
              <w:pStyle w:val="72"/>
              <w:ind w:firstLine="0" w:firstLineChars="0"/>
              <w:rPr>
                <w:rFonts w:hint="default" w:ascii="Times New Roman" w:hAnsi="Times New Roman" w:cs="Times New Roman"/>
              </w:rPr>
            </w:pPr>
            <w:r>
              <w:rPr>
                <w:rFonts w:hint="default" w:ascii="Times New Roman" w:hAnsi="Times New Roman" w:cs="Times New Roman"/>
                <w:color w:val="000000"/>
                <w:lang w:eastAsia="zh-CN"/>
              </w:rPr>
              <w:t>1.5288</w:t>
            </w:r>
          </w:p>
        </w:tc>
        <w:tc>
          <w:tcPr>
            <w:tcW w:w="1020" w:type="pct"/>
            <w:vAlign w:val="center"/>
          </w:tcPr>
          <w:p w14:paraId="0BF741C7">
            <w:pPr>
              <w:pStyle w:val="72"/>
              <w:rPr>
                <w:rFonts w:hint="eastAsia"/>
              </w:rPr>
            </w:pPr>
          </w:p>
        </w:tc>
        <w:tc>
          <w:tcPr>
            <w:tcW w:w="2126" w:type="dxa"/>
            <w:vAlign w:val="center"/>
          </w:tcPr>
          <w:p w14:paraId="1BF0C4FC">
            <w:pPr>
              <w:pStyle w:val="72"/>
              <w:ind w:firstLine="0" w:firstLineChars="0"/>
              <w:rPr>
                <w:rFonts w:hint="eastAsia" w:ascii="Times New Roman" w:hAnsi="Times New Roman" w:cs="Times New Roman"/>
                <w:color w:val="000000"/>
                <w:lang w:eastAsia="zh-CN"/>
              </w:rPr>
            </w:pPr>
            <w:r>
              <w:rPr>
                <w:rFonts w:hint="default" w:ascii="Times New Roman" w:hAnsi="Times New Roman" w:cs="Times New Roman"/>
                <w:color w:val="000000"/>
                <w:lang w:eastAsia="zh-CN"/>
              </w:rPr>
              <w:t>1.5288</w:t>
            </w:r>
          </w:p>
        </w:tc>
      </w:tr>
    </w:tbl>
    <w:p w14:paraId="41ECD8AE">
      <w:pPr>
        <w:pStyle w:val="78"/>
        <w:ind w:firstLine="560"/>
        <w:rPr>
          <w:rFonts w:cs="Times New Roman"/>
          <w:b/>
          <w:color w:val="auto"/>
          <w:szCs w:val="28"/>
        </w:rPr>
      </w:pPr>
    </w:p>
    <w:p w14:paraId="1038157B">
      <w:pPr>
        <w:pStyle w:val="78"/>
        <w:ind w:firstLine="560"/>
        <w:rPr>
          <w:rFonts w:cs="Times New Roman"/>
          <w:b/>
          <w:color w:val="auto"/>
          <w:szCs w:val="28"/>
        </w:rPr>
        <w:sectPr>
          <w:pgSz w:w="16838" w:h="11906" w:orient="landscape"/>
          <w:pgMar w:top="1418" w:right="1134" w:bottom="1134" w:left="1134" w:header="851" w:footer="567" w:gutter="0"/>
          <w:pgNumType w:fmt="decimal"/>
          <w:cols w:space="720" w:num="1"/>
          <w:docGrid w:type="linesAndChars" w:linePitch="381" w:charSpace="0"/>
        </w:sectPr>
      </w:pPr>
    </w:p>
    <w:p w14:paraId="2BC35ED8">
      <w:pPr>
        <w:keepNext/>
        <w:keepLines/>
        <w:spacing w:before="260" w:after="260"/>
        <w:ind w:firstLine="562"/>
        <w:outlineLvl w:val="2"/>
        <w:rPr>
          <w:b/>
          <w:szCs w:val="28"/>
        </w:rPr>
      </w:pPr>
      <w:bookmarkStart w:id="152" w:name="_Toc211790763"/>
      <w:r>
        <w:rPr>
          <w:b/>
          <w:szCs w:val="28"/>
        </w:rPr>
        <w:t>（二）修复时序安排</w:t>
      </w:r>
      <w:bookmarkEnd w:id="152"/>
    </w:p>
    <w:p w14:paraId="011A53E6">
      <w:pPr>
        <w:ind w:firstLine="560"/>
        <w:rPr>
          <w:szCs w:val="28"/>
        </w:rPr>
      </w:pPr>
      <w:r>
        <w:rPr>
          <w:szCs w:val="28"/>
        </w:rPr>
        <w:t>1.生态修复分区范围</w:t>
      </w:r>
    </w:p>
    <w:p w14:paraId="6A114058">
      <w:pPr>
        <w:ind w:firstLine="560"/>
        <w:rPr>
          <w:szCs w:val="28"/>
        </w:rPr>
      </w:pPr>
      <w:r>
        <w:rPr>
          <w:szCs w:val="28"/>
        </w:rPr>
        <w:t>根据生态修复分区结果，</w:t>
      </w:r>
      <w:r>
        <w:rPr>
          <w:rFonts w:hint="eastAsia"/>
          <w:szCs w:val="28"/>
          <w:lang w:eastAsia="zh-CN"/>
        </w:rPr>
        <w:t>二道滑石矿</w:t>
      </w:r>
      <w:r>
        <w:rPr>
          <w:szCs w:val="28"/>
        </w:rPr>
        <w:t>共</w:t>
      </w:r>
      <w:r>
        <w:rPr>
          <w:rFonts w:hint="eastAsia"/>
          <w:szCs w:val="28"/>
          <w:lang w:val="en-US" w:eastAsia="zh-CN"/>
        </w:rPr>
        <w:t>6</w:t>
      </w:r>
      <w:r>
        <w:rPr>
          <w:rFonts w:hint="eastAsia"/>
          <w:szCs w:val="28"/>
        </w:rPr>
        <w:t>个修复</w:t>
      </w:r>
      <w:r>
        <w:rPr>
          <w:szCs w:val="28"/>
        </w:rPr>
        <w:t>分区</w:t>
      </w:r>
      <w:r>
        <w:rPr>
          <w:rFonts w:hint="eastAsia"/>
          <w:szCs w:val="28"/>
        </w:rPr>
        <w:t>，</w:t>
      </w:r>
      <w:r>
        <w:rPr>
          <w:szCs w:val="28"/>
        </w:rPr>
        <w:t>按分区相邻位置关系，圈定拐点坐标如下：</w:t>
      </w:r>
    </w:p>
    <w:p w14:paraId="32DE6D1A">
      <w:pPr>
        <w:pStyle w:val="78"/>
        <w:ind w:firstLine="560"/>
        <w:rPr>
          <w:rFonts w:cs="Times New Roman"/>
          <w:b/>
          <w:color w:val="auto"/>
          <w:szCs w:val="28"/>
          <w:highlight w:val="none"/>
        </w:rPr>
      </w:pPr>
      <w:r>
        <w:rPr>
          <w:rFonts w:cs="Times New Roman"/>
          <w:b/>
          <w:color w:val="auto"/>
          <w:szCs w:val="28"/>
          <w:highlight w:val="none"/>
        </w:rPr>
        <w:t>表3-</w:t>
      </w:r>
      <w:r>
        <w:rPr>
          <w:rFonts w:hint="eastAsia" w:cs="Times New Roman"/>
          <w:b/>
          <w:color w:val="auto"/>
          <w:szCs w:val="28"/>
          <w:highlight w:val="none"/>
        </w:rPr>
        <w:t>2</w:t>
      </w:r>
      <w:r>
        <w:rPr>
          <w:rFonts w:hint="eastAsia" w:cs="Times New Roman"/>
          <w:b/>
          <w:color w:val="auto"/>
          <w:szCs w:val="28"/>
          <w:highlight w:val="none"/>
          <w:lang w:val="en-US" w:eastAsia="zh-CN"/>
        </w:rPr>
        <w:t>5</w:t>
      </w:r>
      <w:r>
        <w:rPr>
          <w:rFonts w:cs="Times New Roman"/>
          <w:b/>
          <w:color w:val="auto"/>
          <w:szCs w:val="28"/>
          <w:highlight w:val="none"/>
        </w:rPr>
        <w:t>矿区生态修复分区拐点坐标表</w:t>
      </w:r>
    </w:p>
    <w:tbl>
      <w:tblPr>
        <w:tblStyle w:val="4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6"/>
        <w:gridCol w:w="2096"/>
        <w:gridCol w:w="2096"/>
        <w:gridCol w:w="735"/>
        <w:gridCol w:w="2096"/>
        <w:gridCol w:w="2111"/>
      </w:tblGrid>
      <w:tr w14:paraId="648FF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5000" w:type="pct"/>
            <w:gridSpan w:val="6"/>
            <w:tcBorders>
              <w:top w:val="single" w:color="000000" w:sz="4" w:space="0"/>
              <w:left w:val="single" w:color="000000" w:sz="4" w:space="0"/>
              <w:bottom w:val="single" w:color="auto" w:sz="4" w:space="0"/>
            </w:tcBorders>
            <w:vAlign w:val="center"/>
          </w:tcPr>
          <w:p w14:paraId="1A0C4A6D">
            <w:pPr>
              <w:pStyle w:val="72"/>
              <w:rPr>
                <w:rFonts w:hint="default" w:ascii="Times New Roman" w:hAnsi="Times New Roman" w:cs="Times New Roman"/>
              </w:rPr>
            </w:pPr>
            <w:r>
              <w:rPr>
                <w:rFonts w:hint="default" w:ascii="Times New Roman" w:hAnsi="Times New Roman" w:cs="Times New Roman"/>
              </w:rPr>
              <w:t>2000国家大地坐标系</w:t>
            </w:r>
          </w:p>
        </w:tc>
      </w:tr>
      <w:tr w14:paraId="2026C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228" w:type="pct"/>
            <w:tcBorders>
              <w:top w:val="single" w:color="auto" w:sz="4" w:space="0"/>
              <w:left w:val="single" w:color="000000" w:sz="4" w:space="0"/>
              <w:bottom w:val="single" w:color="000000" w:sz="4" w:space="0"/>
              <w:right w:val="single" w:color="000000" w:sz="4" w:space="0"/>
            </w:tcBorders>
            <w:vAlign w:val="center"/>
          </w:tcPr>
          <w:p w14:paraId="01483D6C">
            <w:pPr>
              <w:pStyle w:val="72"/>
              <w:rPr>
                <w:rFonts w:hint="default" w:ascii="Times New Roman" w:hAnsi="Times New Roman" w:cs="Times New Roman"/>
              </w:rPr>
            </w:pPr>
            <w:r>
              <w:rPr>
                <w:rFonts w:hint="default" w:ascii="Times New Roman" w:hAnsi="Times New Roman" w:cs="Times New Roman"/>
              </w:rPr>
              <w:t>编号</w:t>
            </w:r>
          </w:p>
        </w:tc>
        <w:tc>
          <w:tcPr>
            <w:tcW w:w="1095" w:type="pct"/>
            <w:tcBorders>
              <w:top w:val="single" w:color="000000" w:sz="4" w:space="0"/>
              <w:left w:val="single" w:color="000000" w:sz="4" w:space="0"/>
              <w:bottom w:val="single" w:color="000000" w:sz="4" w:space="0"/>
              <w:right w:val="single" w:color="000000" w:sz="4" w:space="0"/>
            </w:tcBorders>
            <w:vAlign w:val="center"/>
          </w:tcPr>
          <w:p w14:paraId="4B690784">
            <w:pPr>
              <w:pStyle w:val="72"/>
              <w:rPr>
                <w:rFonts w:hint="default" w:ascii="Times New Roman" w:hAnsi="Times New Roman" w:cs="Times New Roman"/>
              </w:rPr>
            </w:pPr>
            <w:r>
              <w:rPr>
                <w:rFonts w:hint="default" w:ascii="Times New Roman" w:hAnsi="Times New Roman" w:cs="Times New Roman"/>
              </w:rPr>
              <w:t>X</w:t>
            </w:r>
          </w:p>
        </w:tc>
        <w:tc>
          <w:tcPr>
            <w:tcW w:w="1095" w:type="pct"/>
            <w:tcBorders>
              <w:top w:val="single" w:color="000000" w:sz="4" w:space="0"/>
              <w:left w:val="single" w:color="000000" w:sz="4" w:space="0"/>
              <w:bottom w:val="single" w:color="000000" w:sz="4" w:space="0"/>
              <w:right w:val="single" w:color="000000" w:sz="4" w:space="0"/>
            </w:tcBorders>
            <w:vAlign w:val="center"/>
          </w:tcPr>
          <w:p w14:paraId="17521E09">
            <w:pPr>
              <w:pStyle w:val="72"/>
              <w:rPr>
                <w:rFonts w:hint="default" w:ascii="Times New Roman" w:hAnsi="Times New Roman" w:cs="Times New Roman"/>
              </w:rPr>
            </w:pPr>
            <w:r>
              <w:rPr>
                <w:rFonts w:hint="default" w:ascii="Times New Roman" w:hAnsi="Times New Roman" w:cs="Times New Roman"/>
              </w:rPr>
              <w:t>Y</w:t>
            </w:r>
          </w:p>
        </w:tc>
        <w:tc>
          <w:tcPr>
            <w:tcW w:w="384" w:type="pct"/>
            <w:vAlign w:val="center"/>
          </w:tcPr>
          <w:p w14:paraId="4456FE5C">
            <w:pPr>
              <w:pStyle w:val="72"/>
              <w:rPr>
                <w:rFonts w:hint="default" w:ascii="Times New Roman" w:hAnsi="Times New Roman" w:cs="Times New Roman"/>
              </w:rPr>
            </w:pPr>
            <w:r>
              <w:rPr>
                <w:rFonts w:hint="default" w:ascii="Times New Roman" w:hAnsi="Times New Roman" w:cs="Times New Roman"/>
              </w:rPr>
              <w:t>编号</w:t>
            </w:r>
          </w:p>
        </w:tc>
        <w:tc>
          <w:tcPr>
            <w:tcW w:w="1095" w:type="pct"/>
            <w:vAlign w:val="center"/>
          </w:tcPr>
          <w:p w14:paraId="5868E703">
            <w:pPr>
              <w:pStyle w:val="72"/>
              <w:rPr>
                <w:rFonts w:hint="default" w:ascii="Times New Roman" w:hAnsi="Times New Roman" w:cs="Times New Roman"/>
              </w:rPr>
            </w:pPr>
            <w:r>
              <w:rPr>
                <w:rFonts w:hint="default" w:ascii="Times New Roman" w:hAnsi="Times New Roman" w:cs="Times New Roman"/>
              </w:rPr>
              <w:t>X</w:t>
            </w:r>
          </w:p>
        </w:tc>
        <w:tc>
          <w:tcPr>
            <w:tcW w:w="1101" w:type="pct"/>
            <w:vAlign w:val="center"/>
          </w:tcPr>
          <w:p w14:paraId="4B7344E4">
            <w:pPr>
              <w:pStyle w:val="72"/>
              <w:rPr>
                <w:rFonts w:hint="default" w:ascii="Times New Roman" w:hAnsi="Times New Roman" w:cs="Times New Roman"/>
              </w:rPr>
            </w:pPr>
            <w:r>
              <w:rPr>
                <w:rFonts w:hint="default" w:ascii="Times New Roman" w:hAnsi="Times New Roman" w:cs="Times New Roman"/>
              </w:rPr>
              <w:t>Y</w:t>
            </w:r>
          </w:p>
        </w:tc>
      </w:tr>
      <w:tr w14:paraId="604D4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15545BAA">
            <w:pPr>
              <w:pStyle w:val="72"/>
              <w:rPr>
                <w:rFonts w:hint="default" w:ascii="Times New Roman" w:hAnsi="Times New Roman" w:eastAsia="仿宋" w:cs="Times New Roman"/>
                <w:lang w:eastAsia="zh-CN"/>
              </w:rPr>
            </w:pPr>
            <w:r>
              <w:rPr>
                <w:rFonts w:hint="default" w:ascii="Times New Roman" w:hAnsi="Times New Roman" w:cs="Times New Roman"/>
                <w:lang w:val="en-US" w:eastAsia="zh-CN"/>
              </w:rPr>
              <w:t>工业广场</w:t>
            </w:r>
          </w:p>
        </w:tc>
      </w:tr>
      <w:tr w14:paraId="6AA38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100684B6">
            <w:pPr>
              <w:pStyle w:val="72"/>
              <w:rPr>
                <w:rFonts w:hint="default" w:ascii="Times New Roman" w:hAnsi="Times New Roman" w:eastAsia="等线" w:cs="Times New Roman"/>
                <w:color w:val="000000"/>
                <w:sz w:val="22"/>
                <w:szCs w:val="22"/>
              </w:rPr>
            </w:pPr>
            <w:r>
              <w:rPr>
                <w:rFonts w:hint="default" w:ascii="Times New Roman" w:hAnsi="Times New Roman" w:eastAsia="等线" w:cs="Times New Roman"/>
                <w:color w:val="000000"/>
                <w:sz w:val="22"/>
                <w:szCs w:val="22"/>
              </w:rPr>
              <w:t>1</w:t>
            </w:r>
          </w:p>
        </w:tc>
        <w:tc>
          <w:tcPr>
            <w:tcW w:w="1095" w:type="pct"/>
            <w:tcBorders>
              <w:top w:val="single" w:color="000000" w:sz="4" w:space="0"/>
              <w:left w:val="single" w:color="000000" w:sz="4" w:space="0"/>
              <w:bottom w:val="single" w:color="000000" w:sz="4" w:space="0"/>
              <w:right w:val="single" w:color="000000" w:sz="4" w:space="0"/>
            </w:tcBorders>
            <w:vAlign w:val="center"/>
          </w:tcPr>
          <w:p w14:paraId="651DF0BD">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491693.7117</w:t>
            </w:r>
          </w:p>
        </w:tc>
        <w:tc>
          <w:tcPr>
            <w:tcW w:w="1095" w:type="pct"/>
            <w:tcBorders>
              <w:top w:val="single" w:color="000000" w:sz="4" w:space="0"/>
              <w:left w:val="single" w:color="000000" w:sz="4" w:space="0"/>
              <w:bottom w:val="single" w:color="000000" w:sz="4" w:space="0"/>
              <w:right w:val="single" w:color="auto" w:sz="4" w:space="0"/>
            </w:tcBorders>
            <w:vAlign w:val="center"/>
          </w:tcPr>
          <w:p w14:paraId="48A96C75">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4585010.543</w:t>
            </w:r>
          </w:p>
        </w:tc>
        <w:tc>
          <w:tcPr>
            <w:tcW w:w="384" w:type="pct"/>
            <w:vAlign w:val="center"/>
          </w:tcPr>
          <w:p w14:paraId="26B2B0A1">
            <w:pPr>
              <w:pStyle w:val="72"/>
              <w:rPr>
                <w:rFonts w:hint="default" w:ascii="Times New Roman" w:hAnsi="Times New Roman" w:eastAsia="等线" w:cs="Times New Roman"/>
                <w:color w:val="000000"/>
                <w:sz w:val="22"/>
                <w:szCs w:val="22"/>
              </w:rPr>
            </w:pPr>
            <w:r>
              <w:rPr>
                <w:rFonts w:hint="default" w:ascii="Times New Roman" w:hAnsi="Times New Roman" w:eastAsia="等线" w:cs="Times New Roman"/>
                <w:color w:val="000000"/>
                <w:sz w:val="22"/>
                <w:szCs w:val="22"/>
              </w:rPr>
              <w:t>7</w:t>
            </w:r>
          </w:p>
        </w:tc>
        <w:tc>
          <w:tcPr>
            <w:tcW w:w="1095" w:type="pct"/>
            <w:vAlign w:val="center"/>
          </w:tcPr>
          <w:p w14:paraId="302EC816">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491774.2947</w:t>
            </w:r>
          </w:p>
        </w:tc>
        <w:tc>
          <w:tcPr>
            <w:tcW w:w="1101" w:type="pct"/>
            <w:vAlign w:val="center"/>
          </w:tcPr>
          <w:p w14:paraId="0DBEC54B">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4585025.61</w:t>
            </w:r>
          </w:p>
        </w:tc>
      </w:tr>
      <w:tr w14:paraId="11677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1E2A4294">
            <w:pPr>
              <w:pStyle w:val="72"/>
              <w:rPr>
                <w:rFonts w:hint="default" w:ascii="Times New Roman" w:hAnsi="Times New Roman" w:eastAsia="等线" w:cs="Times New Roman"/>
                <w:color w:val="000000"/>
                <w:sz w:val="22"/>
                <w:szCs w:val="22"/>
              </w:rPr>
            </w:pPr>
            <w:r>
              <w:rPr>
                <w:rFonts w:hint="default" w:ascii="Times New Roman" w:hAnsi="Times New Roman" w:eastAsia="等线" w:cs="Times New Roman"/>
                <w:color w:val="000000"/>
                <w:sz w:val="22"/>
                <w:szCs w:val="22"/>
              </w:rPr>
              <w:t>2</w:t>
            </w:r>
          </w:p>
        </w:tc>
        <w:tc>
          <w:tcPr>
            <w:tcW w:w="1095" w:type="pct"/>
            <w:tcBorders>
              <w:top w:val="single" w:color="000000" w:sz="4" w:space="0"/>
              <w:left w:val="single" w:color="000000" w:sz="4" w:space="0"/>
              <w:bottom w:val="single" w:color="000000" w:sz="4" w:space="0"/>
              <w:right w:val="single" w:color="000000" w:sz="4" w:space="0"/>
            </w:tcBorders>
            <w:vAlign w:val="center"/>
          </w:tcPr>
          <w:p w14:paraId="5648F1A5">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491727.2124</w:t>
            </w:r>
          </w:p>
        </w:tc>
        <w:tc>
          <w:tcPr>
            <w:tcW w:w="1095" w:type="pct"/>
            <w:tcBorders>
              <w:top w:val="single" w:color="000000" w:sz="4" w:space="0"/>
              <w:left w:val="single" w:color="000000" w:sz="4" w:space="0"/>
              <w:bottom w:val="single" w:color="000000" w:sz="4" w:space="0"/>
              <w:right w:val="single" w:color="auto" w:sz="4" w:space="0"/>
            </w:tcBorders>
            <w:vAlign w:val="center"/>
          </w:tcPr>
          <w:p w14:paraId="476B2487">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4585009.709</w:t>
            </w:r>
          </w:p>
        </w:tc>
        <w:tc>
          <w:tcPr>
            <w:tcW w:w="384" w:type="pct"/>
            <w:vAlign w:val="center"/>
          </w:tcPr>
          <w:p w14:paraId="746523DC">
            <w:pPr>
              <w:pStyle w:val="72"/>
              <w:rPr>
                <w:rFonts w:hint="default" w:ascii="Times New Roman" w:hAnsi="Times New Roman" w:eastAsia="等线" w:cs="Times New Roman"/>
                <w:color w:val="000000"/>
                <w:sz w:val="22"/>
                <w:szCs w:val="22"/>
              </w:rPr>
            </w:pPr>
            <w:r>
              <w:rPr>
                <w:rFonts w:hint="default" w:ascii="Times New Roman" w:hAnsi="Times New Roman" w:eastAsia="等线" w:cs="Times New Roman"/>
                <w:color w:val="000000"/>
                <w:sz w:val="22"/>
                <w:szCs w:val="22"/>
              </w:rPr>
              <w:t>8</w:t>
            </w:r>
          </w:p>
        </w:tc>
        <w:tc>
          <w:tcPr>
            <w:tcW w:w="1095" w:type="pct"/>
            <w:vAlign w:val="center"/>
          </w:tcPr>
          <w:p w14:paraId="671DA070">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491758.4436</w:t>
            </w:r>
          </w:p>
        </w:tc>
        <w:tc>
          <w:tcPr>
            <w:tcW w:w="1101" w:type="pct"/>
            <w:vAlign w:val="center"/>
          </w:tcPr>
          <w:p w14:paraId="76A0C9B7">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4584979.557</w:t>
            </w:r>
          </w:p>
        </w:tc>
      </w:tr>
      <w:tr w14:paraId="4035B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49CBA986">
            <w:pPr>
              <w:pStyle w:val="72"/>
              <w:rPr>
                <w:rFonts w:hint="default" w:ascii="Times New Roman" w:hAnsi="Times New Roman" w:eastAsia="等线" w:cs="Times New Roman"/>
                <w:color w:val="000000"/>
                <w:sz w:val="22"/>
                <w:szCs w:val="22"/>
              </w:rPr>
            </w:pPr>
            <w:r>
              <w:rPr>
                <w:rFonts w:hint="default" w:ascii="Times New Roman" w:hAnsi="Times New Roman" w:eastAsia="等线" w:cs="Times New Roman"/>
                <w:color w:val="000000"/>
                <w:sz w:val="22"/>
                <w:szCs w:val="22"/>
              </w:rPr>
              <w:t>3</w:t>
            </w:r>
          </w:p>
        </w:tc>
        <w:tc>
          <w:tcPr>
            <w:tcW w:w="1095" w:type="pct"/>
            <w:tcBorders>
              <w:top w:val="single" w:color="000000" w:sz="4" w:space="0"/>
              <w:left w:val="single" w:color="000000" w:sz="4" w:space="0"/>
              <w:bottom w:val="single" w:color="000000" w:sz="4" w:space="0"/>
              <w:right w:val="single" w:color="000000" w:sz="4" w:space="0"/>
            </w:tcBorders>
            <w:vAlign w:val="center"/>
          </w:tcPr>
          <w:p w14:paraId="25335372">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491739.9424</w:t>
            </w:r>
          </w:p>
        </w:tc>
        <w:tc>
          <w:tcPr>
            <w:tcW w:w="1095" w:type="pct"/>
            <w:tcBorders>
              <w:top w:val="single" w:color="000000" w:sz="4" w:space="0"/>
              <w:left w:val="single" w:color="000000" w:sz="4" w:space="0"/>
              <w:bottom w:val="single" w:color="000000" w:sz="4" w:space="0"/>
              <w:right w:val="single" w:color="auto" w:sz="4" w:space="0"/>
            </w:tcBorders>
            <w:vAlign w:val="center"/>
          </w:tcPr>
          <w:p w14:paraId="3D15071E">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4585034.349</w:t>
            </w:r>
          </w:p>
        </w:tc>
        <w:tc>
          <w:tcPr>
            <w:tcW w:w="384" w:type="pct"/>
            <w:vAlign w:val="center"/>
          </w:tcPr>
          <w:p w14:paraId="6ABEE768">
            <w:pPr>
              <w:pStyle w:val="72"/>
              <w:rPr>
                <w:rFonts w:hint="default" w:ascii="Times New Roman" w:hAnsi="Times New Roman" w:eastAsia="等线" w:cs="Times New Roman"/>
                <w:color w:val="000000"/>
                <w:sz w:val="22"/>
                <w:szCs w:val="22"/>
              </w:rPr>
            </w:pPr>
            <w:r>
              <w:rPr>
                <w:rFonts w:hint="default" w:ascii="Times New Roman" w:hAnsi="Times New Roman" w:eastAsia="等线" w:cs="Times New Roman"/>
                <w:color w:val="000000"/>
                <w:sz w:val="22"/>
                <w:szCs w:val="22"/>
              </w:rPr>
              <w:t>9</w:t>
            </w:r>
          </w:p>
        </w:tc>
        <w:tc>
          <w:tcPr>
            <w:tcW w:w="1095" w:type="pct"/>
            <w:vAlign w:val="center"/>
          </w:tcPr>
          <w:p w14:paraId="38C074FF">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491710.0907</w:t>
            </w:r>
          </w:p>
        </w:tc>
        <w:tc>
          <w:tcPr>
            <w:tcW w:w="1101" w:type="pct"/>
            <w:vAlign w:val="center"/>
          </w:tcPr>
          <w:p w14:paraId="4A5529E9">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4584979.557</w:t>
            </w:r>
          </w:p>
        </w:tc>
      </w:tr>
      <w:tr w14:paraId="69982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66B68014">
            <w:pPr>
              <w:pStyle w:val="72"/>
              <w:rPr>
                <w:rFonts w:hint="default" w:ascii="Times New Roman" w:hAnsi="Times New Roman" w:eastAsia="等线" w:cs="Times New Roman"/>
                <w:color w:val="000000"/>
                <w:sz w:val="22"/>
                <w:szCs w:val="22"/>
              </w:rPr>
            </w:pPr>
            <w:r>
              <w:rPr>
                <w:rFonts w:hint="default" w:ascii="Times New Roman" w:hAnsi="Times New Roman" w:eastAsia="等线" w:cs="Times New Roman"/>
                <w:color w:val="000000"/>
                <w:sz w:val="22"/>
                <w:szCs w:val="22"/>
              </w:rPr>
              <w:t>4</w:t>
            </w:r>
          </w:p>
        </w:tc>
        <w:tc>
          <w:tcPr>
            <w:tcW w:w="1095" w:type="pct"/>
            <w:tcBorders>
              <w:top w:val="single" w:color="000000" w:sz="4" w:space="0"/>
              <w:left w:val="single" w:color="000000" w:sz="4" w:space="0"/>
              <w:bottom w:val="single" w:color="000000" w:sz="4" w:space="0"/>
              <w:right w:val="single" w:color="000000" w:sz="4" w:space="0"/>
            </w:tcBorders>
            <w:vAlign w:val="center"/>
          </w:tcPr>
          <w:p w14:paraId="025C6566">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491742.6031</w:t>
            </w:r>
          </w:p>
        </w:tc>
        <w:tc>
          <w:tcPr>
            <w:tcW w:w="1095" w:type="pct"/>
            <w:tcBorders>
              <w:top w:val="single" w:color="000000" w:sz="4" w:space="0"/>
              <w:left w:val="single" w:color="000000" w:sz="4" w:space="0"/>
              <w:bottom w:val="single" w:color="000000" w:sz="4" w:space="0"/>
              <w:right w:val="single" w:color="auto" w:sz="4" w:space="0"/>
            </w:tcBorders>
            <w:vAlign w:val="center"/>
          </w:tcPr>
          <w:p w14:paraId="2DAA9D46">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4585040.158</w:t>
            </w:r>
          </w:p>
        </w:tc>
        <w:tc>
          <w:tcPr>
            <w:tcW w:w="384" w:type="pct"/>
            <w:vAlign w:val="center"/>
          </w:tcPr>
          <w:p w14:paraId="05604826">
            <w:pPr>
              <w:pStyle w:val="72"/>
              <w:rPr>
                <w:rFonts w:hint="default" w:ascii="Times New Roman" w:hAnsi="Times New Roman" w:eastAsia="等线" w:cs="Times New Roman"/>
                <w:color w:val="000000"/>
                <w:sz w:val="22"/>
                <w:szCs w:val="22"/>
              </w:rPr>
            </w:pPr>
            <w:r>
              <w:rPr>
                <w:rFonts w:hint="default" w:ascii="Times New Roman" w:hAnsi="Times New Roman" w:eastAsia="等线" w:cs="Times New Roman"/>
                <w:color w:val="000000"/>
                <w:sz w:val="22"/>
                <w:szCs w:val="22"/>
              </w:rPr>
              <w:t>10</w:t>
            </w:r>
          </w:p>
        </w:tc>
        <w:tc>
          <w:tcPr>
            <w:tcW w:w="1095" w:type="pct"/>
            <w:vAlign w:val="center"/>
          </w:tcPr>
          <w:p w14:paraId="59BC8962">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491686.2964</w:t>
            </w:r>
          </w:p>
        </w:tc>
        <w:tc>
          <w:tcPr>
            <w:tcW w:w="1101" w:type="pct"/>
            <w:vAlign w:val="center"/>
          </w:tcPr>
          <w:p w14:paraId="30EF5B8E">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4584993.359</w:t>
            </w:r>
          </w:p>
        </w:tc>
      </w:tr>
      <w:tr w14:paraId="448FA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0C13F377">
            <w:pPr>
              <w:pStyle w:val="72"/>
              <w:rPr>
                <w:rFonts w:hint="default" w:ascii="Times New Roman" w:hAnsi="Times New Roman" w:eastAsia="等线" w:cs="Times New Roman"/>
                <w:color w:val="000000"/>
                <w:sz w:val="22"/>
                <w:szCs w:val="22"/>
              </w:rPr>
            </w:pPr>
            <w:r>
              <w:rPr>
                <w:rFonts w:hint="default" w:ascii="Times New Roman" w:hAnsi="Times New Roman" w:eastAsia="等线" w:cs="Times New Roman"/>
                <w:color w:val="000000"/>
                <w:sz w:val="22"/>
                <w:szCs w:val="22"/>
              </w:rPr>
              <w:t>5</w:t>
            </w:r>
          </w:p>
        </w:tc>
        <w:tc>
          <w:tcPr>
            <w:tcW w:w="1095" w:type="pct"/>
            <w:tcBorders>
              <w:top w:val="single" w:color="000000" w:sz="4" w:space="0"/>
              <w:left w:val="single" w:color="000000" w:sz="4" w:space="0"/>
              <w:bottom w:val="single" w:color="000000" w:sz="4" w:space="0"/>
              <w:right w:val="single" w:color="000000" w:sz="4" w:space="0"/>
            </w:tcBorders>
            <w:vAlign w:val="center"/>
          </w:tcPr>
          <w:p w14:paraId="746FDF4A">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491750.9789</w:t>
            </w:r>
          </w:p>
        </w:tc>
        <w:tc>
          <w:tcPr>
            <w:tcW w:w="1095" w:type="pct"/>
            <w:tcBorders>
              <w:top w:val="single" w:color="000000" w:sz="4" w:space="0"/>
              <w:left w:val="single" w:color="000000" w:sz="4" w:space="0"/>
              <w:bottom w:val="single" w:color="000000" w:sz="4" w:space="0"/>
              <w:right w:val="single" w:color="auto" w:sz="4" w:space="0"/>
            </w:tcBorders>
            <w:vAlign w:val="center"/>
          </w:tcPr>
          <w:p w14:paraId="02D60988">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4585041.93</w:t>
            </w:r>
          </w:p>
        </w:tc>
        <w:tc>
          <w:tcPr>
            <w:tcW w:w="384" w:type="pct"/>
            <w:vAlign w:val="center"/>
          </w:tcPr>
          <w:p w14:paraId="68384C65">
            <w:pPr>
              <w:pStyle w:val="72"/>
              <w:rPr>
                <w:rFonts w:hint="default" w:ascii="Times New Roman" w:hAnsi="Times New Roman" w:eastAsia="等线" w:cs="Times New Roman"/>
                <w:color w:val="000000"/>
                <w:sz w:val="22"/>
                <w:szCs w:val="22"/>
              </w:rPr>
            </w:pPr>
            <w:r>
              <w:rPr>
                <w:rFonts w:hint="default" w:ascii="Times New Roman" w:hAnsi="Times New Roman" w:eastAsia="等线" w:cs="Times New Roman"/>
                <w:color w:val="000000"/>
                <w:sz w:val="22"/>
                <w:szCs w:val="22"/>
              </w:rPr>
              <w:t>11</w:t>
            </w:r>
          </w:p>
        </w:tc>
        <w:tc>
          <w:tcPr>
            <w:tcW w:w="1095" w:type="pct"/>
            <w:vAlign w:val="center"/>
          </w:tcPr>
          <w:p w14:paraId="52D79C0E">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491693.7117</w:t>
            </w:r>
          </w:p>
        </w:tc>
        <w:tc>
          <w:tcPr>
            <w:tcW w:w="1101" w:type="pct"/>
            <w:vAlign w:val="center"/>
          </w:tcPr>
          <w:p w14:paraId="348A9C01">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4585010.543</w:t>
            </w:r>
          </w:p>
        </w:tc>
      </w:tr>
      <w:tr w14:paraId="2C946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55192C38">
            <w:pPr>
              <w:pStyle w:val="72"/>
              <w:rPr>
                <w:rFonts w:hint="default" w:ascii="Times New Roman" w:hAnsi="Times New Roman" w:eastAsia="等线" w:cs="Times New Roman"/>
                <w:color w:val="000000"/>
                <w:sz w:val="22"/>
                <w:szCs w:val="22"/>
              </w:rPr>
            </w:pPr>
            <w:r>
              <w:rPr>
                <w:rFonts w:hint="default" w:ascii="Times New Roman" w:hAnsi="Times New Roman" w:eastAsia="等线" w:cs="Times New Roman"/>
                <w:color w:val="000000"/>
                <w:sz w:val="22"/>
                <w:szCs w:val="22"/>
              </w:rPr>
              <w:t>6</w:t>
            </w:r>
          </w:p>
        </w:tc>
        <w:tc>
          <w:tcPr>
            <w:tcW w:w="1095" w:type="pct"/>
            <w:tcBorders>
              <w:top w:val="single" w:color="000000" w:sz="4" w:space="0"/>
              <w:left w:val="single" w:color="000000" w:sz="4" w:space="0"/>
              <w:bottom w:val="single" w:color="000000" w:sz="4" w:space="0"/>
              <w:right w:val="single" w:color="000000" w:sz="4" w:space="0"/>
            </w:tcBorders>
            <w:vAlign w:val="center"/>
          </w:tcPr>
          <w:p w14:paraId="41C24652">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491763.2964</w:t>
            </w:r>
          </w:p>
        </w:tc>
        <w:tc>
          <w:tcPr>
            <w:tcW w:w="1095" w:type="pct"/>
            <w:tcBorders>
              <w:top w:val="single" w:color="000000" w:sz="4" w:space="0"/>
              <w:left w:val="single" w:color="000000" w:sz="4" w:space="0"/>
              <w:bottom w:val="single" w:color="000000" w:sz="4" w:space="0"/>
              <w:right w:val="single" w:color="auto" w:sz="4" w:space="0"/>
            </w:tcBorders>
            <w:vAlign w:val="center"/>
          </w:tcPr>
          <w:p w14:paraId="551099CB">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4585049.215</w:t>
            </w:r>
          </w:p>
        </w:tc>
        <w:tc>
          <w:tcPr>
            <w:tcW w:w="384" w:type="pct"/>
            <w:vAlign w:val="center"/>
          </w:tcPr>
          <w:p w14:paraId="78E8F10F">
            <w:pPr>
              <w:pStyle w:val="72"/>
              <w:rPr>
                <w:rFonts w:hint="default" w:ascii="Times New Roman" w:hAnsi="Times New Roman" w:eastAsia="等线" w:cs="Times New Roman"/>
                <w:color w:val="000000"/>
                <w:sz w:val="22"/>
                <w:szCs w:val="22"/>
              </w:rPr>
            </w:pPr>
          </w:p>
        </w:tc>
        <w:tc>
          <w:tcPr>
            <w:tcW w:w="1095" w:type="pct"/>
            <w:vAlign w:val="center"/>
          </w:tcPr>
          <w:p w14:paraId="1B74D75E">
            <w:pPr>
              <w:pStyle w:val="72"/>
              <w:rPr>
                <w:rFonts w:hint="default" w:ascii="Times New Roman" w:hAnsi="Times New Roman" w:eastAsia="等线" w:cs="Times New Roman"/>
                <w:color w:val="000000"/>
                <w:sz w:val="22"/>
                <w:szCs w:val="22"/>
              </w:rPr>
            </w:pPr>
          </w:p>
        </w:tc>
        <w:tc>
          <w:tcPr>
            <w:tcW w:w="1101" w:type="pct"/>
            <w:vAlign w:val="center"/>
          </w:tcPr>
          <w:p w14:paraId="6C7701FE">
            <w:pPr>
              <w:pStyle w:val="72"/>
              <w:rPr>
                <w:rFonts w:hint="default" w:ascii="Times New Roman" w:hAnsi="Times New Roman" w:eastAsia="等线" w:cs="Times New Roman"/>
                <w:color w:val="000000"/>
                <w:sz w:val="22"/>
                <w:szCs w:val="22"/>
              </w:rPr>
            </w:pPr>
          </w:p>
        </w:tc>
      </w:tr>
      <w:tr w14:paraId="0E628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763C1EF8">
            <w:pPr>
              <w:pStyle w:val="72"/>
              <w:rPr>
                <w:rFonts w:hint="default" w:ascii="Times New Roman" w:hAnsi="Times New Roman" w:eastAsia="等线" w:cs="Times New Roman"/>
                <w:color w:val="000000"/>
                <w:sz w:val="22"/>
                <w:szCs w:val="22"/>
                <w:lang w:val="en-US" w:eastAsia="zh-CN"/>
              </w:rPr>
            </w:pPr>
            <w:bookmarkStart w:id="153" w:name="_Toc27531"/>
            <w:r>
              <w:rPr>
                <w:rFonts w:hint="eastAsia" w:ascii="Times New Roman" w:hAnsi="Times New Roman" w:eastAsia="等线" w:cs="Times New Roman"/>
                <w:color w:val="000000"/>
                <w:sz w:val="22"/>
                <w:szCs w:val="22"/>
                <w:lang w:val="en-US" w:eastAsia="zh-CN"/>
              </w:rPr>
              <w:t>三处平硐</w:t>
            </w:r>
          </w:p>
        </w:tc>
      </w:tr>
      <w:tr w14:paraId="124C5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33BA9E45">
            <w:pPr>
              <w:pStyle w:val="72"/>
              <w:ind w:firstLine="0" w:firstLineChars="0"/>
              <w:rPr>
                <w:rFonts w:hint="default" w:ascii="Times New Roman" w:hAnsi="Times New Roman" w:eastAsia="等线" w:cs="Times New Roman"/>
                <w:color w:val="000000"/>
                <w:sz w:val="22"/>
                <w:szCs w:val="22"/>
              </w:rPr>
            </w:pPr>
            <w:r>
              <w:rPr>
                <w:rFonts w:hint="default" w:ascii="Times New Roman" w:hAnsi="Times New Roman" w:eastAsia="等线" w:cs="Times New Roman"/>
                <w:color w:val="000000"/>
                <w:sz w:val="22"/>
                <w:szCs w:val="22"/>
              </w:rPr>
              <w:t>1</w:t>
            </w:r>
          </w:p>
        </w:tc>
        <w:tc>
          <w:tcPr>
            <w:tcW w:w="1095" w:type="pct"/>
            <w:tcBorders>
              <w:top w:val="single" w:color="000000" w:sz="4" w:space="0"/>
              <w:left w:val="single" w:color="000000" w:sz="4" w:space="0"/>
              <w:bottom w:val="single" w:color="000000" w:sz="4" w:space="0"/>
              <w:right w:val="single" w:color="000000" w:sz="4" w:space="0"/>
            </w:tcBorders>
            <w:vAlign w:val="center"/>
          </w:tcPr>
          <w:p w14:paraId="49B3D323">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491725.4115</w:t>
            </w:r>
          </w:p>
        </w:tc>
        <w:tc>
          <w:tcPr>
            <w:tcW w:w="1095" w:type="pct"/>
            <w:tcBorders>
              <w:top w:val="single" w:color="000000" w:sz="4" w:space="0"/>
              <w:left w:val="single" w:color="000000" w:sz="4" w:space="0"/>
              <w:bottom w:val="single" w:color="000000" w:sz="4" w:space="0"/>
              <w:right w:val="single" w:color="auto" w:sz="4" w:space="0"/>
            </w:tcBorders>
            <w:vAlign w:val="center"/>
          </w:tcPr>
          <w:p w14:paraId="27E9A630">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4584979.207</w:t>
            </w:r>
          </w:p>
        </w:tc>
        <w:tc>
          <w:tcPr>
            <w:tcW w:w="384" w:type="pct"/>
            <w:vAlign w:val="center"/>
          </w:tcPr>
          <w:p w14:paraId="418C763D">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3</w:t>
            </w:r>
          </w:p>
        </w:tc>
        <w:tc>
          <w:tcPr>
            <w:tcW w:w="1095" w:type="pct"/>
            <w:vAlign w:val="center"/>
          </w:tcPr>
          <w:p w14:paraId="1CD7295A">
            <w:pPr>
              <w:pStyle w:val="72"/>
              <w:rPr>
                <w:rFonts w:hint="default" w:ascii="Times New Roman" w:hAnsi="Times New Roman" w:eastAsia="等线" w:cs="Times New Roman"/>
                <w:color w:val="000000"/>
                <w:sz w:val="22"/>
                <w:szCs w:val="22"/>
              </w:rPr>
            </w:pPr>
            <w:r>
              <w:rPr>
                <w:rFonts w:hint="default" w:ascii="Times New Roman" w:hAnsi="Times New Roman" w:eastAsia="等线" w:cs="Times New Roman"/>
                <w:color w:val="000000"/>
                <w:sz w:val="22"/>
                <w:szCs w:val="22"/>
              </w:rPr>
              <w:t>491726.165</w:t>
            </w:r>
          </w:p>
        </w:tc>
        <w:tc>
          <w:tcPr>
            <w:tcW w:w="1101" w:type="pct"/>
            <w:vAlign w:val="center"/>
          </w:tcPr>
          <w:p w14:paraId="150603EC">
            <w:pPr>
              <w:pStyle w:val="72"/>
              <w:rPr>
                <w:rFonts w:hint="default" w:ascii="Times New Roman" w:hAnsi="Times New Roman" w:eastAsia="等线" w:cs="Times New Roman"/>
                <w:color w:val="000000"/>
                <w:sz w:val="22"/>
                <w:szCs w:val="22"/>
              </w:rPr>
            </w:pPr>
            <w:r>
              <w:rPr>
                <w:rFonts w:hint="default" w:ascii="Times New Roman" w:hAnsi="Times New Roman" w:eastAsia="等线" w:cs="Times New Roman"/>
                <w:color w:val="000000"/>
                <w:sz w:val="22"/>
                <w:szCs w:val="22"/>
              </w:rPr>
              <w:t>4584913.619</w:t>
            </w:r>
          </w:p>
        </w:tc>
      </w:tr>
      <w:tr w14:paraId="29C8F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58EBDE98">
            <w:pPr>
              <w:pStyle w:val="72"/>
              <w:ind w:firstLine="0" w:firstLineChars="0"/>
              <w:rPr>
                <w:rFonts w:hint="default" w:ascii="Times New Roman" w:hAnsi="Times New Roman" w:eastAsia="等线" w:cs="Times New Roman"/>
                <w:color w:val="000000"/>
                <w:sz w:val="22"/>
                <w:szCs w:val="22"/>
              </w:rPr>
            </w:pPr>
            <w:r>
              <w:rPr>
                <w:rFonts w:hint="default" w:ascii="Times New Roman" w:hAnsi="Times New Roman" w:eastAsia="等线" w:cs="Times New Roman"/>
                <w:color w:val="000000"/>
                <w:sz w:val="22"/>
                <w:szCs w:val="22"/>
              </w:rPr>
              <w:t>2</w:t>
            </w:r>
          </w:p>
        </w:tc>
        <w:tc>
          <w:tcPr>
            <w:tcW w:w="1095" w:type="pct"/>
            <w:tcBorders>
              <w:top w:val="single" w:color="000000" w:sz="4" w:space="0"/>
              <w:left w:val="single" w:color="000000" w:sz="4" w:space="0"/>
              <w:bottom w:val="single" w:color="000000" w:sz="4" w:space="0"/>
              <w:right w:val="single" w:color="000000" w:sz="4" w:space="0"/>
            </w:tcBorders>
            <w:vAlign w:val="center"/>
          </w:tcPr>
          <w:p w14:paraId="0481EE59">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491785.6513</w:t>
            </w:r>
          </w:p>
        </w:tc>
        <w:tc>
          <w:tcPr>
            <w:tcW w:w="1095" w:type="pct"/>
            <w:tcBorders>
              <w:top w:val="single" w:color="000000" w:sz="4" w:space="0"/>
              <w:left w:val="single" w:color="000000" w:sz="4" w:space="0"/>
              <w:bottom w:val="single" w:color="000000" w:sz="4" w:space="0"/>
              <w:right w:val="single" w:color="auto" w:sz="4" w:space="0"/>
            </w:tcBorders>
            <w:vAlign w:val="center"/>
          </w:tcPr>
          <w:p w14:paraId="7AAADEB6">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4585006.0401</w:t>
            </w:r>
          </w:p>
        </w:tc>
        <w:tc>
          <w:tcPr>
            <w:tcW w:w="384" w:type="pct"/>
            <w:vAlign w:val="center"/>
          </w:tcPr>
          <w:p w14:paraId="05FE92BC">
            <w:pPr>
              <w:pStyle w:val="72"/>
              <w:rPr>
                <w:rFonts w:hint="default" w:ascii="Times New Roman" w:hAnsi="Times New Roman" w:eastAsia="等线" w:cs="Times New Roman"/>
                <w:color w:val="000000"/>
                <w:sz w:val="22"/>
                <w:szCs w:val="22"/>
              </w:rPr>
            </w:pPr>
          </w:p>
        </w:tc>
        <w:tc>
          <w:tcPr>
            <w:tcW w:w="1095" w:type="pct"/>
            <w:vAlign w:val="center"/>
          </w:tcPr>
          <w:p w14:paraId="36DE95F1">
            <w:pPr>
              <w:pStyle w:val="72"/>
              <w:rPr>
                <w:rFonts w:hint="default" w:ascii="Times New Roman" w:hAnsi="Times New Roman" w:eastAsia="等线" w:cs="Times New Roman"/>
                <w:color w:val="000000"/>
                <w:sz w:val="22"/>
                <w:szCs w:val="22"/>
              </w:rPr>
            </w:pPr>
          </w:p>
        </w:tc>
        <w:tc>
          <w:tcPr>
            <w:tcW w:w="1101" w:type="pct"/>
            <w:vAlign w:val="center"/>
          </w:tcPr>
          <w:p w14:paraId="07B8AF53">
            <w:pPr>
              <w:pStyle w:val="72"/>
              <w:rPr>
                <w:rFonts w:hint="default" w:ascii="Times New Roman" w:hAnsi="Times New Roman" w:eastAsia="等线" w:cs="Times New Roman"/>
                <w:color w:val="000000"/>
                <w:sz w:val="22"/>
                <w:szCs w:val="22"/>
              </w:rPr>
            </w:pPr>
          </w:p>
        </w:tc>
      </w:tr>
      <w:tr w14:paraId="5783B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127CD1C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490m平硐工业广场</w:t>
            </w:r>
          </w:p>
        </w:tc>
      </w:tr>
      <w:tr w14:paraId="38856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4CE9275C">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w:t>
            </w:r>
          </w:p>
        </w:tc>
        <w:tc>
          <w:tcPr>
            <w:tcW w:w="1095" w:type="pct"/>
            <w:tcBorders>
              <w:top w:val="single" w:color="000000" w:sz="4" w:space="0"/>
              <w:left w:val="single" w:color="000000" w:sz="4" w:space="0"/>
              <w:bottom w:val="single" w:color="000000" w:sz="4" w:space="0"/>
              <w:right w:val="single" w:color="000000" w:sz="4" w:space="0"/>
            </w:tcBorders>
            <w:vAlign w:val="center"/>
          </w:tcPr>
          <w:p w14:paraId="0A7F740B">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491381.9812</w:t>
            </w:r>
          </w:p>
        </w:tc>
        <w:tc>
          <w:tcPr>
            <w:tcW w:w="1095" w:type="pct"/>
            <w:tcBorders>
              <w:top w:val="single" w:color="000000" w:sz="4" w:space="0"/>
              <w:left w:val="single" w:color="000000" w:sz="4" w:space="0"/>
              <w:bottom w:val="single" w:color="000000" w:sz="4" w:space="0"/>
              <w:right w:val="single" w:color="auto" w:sz="4" w:space="0"/>
            </w:tcBorders>
            <w:vAlign w:val="center"/>
          </w:tcPr>
          <w:p w14:paraId="0B7CFFEB">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4585015.613</w:t>
            </w:r>
          </w:p>
        </w:tc>
        <w:tc>
          <w:tcPr>
            <w:tcW w:w="384" w:type="pct"/>
            <w:vAlign w:val="center"/>
          </w:tcPr>
          <w:p w14:paraId="3B1A47A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10</w:t>
            </w:r>
          </w:p>
        </w:tc>
        <w:tc>
          <w:tcPr>
            <w:tcW w:w="1095" w:type="pct"/>
            <w:vAlign w:val="center"/>
          </w:tcPr>
          <w:p w14:paraId="635C6A0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491512.0064</w:t>
            </w:r>
          </w:p>
        </w:tc>
        <w:tc>
          <w:tcPr>
            <w:tcW w:w="1101" w:type="pct"/>
            <w:vAlign w:val="center"/>
          </w:tcPr>
          <w:p w14:paraId="307FAD9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4584997.38</w:t>
            </w:r>
          </w:p>
        </w:tc>
      </w:tr>
      <w:tr w14:paraId="64E6C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30627F21">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2</w:t>
            </w:r>
          </w:p>
        </w:tc>
        <w:tc>
          <w:tcPr>
            <w:tcW w:w="1095" w:type="pct"/>
            <w:tcBorders>
              <w:top w:val="single" w:color="000000" w:sz="4" w:space="0"/>
              <w:left w:val="single" w:color="000000" w:sz="4" w:space="0"/>
              <w:bottom w:val="single" w:color="000000" w:sz="4" w:space="0"/>
              <w:right w:val="single" w:color="000000" w:sz="4" w:space="0"/>
            </w:tcBorders>
            <w:vAlign w:val="center"/>
          </w:tcPr>
          <w:p w14:paraId="4590A0D4">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491392.425</w:t>
            </w:r>
          </w:p>
        </w:tc>
        <w:tc>
          <w:tcPr>
            <w:tcW w:w="1095" w:type="pct"/>
            <w:tcBorders>
              <w:top w:val="single" w:color="000000" w:sz="4" w:space="0"/>
              <w:left w:val="single" w:color="000000" w:sz="4" w:space="0"/>
              <w:bottom w:val="single" w:color="000000" w:sz="4" w:space="0"/>
              <w:right w:val="single" w:color="auto" w:sz="4" w:space="0"/>
            </w:tcBorders>
            <w:vAlign w:val="center"/>
          </w:tcPr>
          <w:p w14:paraId="015D537E">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4585025.226</w:t>
            </w:r>
          </w:p>
        </w:tc>
        <w:tc>
          <w:tcPr>
            <w:tcW w:w="384" w:type="pct"/>
            <w:vAlign w:val="center"/>
          </w:tcPr>
          <w:p w14:paraId="1630C71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11</w:t>
            </w:r>
          </w:p>
        </w:tc>
        <w:tc>
          <w:tcPr>
            <w:tcW w:w="1095" w:type="pct"/>
            <w:vAlign w:val="center"/>
          </w:tcPr>
          <w:p w14:paraId="741A2054">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491490.5846</w:t>
            </w:r>
          </w:p>
        </w:tc>
        <w:tc>
          <w:tcPr>
            <w:tcW w:w="1101" w:type="pct"/>
            <w:vAlign w:val="center"/>
          </w:tcPr>
          <w:p w14:paraId="7173584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4584989.45</w:t>
            </w:r>
          </w:p>
        </w:tc>
      </w:tr>
      <w:tr w14:paraId="17D5B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0C06774C">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3</w:t>
            </w:r>
          </w:p>
        </w:tc>
        <w:tc>
          <w:tcPr>
            <w:tcW w:w="1095" w:type="pct"/>
            <w:tcBorders>
              <w:top w:val="single" w:color="000000" w:sz="4" w:space="0"/>
              <w:left w:val="single" w:color="000000" w:sz="4" w:space="0"/>
              <w:bottom w:val="single" w:color="000000" w:sz="4" w:space="0"/>
              <w:right w:val="single" w:color="000000" w:sz="4" w:space="0"/>
            </w:tcBorders>
            <w:vAlign w:val="center"/>
          </w:tcPr>
          <w:p w14:paraId="3C6D507C">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491397.2467</w:t>
            </w:r>
          </w:p>
        </w:tc>
        <w:tc>
          <w:tcPr>
            <w:tcW w:w="1095" w:type="pct"/>
            <w:tcBorders>
              <w:top w:val="single" w:color="000000" w:sz="4" w:space="0"/>
              <w:left w:val="single" w:color="000000" w:sz="4" w:space="0"/>
              <w:bottom w:val="single" w:color="000000" w:sz="4" w:space="0"/>
              <w:right w:val="single" w:color="auto" w:sz="4" w:space="0"/>
            </w:tcBorders>
            <w:vAlign w:val="center"/>
          </w:tcPr>
          <w:p w14:paraId="1A648839">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4585029.664</w:t>
            </w:r>
          </w:p>
        </w:tc>
        <w:tc>
          <w:tcPr>
            <w:tcW w:w="384" w:type="pct"/>
            <w:vAlign w:val="center"/>
          </w:tcPr>
          <w:p w14:paraId="4B423DE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12</w:t>
            </w:r>
          </w:p>
        </w:tc>
        <w:tc>
          <w:tcPr>
            <w:tcW w:w="1095" w:type="pct"/>
            <w:vAlign w:val="center"/>
          </w:tcPr>
          <w:p w14:paraId="46836BA9">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491465.1114</w:t>
            </w:r>
          </w:p>
        </w:tc>
        <w:tc>
          <w:tcPr>
            <w:tcW w:w="1101" w:type="pct"/>
            <w:vAlign w:val="center"/>
          </w:tcPr>
          <w:p w14:paraId="54F5AAE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4584983.085</w:t>
            </w:r>
          </w:p>
        </w:tc>
      </w:tr>
      <w:tr w14:paraId="740E3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245D9322">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w:t>
            </w:r>
          </w:p>
        </w:tc>
        <w:tc>
          <w:tcPr>
            <w:tcW w:w="1095" w:type="pct"/>
            <w:tcBorders>
              <w:top w:val="single" w:color="000000" w:sz="4" w:space="0"/>
              <w:left w:val="single" w:color="000000" w:sz="4" w:space="0"/>
              <w:bottom w:val="single" w:color="000000" w:sz="4" w:space="0"/>
              <w:right w:val="single" w:color="000000" w:sz="4" w:space="0"/>
            </w:tcBorders>
            <w:vAlign w:val="center"/>
          </w:tcPr>
          <w:p w14:paraId="2B31EA80">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491406.5331</w:t>
            </w:r>
          </w:p>
        </w:tc>
        <w:tc>
          <w:tcPr>
            <w:tcW w:w="1095" w:type="pct"/>
            <w:tcBorders>
              <w:top w:val="single" w:color="000000" w:sz="4" w:space="0"/>
              <w:left w:val="single" w:color="000000" w:sz="4" w:space="0"/>
              <w:bottom w:val="single" w:color="000000" w:sz="4" w:space="0"/>
              <w:right w:val="single" w:color="auto" w:sz="4" w:space="0"/>
            </w:tcBorders>
            <w:vAlign w:val="center"/>
          </w:tcPr>
          <w:p w14:paraId="4B8553E5">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4585032.494</w:t>
            </w:r>
          </w:p>
        </w:tc>
        <w:tc>
          <w:tcPr>
            <w:tcW w:w="384" w:type="pct"/>
            <w:vAlign w:val="center"/>
          </w:tcPr>
          <w:p w14:paraId="23E3AB3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13</w:t>
            </w:r>
          </w:p>
        </w:tc>
        <w:tc>
          <w:tcPr>
            <w:tcW w:w="1095" w:type="pct"/>
            <w:vAlign w:val="center"/>
          </w:tcPr>
          <w:p w14:paraId="1C7A0840">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491442.2733</w:t>
            </w:r>
          </w:p>
        </w:tc>
        <w:tc>
          <w:tcPr>
            <w:tcW w:w="1101" w:type="pct"/>
            <w:vAlign w:val="center"/>
          </w:tcPr>
          <w:p w14:paraId="27BDE2C0">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4584976.939</w:t>
            </w:r>
          </w:p>
        </w:tc>
      </w:tr>
      <w:tr w14:paraId="13078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46514D13">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5</w:t>
            </w:r>
          </w:p>
        </w:tc>
        <w:tc>
          <w:tcPr>
            <w:tcW w:w="1095" w:type="pct"/>
            <w:tcBorders>
              <w:top w:val="single" w:color="000000" w:sz="4" w:space="0"/>
              <w:left w:val="single" w:color="000000" w:sz="4" w:space="0"/>
              <w:bottom w:val="single" w:color="000000" w:sz="4" w:space="0"/>
              <w:right w:val="single" w:color="000000" w:sz="4" w:space="0"/>
            </w:tcBorders>
            <w:vAlign w:val="center"/>
          </w:tcPr>
          <w:p w14:paraId="31D7F1A9">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491423.36</w:t>
            </w:r>
          </w:p>
        </w:tc>
        <w:tc>
          <w:tcPr>
            <w:tcW w:w="1095" w:type="pct"/>
            <w:tcBorders>
              <w:top w:val="single" w:color="000000" w:sz="4" w:space="0"/>
              <w:left w:val="single" w:color="000000" w:sz="4" w:space="0"/>
              <w:bottom w:val="single" w:color="000000" w:sz="4" w:space="0"/>
              <w:right w:val="single" w:color="auto" w:sz="4" w:space="0"/>
            </w:tcBorders>
            <w:vAlign w:val="center"/>
          </w:tcPr>
          <w:p w14:paraId="699F13FA">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4585031.984</w:t>
            </w:r>
          </w:p>
        </w:tc>
        <w:tc>
          <w:tcPr>
            <w:tcW w:w="384" w:type="pct"/>
            <w:vAlign w:val="center"/>
          </w:tcPr>
          <w:p w14:paraId="78779FB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14</w:t>
            </w:r>
          </w:p>
        </w:tc>
        <w:tc>
          <w:tcPr>
            <w:tcW w:w="1095" w:type="pct"/>
            <w:vAlign w:val="center"/>
          </w:tcPr>
          <w:p w14:paraId="210A5DF7">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491419.6004</w:t>
            </w:r>
          </w:p>
        </w:tc>
        <w:tc>
          <w:tcPr>
            <w:tcW w:w="1101" w:type="pct"/>
            <w:vAlign w:val="center"/>
          </w:tcPr>
          <w:p w14:paraId="17541092">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4584973.87</w:t>
            </w:r>
          </w:p>
        </w:tc>
      </w:tr>
      <w:tr w14:paraId="0A48D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791ACA3F">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6</w:t>
            </w:r>
          </w:p>
        </w:tc>
        <w:tc>
          <w:tcPr>
            <w:tcW w:w="1095" w:type="pct"/>
            <w:tcBorders>
              <w:top w:val="single" w:color="000000" w:sz="4" w:space="0"/>
              <w:left w:val="single" w:color="000000" w:sz="4" w:space="0"/>
              <w:bottom w:val="single" w:color="000000" w:sz="4" w:space="0"/>
              <w:right w:val="single" w:color="000000" w:sz="4" w:space="0"/>
            </w:tcBorders>
            <w:vAlign w:val="center"/>
          </w:tcPr>
          <w:p w14:paraId="4ADB06EE">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491525.711</w:t>
            </w:r>
          </w:p>
        </w:tc>
        <w:tc>
          <w:tcPr>
            <w:tcW w:w="1095" w:type="pct"/>
            <w:tcBorders>
              <w:top w:val="single" w:color="000000" w:sz="4" w:space="0"/>
              <w:left w:val="single" w:color="000000" w:sz="4" w:space="0"/>
              <w:bottom w:val="single" w:color="000000" w:sz="4" w:space="0"/>
              <w:right w:val="single" w:color="auto" w:sz="4" w:space="0"/>
            </w:tcBorders>
            <w:vAlign w:val="center"/>
          </w:tcPr>
          <w:p w14:paraId="0B712E8F">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4585028.883</w:t>
            </w:r>
          </w:p>
        </w:tc>
        <w:tc>
          <w:tcPr>
            <w:tcW w:w="384" w:type="pct"/>
            <w:vAlign w:val="center"/>
          </w:tcPr>
          <w:p w14:paraId="598E84B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15</w:t>
            </w:r>
          </w:p>
        </w:tc>
        <w:tc>
          <w:tcPr>
            <w:tcW w:w="1095" w:type="pct"/>
            <w:vAlign w:val="center"/>
          </w:tcPr>
          <w:p w14:paraId="3E3E167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491402.5264</w:t>
            </w:r>
          </w:p>
        </w:tc>
        <w:tc>
          <w:tcPr>
            <w:tcW w:w="1101" w:type="pct"/>
            <w:vAlign w:val="center"/>
          </w:tcPr>
          <w:p w14:paraId="3C9C74DF">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4584973.87</w:t>
            </w:r>
          </w:p>
        </w:tc>
      </w:tr>
      <w:tr w14:paraId="3FED7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0BA84C08">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7</w:t>
            </w:r>
          </w:p>
        </w:tc>
        <w:tc>
          <w:tcPr>
            <w:tcW w:w="1095" w:type="pct"/>
            <w:tcBorders>
              <w:top w:val="single" w:color="000000" w:sz="4" w:space="0"/>
              <w:left w:val="single" w:color="000000" w:sz="4" w:space="0"/>
              <w:bottom w:val="single" w:color="000000" w:sz="4" w:space="0"/>
              <w:right w:val="single" w:color="000000" w:sz="4" w:space="0"/>
            </w:tcBorders>
            <w:vAlign w:val="center"/>
          </w:tcPr>
          <w:p w14:paraId="4CA07D1F">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491530.7707</w:t>
            </w:r>
          </w:p>
        </w:tc>
        <w:tc>
          <w:tcPr>
            <w:tcW w:w="1095" w:type="pct"/>
            <w:tcBorders>
              <w:top w:val="single" w:color="000000" w:sz="4" w:space="0"/>
              <w:left w:val="single" w:color="000000" w:sz="4" w:space="0"/>
              <w:bottom w:val="single" w:color="000000" w:sz="4" w:space="0"/>
              <w:right w:val="single" w:color="auto" w:sz="4" w:space="0"/>
            </w:tcBorders>
            <w:vAlign w:val="center"/>
          </w:tcPr>
          <w:p w14:paraId="3E59C128">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4585019.081</w:t>
            </w:r>
          </w:p>
        </w:tc>
        <w:tc>
          <w:tcPr>
            <w:tcW w:w="384" w:type="pct"/>
            <w:vAlign w:val="center"/>
          </w:tcPr>
          <w:p w14:paraId="5B9C09C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16</w:t>
            </w:r>
          </w:p>
        </w:tc>
        <w:tc>
          <w:tcPr>
            <w:tcW w:w="1095" w:type="pct"/>
            <w:vAlign w:val="center"/>
          </w:tcPr>
          <w:p w14:paraId="1268553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491392.2053</w:t>
            </w:r>
          </w:p>
        </w:tc>
        <w:tc>
          <w:tcPr>
            <w:tcW w:w="1101" w:type="pct"/>
            <w:vAlign w:val="center"/>
          </w:tcPr>
          <w:p w14:paraId="6C17EA4A">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4584977.817</w:t>
            </w:r>
          </w:p>
        </w:tc>
      </w:tr>
      <w:tr w14:paraId="72E22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0B3EED5B">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8</w:t>
            </w:r>
          </w:p>
        </w:tc>
        <w:tc>
          <w:tcPr>
            <w:tcW w:w="1095" w:type="pct"/>
            <w:tcBorders>
              <w:top w:val="single" w:color="000000" w:sz="4" w:space="0"/>
              <w:left w:val="single" w:color="000000" w:sz="4" w:space="0"/>
              <w:bottom w:val="single" w:color="000000" w:sz="4" w:space="0"/>
              <w:right w:val="single" w:color="000000" w:sz="4" w:space="0"/>
            </w:tcBorders>
            <w:vAlign w:val="center"/>
          </w:tcPr>
          <w:p w14:paraId="223A92B8">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491528.7942</w:t>
            </w:r>
          </w:p>
        </w:tc>
        <w:tc>
          <w:tcPr>
            <w:tcW w:w="1095" w:type="pct"/>
            <w:tcBorders>
              <w:top w:val="single" w:color="000000" w:sz="4" w:space="0"/>
              <w:left w:val="single" w:color="000000" w:sz="4" w:space="0"/>
              <w:bottom w:val="single" w:color="000000" w:sz="4" w:space="0"/>
              <w:right w:val="single" w:color="auto" w:sz="4" w:space="0"/>
            </w:tcBorders>
            <w:vAlign w:val="center"/>
          </w:tcPr>
          <w:p w14:paraId="648AAAF4">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4585013.813</w:t>
            </w:r>
          </w:p>
        </w:tc>
        <w:tc>
          <w:tcPr>
            <w:tcW w:w="384" w:type="pct"/>
            <w:vAlign w:val="center"/>
          </w:tcPr>
          <w:p w14:paraId="0BE43E30">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17</w:t>
            </w:r>
          </w:p>
        </w:tc>
        <w:tc>
          <w:tcPr>
            <w:tcW w:w="1095" w:type="pct"/>
            <w:vAlign w:val="center"/>
          </w:tcPr>
          <w:p w14:paraId="36B9D574">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491387.8134</w:t>
            </w:r>
          </w:p>
        </w:tc>
        <w:tc>
          <w:tcPr>
            <w:tcW w:w="1101" w:type="pct"/>
            <w:vAlign w:val="center"/>
          </w:tcPr>
          <w:p w14:paraId="6666435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4584984.621</w:t>
            </w:r>
          </w:p>
        </w:tc>
      </w:tr>
      <w:tr w14:paraId="7DCB6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4499FCEA">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9</w:t>
            </w:r>
          </w:p>
        </w:tc>
        <w:tc>
          <w:tcPr>
            <w:tcW w:w="1095" w:type="pct"/>
            <w:tcBorders>
              <w:top w:val="single" w:color="000000" w:sz="4" w:space="0"/>
              <w:left w:val="single" w:color="000000" w:sz="4" w:space="0"/>
              <w:bottom w:val="single" w:color="000000" w:sz="4" w:space="0"/>
              <w:right w:val="single" w:color="000000" w:sz="4" w:space="0"/>
            </w:tcBorders>
            <w:vAlign w:val="center"/>
          </w:tcPr>
          <w:p w14:paraId="5520C18E">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491522.748</w:t>
            </w:r>
          </w:p>
        </w:tc>
        <w:tc>
          <w:tcPr>
            <w:tcW w:w="1095" w:type="pct"/>
            <w:tcBorders>
              <w:top w:val="single" w:color="000000" w:sz="4" w:space="0"/>
              <w:left w:val="single" w:color="000000" w:sz="4" w:space="0"/>
              <w:bottom w:val="single" w:color="000000" w:sz="4" w:space="0"/>
              <w:right w:val="single" w:color="auto" w:sz="4" w:space="0"/>
            </w:tcBorders>
            <w:vAlign w:val="center"/>
          </w:tcPr>
          <w:p w14:paraId="7637B0A2">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4585003.75</w:t>
            </w:r>
          </w:p>
        </w:tc>
        <w:tc>
          <w:tcPr>
            <w:tcW w:w="384" w:type="pct"/>
            <w:vAlign w:val="center"/>
          </w:tcPr>
          <w:p w14:paraId="51D1365F">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18</w:t>
            </w:r>
          </w:p>
        </w:tc>
        <w:tc>
          <w:tcPr>
            <w:tcW w:w="1095" w:type="pct"/>
            <w:vAlign w:val="center"/>
          </w:tcPr>
          <w:p w14:paraId="00ABCAD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491381.9812</w:t>
            </w:r>
          </w:p>
        </w:tc>
        <w:tc>
          <w:tcPr>
            <w:tcW w:w="1101" w:type="pct"/>
            <w:vAlign w:val="center"/>
          </w:tcPr>
          <w:p w14:paraId="5CFE1DF7">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4585015.613</w:t>
            </w:r>
          </w:p>
        </w:tc>
      </w:tr>
      <w:tr w14:paraId="37F97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14DDAAFC">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520m平硐工业广场</w:t>
            </w:r>
          </w:p>
        </w:tc>
      </w:tr>
      <w:tr w14:paraId="32F94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1F97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w:t>
            </w:r>
          </w:p>
        </w:tc>
        <w:tc>
          <w:tcPr>
            <w:tcW w:w="1095" w:type="pct"/>
            <w:tcBorders>
              <w:top w:val="single" w:color="000000" w:sz="4" w:space="0"/>
              <w:left w:val="single" w:color="000000" w:sz="4" w:space="0"/>
              <w:bottom w:val="single" w:color="000000" w:sz="4" w:space="0"/>
              <w:right w:val="single" w:color="000000" w:sz="4" w:space="0"/>
            </w:tcBorders>
            <w:vAlign w:val="center"/>
          </w:tcPr>
          <w:p w14:paraId="699D4A36">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491693.7117</w:t>
            </w:r>
          </w:p>
        </w:tc>
        <w:tc>
          <w:tcPr>
            <w:tcW w:w="1095" w:type="pct"/>
            <w:tcBorders>
              <w:top w:val="single" w:color="000000" w:sz="4" w:space="0"/>
              <w:left w:val="single" w:color="000000" w:sz="4" w:space="0"/>
              <w:bottom w:val="single" w:color="000000" w:sz="4" w:space="0"/>
              <w:right w:val="single" w:color="auto" w:sz="4" w:space="0"/>
            </w:tcBorders>
            <w:vAlign w:val="center"/>
          </w:tcPr>
          <w:p w14:paraId="0E22EA47">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4585033.418</w:t>
            </w:r>
          </w:p>
        </w:tc>
        <w:tc>
          <w:tcPr>
            <w:tcW w:w="384" w:type="pct"/>
            <w:vAlign w:val="center"/>
          </w:tcPr>
          <w:p w14:paraId="5379E6E5">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7</w:t>
            </w:r>
          </w:p>
        </w:tc>
        <w:tc>
          <w:tcPr>
            <w:tcW w:w="1095" w:type="pct"/>
            <w:vAlign w:val="center"/>
          </w:tcPr>
          <w:p w14:paraId="163D5E7C">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491778.0165</w:t>
            </w:r>
          </w:p>
        </w:tc>
        <w:tc>
          <w:tcPr>
            <w:tcW w:w="1101" w:type="pct"/>
            <w:vAlign w:val="center"/>
          </w:tcPr>
          <w:p w14:paraId="15DB07A2">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4585036.423</w:t>
            </w:r>
          </w:p>
        </w:tc>
      </w:tr>
      <w:tr w14:paraId="3B1CB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07563">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2</w:t>
            </w:r>
          </w:p>
        </w:tc>
        <w:tc>
          <w:tcPr>
            <w:tcW w:w="1095" w:type="pct"/>
            <w:tcBorders>
              <w:top w:val="single" w:color="000000" w:sz="4" w:space="0"/>
              <w:left w:val="single" w:color="000000" w:sz="4" w:space="0"/>
              <w:bottom w:val="single" w:color="000000" w:sz="4" w:space="0"/>
              <w:right w:val="single" w:color="000000" w:sz="4" w:space="0"/>
            </w:tcBorders>
            <w:vAlign w:val="center"/>
          </w:tcPr>
          <w:p w14:paraId="57B86FCA">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491727.2124</w:t>
            </w:r>
          </w:p>
        </w:tc>
        <w:tc>
          <w:tcPr>
            <w:tcW w:w="1095" w:type="pct"/>
            <w:tcBorders>
              <w:top w:val="single" w:color="000000" w:sz="4" w:space="0"/>
              <w:left w:val="single" w:color="000000" w:sz="4" w:space="0"/>
              <w:bottom w:val="single" w:color="000000" w:sz="4" w:space="0"/>
              <w:right w:val="single" w:color="auto" w:sz="4" w:space="0"/>
            </w:tcBorders>
            <w:vAlign w:val="center"/>
          </w:tcPr>
          <w:p w14:paraId="6A46591D">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4585039.184</w:t>
            </w:r>
          </w:p>
        </w:tc>
        <w:tc>
          <w:tcPr>
            <w:tcW w:w="384" w:type="pct"/>
            <w:vAlign w:val="center"/>
          </w:tcPr>
          <w:p w14:paraId="69AECDBE">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8</w:t>
            </w:r>
          </w:p>
        </w:tc>
        <w:tc>
          <w:tcPr>
            <w:tcW w:w="1095" w:type="pct"/>
            <w:vAlign w:val="center"/>
          </w:tcPr>
          <w:p w14:paraId="2F952E5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491758.4436</w:t>
            </w:r>
          </w:p>
        </w:tc>
        <w:tc>
          <w:tcPr>
            <w:tcW w:w="1101" w:type="pct"/>
            <w:vAlign w:val="center"/>
          </w:tcPr>
          <w:p w14:paraId="522E9D6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4584979.557</w:t>
            </w:r>
          </w:p>
        </w:tc>
      </w:tr>
      <w:tr w14:paraId="26258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09D5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3</w:t>
            </w:r>
          </w:p>
        </w:tc>
        <w:tc>
          <w:tcPr>
            <w:tcW w:w="1095" w:type="pct"/>
            <w:tcBorders>
              <w:top w:val="single" w:color="000000" w:sz="4" w:space="0"/>
              <w:left w:val="single" w:color="000000" w:sz="4" w:space="0"/>
              <w:bottom w:val="single" w:color="000000" w:sz="4" w:space="0"/>
              <w:right w:val="single" w:color="000000" w:sz="4" w:space="0"/>
            </w:tcBorders>
            <w:vAlign w:val="center"/>
          </w:tcPr>
          <w:p w14:paraId="2D963395">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491735.237</w:t>
            </w:r>
          </w:p>
        </w:tc>
        <w:tc>
          <w:tcPr>
            <w:tcW w:w="1095" w:type="pct"/>
            <w:tcBorders>
              <w:top w:val="single" w:color="000000" w:sz="4" w:space="0"/>
              <w:left w:val="single" w:color="000000" w:sz="4" w:space="0"/>
              <w:bottom w:val="single" w:color="000000" w:sz="4" w:space="0"/>
              <w:right w:val="single" w:color="auto" w:sz="4" w:space="0"/>
            </w:tcBorders>
            <w:vAlign w:val="center"/>
          </w:tcPr>
          <w:p w14:paraId="2F1D5902">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4585041.526</w:t>
            </w:r>
          </w:p>
        </w:tc>
        <w:tc>
          <w:tcPr>
            <w:tcW w:w="384" w:type="pct"/>
            <w:vAlign w:val="center"/>
          </w:tcPr>
          <w:p w14:paraId="469FCF18">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9</w:t>
            </w:r>
          </w:p>
        </w:tc>
        <w:tc>
          <w:tcPr>
            <w:tcW w:w="1095" w:type="pct"/>
            <w:vAlign w:val="center"/>
          </w:tcPr>
          <w:p w14:paraId="14FE8139">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491710.0907</w:t>
            </w:r>
          </w:p>
        </w:tc>
        <w:tc>
          <w:tcPr>
            <w:tcW w:w="1101" w:type="pct"/>
            <w:vAlign w:val="center"/>
          </w:tcPr>
          <w:p w14:paraId="03B2858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4584979.557</w:t>
            </w:r>
          </w:p>
        </w:tc>
      </w:tr>
      <w:tr w14:paraId="4EEFB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45E24">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w:t>
            </w:r>
          </w:p>
        </w:tc>
        <w:tc>
          <w:tcPr>
            <w:tcW w:w="1095" w:type="pct"/>
            <w:tcBorders>
              <w:top w:val="single" w:color="000000" w:sz="4" w:space="0"/>
              <w:left w:val="single" w:color="000000" w:sz="4" w:space="0"/>
              <w:bottom w:val="single" w:color="000000" w:sz="4" w:space="0"/>
              <w:right w:val="single" w:color="000000" w:sz="4" w:space="0"/>
            </w:tcBorders>
            <w:vAlign w:val="center"/>
          </w:tcPr>
          <w:p w14:paraId="6D04265A">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491742.6031</w:t>
            </w:r>
          </w:p>
        </w:tc>
        <w:tc>
          <w:tcPr>
            <w:tcW w:w="1095" w:type="pct"/>
            <w:tcBorders>
              <w:top w:val="single" w:color="000000" w:sz="4" w:space="0"/>
              <w:left w:val="single" w:color="000000" w:sz="4" w:space="0"/>
              <w:bottom w:val="single" w:color="000000" w:sz="4" w:space="0"/>
              <w:right w:val="single" w:color="auto" w:sz="4" w:space="0"/>
            </w:tcBorders>
            <w:vAlign w:val="center"/>
          </w:tcPr>
          <w:p w14:paraId="236A572E">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4585043.785</w:t>
            </w:r>
          </w:p>
        </w:tc>
        <w:tc>
          <w:tcPr>
            <w:tcW w:w="384" w:type="pct"/>
            <w:vAlign w:val="center"/>
          </w:tcPr>
          <w:p w14:paraId="58187A44">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10</w:t>
            </w:r>
          </w:p>
        </w:tc>
        <w:tc>
          <w:tcPr>
            <w:tcW w:w="1095" w:type="pct"/>
            <w:vAlign w:val="center"/>
          </w:tcPr>
          <w:p w14:paraId="767EC810">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491684.2502</w:t>
            </w:r>
          </w:p>
        </w:tc>
        <w:tc>
          <w:tcPr>
            <w:tcW w:w="1101" w:type="pct"/>
            <w:vAlign w:val="center"/>
          </w:tcPr>
          <w:p w14:paraId="3939FB1C">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4584982.305</w:t>
            </w:r>
          </w:p>
        </w:tc>
      </w:tr>
      <w:tr w14:paraId="40DA7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36D19">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5</w:t>
            </w:r>
          </w:p>
        </w:tc>
        <w:tc>
          <w:tcPr>
            <w:tcW w:w="1095" w:type="pct"/>
            <w:tcBorders>
              <w:top w:val="single" w:color="000000" w:sz="4" w:space="0"/>
              <w:left w:val="single" w:color="000000" w:sz="4" w:space="0"/>
              <w:bottom w:val="single" w:color="000000" w:sz="4" w:space="0"/>
              <w:right w:val="single" w:color="000000" w:sz="4" w:space="0"/>
            </w:tcBorders>
            <w:vAlign w:val="center"/>
          </w:tcPr>
          <w:p w14:paraId="70065336">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491750.9789</w:t>
            </w:r>
          </w:p>
        </w:tc>
        <w:tc>
          <w:tcPr>
            <w:tcW w:w="1095" w:type="pct"/>
            <w:tcBorders>
              <w:top w:val="single" w:color="000000" w:sz="4" w:space="0"/>
              <w:left w:val="single" w:color="000000" w:sz="4" w:space="0"/>
              <w:bottom w:val="single" w:color="000000" w:sz="4" w:space="0"/>
              <w:right w:val="single" w:color="auto" w:sz="4" w:space="0"/>
            </w:tcBorders>
            <w:vAlign w:val="center"/>
          </w:tcPr>
          <w:p w14:paraId="6D3C64EF">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4585044.705</w:t>
            </w:r>
          </w:p>
        </w:tc>
        <w:tc>
          <w:tcPr>
            <w:tcW w:w="384" w:type="pct"/>
            <w:vAlign w:val="center"/>
          </w:tcPr>
          <w:p w14:paraId="6637AA5C">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11</w:t>
            </w:r>
          </w:p>
        </w:tc>
        <w:tc>
          <w:tcPr>
            <w:tcW w:w="1095" w:type="pct"/>
            <w:vAlign w:val="center"/>
          </w:tcPr>
          <w:p w14:paraId="1D9F3F2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491693.7117</w:t>
            </w:r>
          </w:p>
        </w:tc>
        <w:tc>
          <w:tcPr>
            <w:tcW w:w="1101" w:type="pct"/>
            <w:vAlign w:val="center"/>
          </w:tcPr>
          <w:p w14:paraId="28D4AF4A">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4585033.418</w:t>
            </w:r>
          </w:p>
        </w:tc>
      </w:tr>
      <w:tr w14:paraId="21CFD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172C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6</w:t>
            </w:r>
          </w:p>
        </w:tc>
        <w:tc>
          <w:tcPr>
            <w:tcW w:w="1095" w:type="pct"/>
            <w:tcBorders>
              <w:top w:val="single" w:color="000000" w:sz="4" w:space="0"/>
              <w:left w:val="single" w:color="000000" w:sz="4" w:space="0"/>
              <w:bottom w:val="single" w:color="000000" w:sz="4" w:space="0"/>
              <w:right w:val="single" w:color="000000" w:sz="4" w:space="0"/>
            </w:tcBorders>
            <w:vAlign w:val="center"/>
          </w:tcPr>
          <w:p w14:paraId="4947FEF8">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491763.2964</w:t>
            </w:r>
          </w:p>
        </w:tc>
        <w:tc>
          <w:tcPr>
            <w:tcW w:w="1095" w:type="pct"/>
            <w:tcBorders>
              <w:top w:val="single" w:color="000000" w:sz="4" w:space="0"/>
              <w:left w:val="single" w:color="000000" w:sz="4" w:space="0"/>
              <w:bottom w:val="single" w:color="000000" w:sz="4" w:space="0"/>
              <w:right w:val="single" w:color="auto" w:sz="4" w:space="0"/>
            </w:tcBorders>
            <w:vAlign w:val="center"/>
          </w:tcPr>
          <w:p w14:paraId="671A6E16">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4585049.215</w:t>
            </w:r>
          </w:p>
        </w:tc>
        <w:tc>
          <w:tcPr>
            <w:tcW w:w="384" w:type="pct"/>
            <w:vAlign w:val="center"/>
          </w:tcPr>
          <w:p w14:paraId="3439CECD">
            <w:pPr>
              <w:pStyle w:val="72"/>
              <w:rPr>
                <w:rFonts w:hint="default" w:ascii="Times New Roman" w:hAnsi="Times New Roman" w:eastAsia="等线" w:cs="Times New Roman"/>
                <w:color w:val="000000"/>
                <w:sz w:val="22"/>
                <w:szCs w:val="22"/>
                <w:lang w:val="en-US" w:eastAsia="zh-CN"/>
              </w:rPr>
            </w:pPr>
          </w:p>
        </w:tc>
        <w:tc>
          <w:tcPr>
            <w:tcW w:w="1095" w:type="pct"/>
            <w:vAlign w:val="center"/>
          </w:tcPr>
          <w:p w14:paraId="1BAD37C9">
            <w:pPr>
              <w:pStyle w:val="72"/>
              <w:rPr>
                <w:rFonts w:hint="default" w:ascii="Times New Roman" w:hAnsi="Times New Roman" w:eastAsia="等线" w:cs="Times New Roman"/>
                <w:color w:val="000000"/>
                <w:sz w:val="22"/>
                <w:szCs w:val="22"/>
                <w:lang w:val="en-US" w:eastAsia="zh-CN"/>
              </w:rPr>
            </w:pPr>
          </w:p>
        </w:tc>
        <w:tc>
          <w:tcPr>
            <w:tcW w:w="1101" w:type="pct"/>
            <w:vAlign w:val="center"/>
          </w:tcPr>
          <w:p w14:paraId="3D4B2F88">
            <w:pPr>
              <w:pStyle w:val="72"/>
              <w:rPr>
                <w:rFonts w:hint="default" w:ascii="Times New Roman" w:hAnsi="Times New Roman" w:eastAsia="等线" w:cs="Times New Roman"/>
                <w:color w:val="000000"/>
                <w:sz w:val="22"/>
                <w:szCs w:val="22"/>
                <w:lang w:val="en-US" w:eastAsia="zh-CN"/>
              </w:rPr>
            </w:pPr>
          </w:p>
        </w:tc>
      </w:tr>
      <w:tr w14:paraId="0B9BF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05D5D1C8">
            <w:pPr>
              <w:pStyle w:val="72"/>
              <w:rPr>
                <w:rFonts w:hint="default" w:ascii="Times New Roman" w:hAnsi="Times New Roman" w:eastAsia="等线" w:cs="Times New Roman"/>
                <w:color w:val="000000"/>
                <w:sz w:val="22"/>
                <w:szCs w:val="22"/>
              </w:rPr>
            </w:pPr>
            <w:r>
              <w:rPr>
                <w:rFonts w:hint="eastAsia" w:ascii="Times New Roman" w:hAnsi="Times New Roman" w:eastAsia="等线" w:cs="Times New Roman"/>
                <w:color w:val="000000"/>
                <w:sz w:val="22"/>
                <w:szCs w:val="22"/>
                <w:lang w:val="en-US" w:eastAsia="zh-CN"/>
              </w:rPr>
              <w:t>548m平硐工业广场</w:t>
            </w:r>
          </w:p>
        </w:tc>
      </w:tr>
      <w:tr w14:paraId="55014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65D9F16C">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w:t>
            </w:r>
          </w:p>
        </w:tc>
        <w:tc>
          <w:tcPr>
            <w:tcW w:w="1095" w:type="pct"/>
            <w:tcBorders>
              <w:top w:val="single" w:color="000000" w:sz="4" w:space="0"/>
              <w:left w:val="single" w:color="000000" w:sz="4" w:space="0"/>
              <w:bottom w:val="single" w:color="000000" w:sz="4" w:space="0"/>
              <w:right w:val="single" w:color="000000" w:sz="4" w:space="0"/>
            </w:tcBorders>
            <w:vAlign w:val="center"/>
          </w:tcPr>
          <w:p w14:paraId="76A32A17">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491836.8739</w:t>
            </w:r>
          </w:p>
        </w:tc>
        <w:tc>
          <w:tcPr>
            <w:tcW w:w="1095" w:type="pct"/>
            <w:tcBorders>
              <w:top w:val="single" w:color="000000" w:sz="4" w:space="0"/>
              <w:left w:val="single" w:color="000000" w:sz="4" w:space="0"/>
              <w:bottom w:val="single" w:color="000000" w:sz="4" w:space="0"/>
              <w:right w:val="single" w:color="auto" w:sz="4" w:space="0"/>
            </w:tcBorders>
            <w:vAlign w:val="center"/>
          </w:tcPr>
          <w:p w14:paraId="2995343D">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4584930.741</w:t>
            </w:r>
          </w:p>
        </w:tc>
        <w:tc>
          <w:tcPr>
            <w:tcW w:w="384" w:type="pct"/>
            <w:vAlign w:val="center"/>
          </w:tcPr>
          <w:p w14:paraId="62014C87">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8</w:t>
            </w:r>
          </w:p>
        </w:tc>
        <w:tc>
          <w:tcPr>
            <w:tcW w:w="1095" w:type="pct"/>
            <w:vAlign w:val="center"/>
          </w:tcPr>
          <w:p w14:paraId="3C233224">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491804.6289</w:t>
            </w:r>
          </w:p>
        </w:tc>
        <w:tc>
          <w:tcPr>
            <w:tcW w:w="1101" w:type="pct"/>
            <w:vAlign w:val="center"/>
          </w:tcPr>
          <w:p w14:paraId="022B6752">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4584967.401</w:t>
            </w:r>
          </w:p>
        </w:tc>
      </w:tr>
      <w:tr w14:paraId="2AB03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3B11994B">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2</w:t>
            </w:r>
          </w:p>
        </w:tc>
        <w:tc>
          <w:tcPr>
            <w:tcW w:w="1095" w:type="pct"/>
            <w:tcBorders>
              <w:top w:val="single" w:color="000000" w:sz="4" w:space="0"/>
              <w:left w:val="single" w:color="000000" w:sz="4" w:space="0"/>
              <w:bottom w:val="single" w:color="000000" w:sz="4" w:space="0"/>
              <w:right w:val="single" w:color="000000" w:sz="4" w:space="0"/>
            </w:tcBorders>
            <w:vAlign w:val="center"/>
          </w:tcPr>
          <w:p w14:paraId="0E700855">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491815.1086</w:t>
            </w:r>
          </w:p>
        </w:tc>
        <w:tc>
          <w:tcPr>
            <w:tcW w:w="1095" w:type="pct"/>
            <w:tcBorders>
              <w:top w:val="single" w:color="000000" w:sz="4" w:space="0"/>
              <w:left w:val="single" w:color="000000" w:sz="4" w:space="0"/>
              <w:bottom w:val="single" w:color="000000" w:sz="4" w:space="0"/>
              <w:right w:val="single" w:color="auto" w:sz="4" w:space="0"/>
            </w:tcBorders>
            <w:vAlign w:val="center"/>
          </w:tcPr>
          <w:p w14:paraId="39E9521C">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4584926.981</w:t>
            </w:r>
          </w:p>
        </w:tc>
        <w:tc>
          <w:tcPr>
            <w:tcW w:w="384" w:type="pct"/>
            <w:vAlign w:val="center"/>
          </w:tcPr>
          <w:p w14:paraId="0486A2DB">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9</w:t>
            </w:r>
          </w:p>
        </w:tc>
        <w:tc>
          <w:tcPr>
            <w:tcW w:w="1095" w:type="pct"/>
            <w:vAlign w:val="center"/>
          </w:tcPr>
          <w:p w14:paraId="6B4BAD52">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491817.527</w:t>
            </w:r>
          </w:p>
        </w:tc>
        <w:tc>
          <w:tcPr>
            <w:tcW w:w="1101" w:type="pct"/>
            <w:vAlign w:val="center"/>
          </w:tcPr>
          <w:p w14:paraId="7A8065DA">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4584967.401</w:t>
            </w:r>
          </w:p>
        </w:tc>
      </w:tr>
      <w:tr w14:paraId="1D29B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1C1A5F43">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3</w:t>
            </w:r>
          </w:p>
        </w:tc>
        <w:tc>
          <w:tcPr>
            <w:tcW w:w="1095" w:type="pct"/>
            <w:tcBorders>
              <w:top w:val="single" w:color="000000" w:sz="4" w:space="0"/>
              <w:left w:val="single" w:color="000000" w:sz="4" w:space="0"/>
              <w:bottom w:val="single" w:color="000000" w:sz="4" w:space="0"/>
              <w:right w:val="single" w:color="000000" w:sz="4" w:space="0"/>
            </w:tcBorders>
            <w:vAlign w:val="center"/>
          </w:tcPr>
          <w:p w14:paraId="043F6B75">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491803.2853</w:t>
            </w:r>
          </w:p>
        </w:tc>
        <w:tc>
          <w:tcPr>
            <w:tcW w:w="1095" w:type="pct"/>
            <w:tcBorders>
              <w:top w:val="single" w:color="000000" w:sz="4" w:space="0"/>
              <w:left w:val="single" w:color="000000" w:sz="4" w:space="0"/>
              <w:bottom w:val="single" w:color="000000" w:sz="4" w:space="0"/>
              <w:right w:val="single" w:color="auto" w:sz="4" w:space="0"/>
            </w:tcBorders>
            <w:vAlign w:val="center"/>
          </w:tcPr>
          <w:p w14:paraId="3E40B9E6">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4584929.264</w:t>
            </w:r>
          </w:p>
        </w:tc>
        <w:tc>
          <w:tcPr>
            <w:tcW w:w="384" w:type="pct"/>
            <w:vAlign w:val="center"/>
          </w:tcPr>
          <w:p w14:paraId="5A5B466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10</w:t>
            </w:r>
          </w:p>
        </w:tc>
        <w:tc>
          <w:tcPr>
            <w:tcW w:w="1095" w:type="pct"/>
            <w:vAlign w:val="center"/>
          </w:tcPr>
          <w:p w14:paraId="525AB19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491827.8722</w:t>
            </w:r>
          </w:p>
        </w:tc>
        <w:tc>
          <w:tcPr>
            <w:tcW w:w="1101" w:type="pct"/>
            <w:vAlign w:val="center"/>
          </w:tcPr>
          <w:p w14:paraId="6FC46E7E">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4584961.895</w:t>
            </w:r>
          </w:p>
        </w:tc>
      </w:tr>
      <w:tr w14:paraId="0350D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5E8E3236">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w:t>
            </w:r>
          </w:p>
        </w:tc>
        <w:tc>
          <w:tcPr>
            <w:tcW w:w="1095" w:type="pct"/>
            <w:tcBorders>
              <w:top w:val="single" w:color="000000" w:sz="4" w:space="0"/>
              <w:left w:val="single" w:color="000000" w:sz="4" w:space="0"/>
              <w:bottom w:val="single" w:color="000000" w:sz="4" w:space="0"/>
              <w:right w:val="single" w:color="000000" w:sz="4" w:space="0"/>
            </w:tcBorders>
            <w:vAlign w:val="center"/>
          </w:tcPr>
          <w:p w14:paraId="36E30B62">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491788.6408</w:t>
            </w:r>
          </w:p>
        </w:tc>
        <w:tc>
          <w:tcPr>
            <w:tcW w:w="1095" w:type="pct"/>
            <w:tcBorders>
              <w:top w:val="single" w:color="000000" w:sz="4" w:space="0"/>
              <w:left w:val="single" w:color="000000" w:sz="4" w:space="0"/>
              <w:bottom w:val="single" w:color="000000" w:sz="4" w:space="0"/>
              <w:right w:val="single" w:color="auto" w:sz="4" w:space="0"/>
            </w:tcBorders>
            <w:vAlign w:val="center"/>
          </w:tcPr>
          <w:p w14:paraId="188F7125">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4584936.112</w:t>
            </w:r>
          </w:p>
        </w:tc>
        <w:tc>
          <w:tcPr>
            <w:tcW w:w="384" w:type="pct"/>
            <w:vAlign w:val="center"/>
          </w:tcPr>
          <w:p w14:paraId="79F3C0BF">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11</w:t>
            </w:r>
          </w:p>
        </w:tc>
        <w:tc>
          <w:tcPr>
            <w:tcW w:w="1095" w:type="pct"/>
            <w:vAlign w:val="center"/>
          </w:tcPr>
          <w:p w14:paraId="2D9E5A02">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491835.2618</w:t>
            </w:r>
          </w:p>
        </w:tc>
        <w:tc>
          <w:tcPr>
            <w:tcW w:w="1101" w:type="pct"/>
            <w:vAlign w:val="center"/>
          </w:tcPr>
          <w:p w14:paraId="189A89E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4584954.51</w:t>
            </w:r>
          </w:p>
        </w:tc>
      </w:tr>
      <w:tr w14:paraId="64C93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59E745E9">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5</w:t>
            </w:r>
          </w:p>
        </w:tc>
        <w:tc>
          <w:tcPr>
            <w:tcW w:w="1095" w:type="pct"/>
            <w:tcBorders>
              <w:top w:val="single" w:color="000000" w:sz="4" w:space="0"/>
              <w:left w:val="single" w:color="000000" w:sz="4" w:space="0"/>
              <w:bottom w:val="single" w:color="000000" w:sz="4" w:space="0"/>
              <w:right w:val="single" w:color="000000" w:sz="4" w:space="0"/>
            </w:tcBorders>
            <w:vAlign w:val="center"/>
          </w:tcPr>
          <w:p w14:paraId="26DC1A56">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491784.8789</w:t>
            </w:r>
          </w:p>
        </w:tc>
        <w:tc>
          <w:tcPr>
            <w:tcW w:w="1095" w:type="pct"/>
            <w:tcBorders>
              <w:top w:val="single" w:color="000000" w:sz="4" w:space="0"/>
              <w:left w:val="single" w:color="000000" w:sz="4" w:space="0"/>
              <w:bottom w:val="single" w:color="000000" w:sz="4" w:space="0"/>
              <w:right w:val="single" w:color="auto" w:sz="4" w:space="0"/>
            </w:tcBorders>
            <w:vAlign w:val="center"/>
          </w:tcPr>
          <w:p w14:paraId="376ACF8A">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4584946.587</w:t>
            </w:r>
          </w:p>
        </w:tc>
        <w:tc>
          <w:tcPr>
            <w:tcW w:w="384" w:type="pct"/>
            <w:vAlign w:val="center"/>
          </w:tcPr>
          <w:p w14:paraId="63DA81A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12</w:t>
            </w:r>
          </w:p>
        </w:tc>
        <w:tc>
          <w:tcPr>
            <w:tcW w:w="1095" w:type="pct"/>
            <w:vAlign w:val="center"/>
          </w:tcPr>
          <w:p w14:paraId="129D9CB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491838.6206</w:t>
            </w:r>
          </w:p>
        </w:tc>
        <w:tc>
          <w:tcPr>
            <w:tcW w:w="1101" w:type="pct"/>
            <w:vAlign w:val="center"/>
          </w:tcPr>
          <w:p w14:paraId="74595EAF">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4584946.587</w:t>
            </w:r>
          </w:p>
        </w:tc>
      </w:tr>
      <w:tr w14:paraId="23F06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7E781C0B">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6</w:t>
            </w:r>
          </w:p>
        </w:tc>
        <w:tc>
          <w:tcPr>
            <w:tcW w:w="1095" w:type="pct"/>
            <w:tcBorders>
              <w:top w:val="single" w:color="000000" w:sz="4" w:space="0"/>
              <w:left w:val="single" w:color="000000" w:sz="4" w:space="0"/>
              <w:bottom w:val="single" w:color="000000" w:sz="4" w:space="0"/>
              <w:right w:val="single" w:color="000000" w:sz="4" w:space="0"/>
            </w:tcBorders>
            <w:vAlign w:val="center"/>
          </w:tcPr>
          <w:p w14:paraId="2C9657DD">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491786.2223</w:t>
            </w:r>
          </w:p>
        </w:tc>
        <w:tc>
          <w:tcPr>
            <w:tcW w:w="1095" w:type="pct"/>
            <w:tcBorders>
              <w:top w:val="single" w:color="000000" w:sz="4" w:space="0"/>
              <w:left w:val="single" w:color="000000" w:sz="4" w:space="0"/>
              <w:bottom w:val="single" w:color="000000" w:sz="4" w:space="0"/>
              <w:right w:val="single" w:color="auto" w:sz="4" w:space="0"/>
            </w:tcBorders>
            <w:vAlign w:val="center"/>
          </w:tcPr>
          <w:p w14:paraId="159A6A3A">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4584954.778</w:t>
            </w:r>
          </w:p>
        </w:tc>
        <w:tc>
          <w:tcPr>
            <w:tcW w:w="384" w:type="pct"/>
            <w:vAlign w:val="center"/>
          </w:tcPr>
          <w:p w14:paraId="327DCC9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13</w:t>
            </w:r>
          </w:p>
        </w:tc>
        <w:tc>
          <w:tcPr>
            <w:tcW w:w="1095" w:type="pct"/>
            <w:vAlign w:val="center"/>
          </w:tcPr>
          <w:p w14:paraId="237874F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491838.3518</w:t>
            </w:r>
          </w:p>
        </w:tc>
        <w:tc>
          <w:tcPr>
            <w:tcW w:w="1101" w:type="pct"/>
            <w:vAlign w:val="center"/>
          </w:tcPr>
          <w:p w14:paraId="4E31ED8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4584938.261</w:t>
            </w:r>
          </w:p>
        </w:tc>
      </w:tr>
      <w:tr w14:paraId="10416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8" w:type="pct"/>
            <w:tcBorders>
              <w:top w:val="single" w:color="000000" w:sz="4" w:space="0"/>
              <w:left w:val="single" w:color="000000" w:sz="4" w:space="0"/>
              <w:bottom w:val="single" w:color="000000" w:sz="4" w:space="0"/>
              <w:right w:val="single" w:color="000000" w:sz="4" w:space="0"/>
            </w:tcBorders>
            <w:vAlign w:val="center"/>
          </w:tcPr>
          <w:p w14:paraId="07C0D0F9">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7</w:t>
            </w:r>
          </w:p>
        </w:tc>
        <w:tc>
          <w:tcPr>
            <w:tcW w:w="1095" w:type="pct"/>
            <w:tcBorders>
              <w:top w:val="single" w:color="000000" w:sz="4" w:space="0"/>
              <w:left w:val="single" w:color="000000" w:sz="4" w:space="0"/>
              <w:bottom w:val="single" w:color="000000" w:sz="4" w:space="0"/>
              <w:right w:val="single" w:color="000000" w:sz="4" w:space="0"/>
            </w:tcBorders>
            <w:vAlign w:val="center"/>
          </w:tcPr>
          <w:p w14:paraId="344E3051">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491792.4028</w:t>
            </w:r>
          </w:p>
        </w:tc>
        <w:tc>
          <w:tcPr>
            <w:tcW w:w="1095" w:type="pct"/>
            <w:tcBorders>
              <w:top w:val="single" w:color="000000" w:sz="4" w:space="0"/>
              <w:left w:val="single" w:color="000000" w:sz="4" w:space="0"/>
              <w:bottom w:val="single" w:color="000000" w:sz="4" w:space="0"/>
              <w:right w:val="single" w:color="auto" w:sz="4" w:space="0"/>
            </w:tcBorders>
            <w:vAlign w:val="center"/>
          </w:tcPr>
          <w:p w14:paraId="0A84705D">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4584962.567</w:t>
            </w:r>
          </w:p>
        </w:tc>
        <w:tc>
          <w:tcPr>
            <w:tcW w:w="384" w:type="pct"/>
            <w:vAlign w:val="center"/>
          </w:tcPr>
          <w:p w14:paraId="2019BEF0">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14</w:t>
            </w:r>
          </w:p>
        </w:tc>
        <w:tc>
          <w:tcPr>
            <w:tcW w:w="1095" w:type="pct"/>
            <w:vAlign w:val="center"/>
          </w:tcPr>
          <w:p w14:paraId="6C9B341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491836.8739</w:t>
            </w:r>
          </w:p>
        </w:tc>
        <w:tc>
          <w:tcPr>
            <w:tcW w:w="1101" w:type="pct"/>
            <w:vAlign w:val="center"/>
          </w:tcPr>
          <w:p w14:paraId="34FB27E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4584930.741</w:t>
            </w:r>
          </w:p>
        </w:tc>
      </w:tr>
      <w:tr w14:paraId="7BA98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53618235">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地裂缝</w:t>
            </w:r>
          </w:p>
        </w:tc>
      </w:tr>
      <w:tr w14:paraId="27544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699726DA">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w:t>
            </w:r>
          </w:p>
        </w:tc>
        <w:tc>
          <w:tcPr>
            <w:tcW w:w="2096" w:type="dxa"/>
            <w:tcBorders>
              <w:top w:val="single" w:color="000000" w:sz="4" w:space="0"/>
              <w:left w:val="single" w:color="000000" w:sz="4" w:space="0"/>
              <w:bottom w:val="single" w:color="000000" w:sz="4" w:space="0"/>
              <w:right w:val="single" w:color="000000" w:sz="4" w:space="0"/>
            </w:tcBorders>
            <w:vAlign w:val="center"/>
          </w:tcPr>
          <w:p w14:paraId="766E1150">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4949487.445</w:t>
            </w:r>
          </w:p>
        </w:tc>
        <w:tc>
          <w:tcPr>
            <w:tcW w:w="2096" w:type="dxa"/>
            <w:tcBorders>
              <w:top w:val="single" w:color="000000" w:sz="4" w:space="0"/>
              <w:left w:val="single" w:color="000000" w:sz="4" w:space="0"/>
              <w:bottom w:val="single" w:color="000000" w:sz="4" w:space="0"/>
              <w:right w:val="single" w:color="auto" w:sz="4" w:space="0"/>
            </w:tcBorders>
            <w:vAlign w:val="center"/>
          </w:tcPr>
          <w:p w14:paraId="5E78E504">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42757597.3</w:t>
            </w:r>
          </w:p>
        </w:tc>
        <w:tc>
          <w:tcPr>
            <w:tcW w:w="735" w:type="dxa"/>
            <w:vAlign w:val="center"/>
          </w:tcPr>
          <w:p w14:paraId="33BE6464">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50</w:t>
            </w:r>
          </w:p>
        </w:tc>
        <w:tc>
          <w:tcPr>
            <w:tcW w:w="2096" w:type="dxa"/>
            <w:vAlign w:val="center"/>
          </w:tcPr>
          <w:p w14:paraId="772154EC">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4949717.55</w:t>
            </w:r>
          </w:p>
        </w:tc>
        <w:tc>
          <w:tcPr>
            <w:tcW w:w="2111" w:type="dxa"/>
            <w:vAlign w:val="center"/>
          </w:tcPr>
          <w:p w14:paraId="4A50FF7F">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42757772.87</w:t>
            </w:r>
          </w:p>
        </w:tc>
      </w:tr>
      <w:tr w14:paraId="6BA9B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3FDFA5C3">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2</w:t>
            </w:r>
          </w:p>
        </w:tc>
        <w:tc>
          <w:tcPr>
            <w:tcW w:w="2096" w:type="dxa"/>
            <w:tcBorders>
              <w:top w:val="single" w:color="000000" w:sz="4" w:space="0"/>
              <w:left w:val="single" w:color="000000" w:sz="4" w:space="0"/>
              <w:bottom w:val="single" w:color="000000" w:sz="4" w:space="0"/>
              <w:right w:val="single" w:color="000000" w:sz="4" w:space="0"/>
            </w:tcBorders>
            <w:vAlign w:val="center"/>
          </w:tcPr>
          <w:p w14:paraId="4062A036">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4949492.042</w:t>
            </w:r>
          </w:p>
        </w:tc>
        <w:tc>
          <w:tcPr>
            <w:tcW w:w="2096" w:type="dxa"/>
            <w:tcBorders>
              <w:top w:val="single" w:color="000000" w:sz="4" w:space="0"/>
              <w:left w:val="single" w:color="000000" w:sz="4" w:space="0"/>
              <w:bottom w:val="single" w:color="000000" w:sz="4" w:space="0"/>
              <w:right w:val="single" w:color="auto" w:sz="4" w:space="0"/>
            </w:tcBorders>
            <w:vAlign w:val="center"/>
          </w:tcPr>
          <w:p w14:paraId="5C268892">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42757613.41</w:t>
            </w:r>
          </w:p>
        </w:tc>
        <w:tc>
          <w:tcPr>
            <w:tcW w:w="735" w:type="dxa"/>
            <w:vAlign w:val="center"/>
          </w:tcPr>
          <w:p w14:paraId="2ED4A10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51</w:t>
            </w:r>
          </w:p>
        </w:tc>
        <w:tc>
          <w:tcPr>
            <w:tcW w:w="2096" w:type="dxa"/>
            <w:vAlign w:val="center"/>
          </w:tcPr>
          <w:p w14:paraId="5B73C0A7">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4949724.291</w:t>
            </w:r>
          </w:p>
        </w:tc>
        <w:tc>
          <w:tcPr>
            <w:tcW w:w="2111" w:type="dxa"/>
            <w:vAlign w:val="center"/>
          </w:tcPr>
          <w:p w14:paraId="7FF2EFA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42757768.03</w:t>
            </w:r>
          </w:p>
        </w:tc>
      </w:tr>
      <w:tr w14:paraId="551B3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5577AFEC">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3</w:t>
            </w:r>
          </w:p>
        </w:tc>
        <w:tc>
          <w:tcPr>
            <w:tcW w:w="2096" w:type="dxa"/>
            <w:tcBorders>
              <w:top w:val="single" w:color="000000" w:sz="4" w:space="0"/>
              <w:left w:val="single" w:color="000000" w:sz="4" w:space="0"/>
              <w:bottom w:val="single" w:color="000000" w:sz="4" w:space="0"/>
              <w:right w:val="single" w:color="000000" w:sz="4" w:space="0"/>
            </w:tcBorders>
            <w:vAlign w:val="center"/>
          </w:tcPr>
          <w:p w14:paraId="567C870F">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4949495.18</w:t>
            </w:r>
          </w:p>
        </w:tc>
        <w:tc>
          <w:tcPr>
            <w:tcW w:w="2096" w:type="dxa"/>
            <w:tcBorders>
              <w:top w:val="single" w:color="000000" w:sz="4" w:space="0"/>
              <w:left w:val="single" w:color="000000" w:sz="4" w:space="0"/>
              <w:bottom w:val="single" w:color="000000" w:sz="4" w:space="0"/>
              <w:right w:val="single" w:color="auto" w:sz="4" w:space="0"/>
            </w:tcBorders>
            <w:vAlign w:val="center"/>
          </w:tcPr>
          <w:p w14:paraId="19847308">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42757627.58</w:t>
            </w:r>
          </w:p>
        </w:tc>
        <w:tc>
          <w:tcPr>
            <w:tcW w:w="735" w:type="dxa"/>
            <w:vAlign w:val="center"/>
          </w:tcPr>
          <w:p w14:paraId="2BFB29A9">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52</w:t>
            </w:r>
          </w:p>
        </w:tc>
        <w:tc>
          <w:tcPr>
            <w:tcW w:w="2096" w:type="dxa"/>
            <w:vAlign w:val="center"/>
          </w:tcPr>
          <w:p w14:paraId="48F04339">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4949730.522</w:t>
            </w:r>
          </w:p>
        </w:tc>
        <w:tc>
          <w:tcPr>
            <w:tcW w:w="2111" w:type="dxa"/>
            <w:vAlign w:val="center"/>
          </w:tcPr>
          <w:p w14:paraId="73AE197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42757762.76</w:t>
            </w:r>
          </w:p>
        </w:tc>
      </w:tr>
      <w:tr w14:paraId="3282C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760465D4">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w:t>
            </w:r>
          </w:p>
        </w:tc>
        <w:tc>
          <w:tcPr>
            <w:tcW w:w="2096" w:type="dxa"/>
            <w:tcBorders>
              <w:top w:val="single" w:color="000000" w:sz="4" w:space="0"/>
              <w:left w:val="single" w:color="000000" w:sz="4" w:space="0"/>
              <w:bottom w:val="single" w:color="000000" w:sz="4" w:space="0"/>
              <w:right w:val="single" w:color="000000" w:sz="4" w:space="0"/>
            </w:tcBorders>
            <w:vAlign w:val="center"/>
          </w:tcPr>
          <w:p w14:paraId="64E70935">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4949497.069</w:t>
            </w:r>
          </w:p>
        </w:tc>
        <w:tc>
          <w:tcPr>
            <w:tcW w:w="2096" w:type="dxa"/>
            <w:tcBorders>
              <w:top w:val="single" w:color="000000" w:sz="4" w:space="0"/>
              <w:left w:val="single" w:color="000000" w:sz="4" w:space="0"/>
              <w:bottom w:val="single" w:color="000000" w:sz="4" w:space="0"/>
              <w:right w:val="single" w:color="auto" w:sz="4" w:space="0"/>
            </w:tcBorders>
            <w:vAlign w:val="center"/>
          </w:tcPr>
          <w:p w14:paraId="0E2007D8">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42757640.05</w:t>
            </w:r>
          </w:p>
        </w:tc>
        <w:tc>
          <w:tcPr>
            <w:tcW w:w="735" w:type="dxa"/>
            <w:vAlign w:val="center"/>
          </w:tcPr>
          <w:p w14:paraId="3A52B03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53</w:t>
            </w:r>
          </w:p>
        </w:tc>
        <w:tc>
          <w:tcPr>
            <w:tcW w:w="2096" w:type="dxa"/>
            <w:vAlign w:val="center"/>
          </w:tcPr>
          <w:p w14:paraId="46A0DC20">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4949736.174</w:t>
            </w:r>
          </w:p>
        </w:tc>
        <w:tc>
          <w:tcPr>
            <w:tcW w:w="2111" w:type="dxa"/>
            <w:vAlign w:val="center"/>
          </w:tcPr>
          <w:p w14:paraId="7C1418E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42757757.17</w:t>
            </w:r>
          </w:p>
        </w:tc>
      </w:tr>
      <w:tr w14:paraId="479F5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4AE5785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5</w:t>
            </w:r>
          </w:p>
        </w:tc>
        <w:tc>
          <w:tcPr>
            <w:tcW w:w="2096" w:type="dxa"/>
            <w:tcBorders>
              <w:top w:val="single" w:color="000000" w:sz="4" w:space="0"/>
              <w:left w:val="single" w:color="000000" w:sz="4" w:space="0"/>
              <w:bottom w:val="single" w:color="000000" w:sz="4" w:space="0"/>
              <w:right w:val="single" w:color="000000" w:sz="4" w:space="0"/>
            </w:tcBorders>
            <w:vAlign w:val="center"/>
          </w:tcPr>
          <w:p w14:paraId="12694320">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4949497.915</w:t>
            </w:r>
          </w:p>
        </w:tc>
        <w:tc>
          <w:tcPr>
            <w:tcW w:w="2096" w:type="dxa"/>
            <w:tcBorders>
              <w:top w:val="single" w:color="000000" w:sz="4" w:space="0"/>
              <w:left w:val="single" w:color="000000" w:sz="4" w:space="0"/>
              <w:bottom w:val="single" w:color="000000" w:sz="4" w:space="0"/>
              <w:right w:val="single" w:color="auto" w:sz="4" w:space="0"/>
            </w:tcBorders>
            <w:vAlign w:val="center"/>
          </w:tcPr>
          <w:p w14:paraId="4DECFAF5">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42757651.03</w:t>
            </w:r>
          </w:p>
        </w:tc>
        <w:tc>
          <w:tcPr>
            <w:tcW w:w="735" w:type="dxa"/>
            <w:vAlign w:val="center"/>
          </w:tcPr>
          <w:p w14:paraId="4CE880E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54</w:t>
            </w:r>
          </w:p>
        </w:tc>
        <w:tc>
          <w:tcPr>
            <w:tcW w:w="2096" w:type="dxa"/>
            <w:vAlign w:val="center"/>
          </w:tcPr>
          <w:p w14:paraId="3699442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4949741.179</w:t>
            </w:r>
          </w:p>
        </w:tc>
        <w:tc>
          <w:tcPr>
            <w:tcW w:w="2111" w:type="dxa"/>
            <w:vAlign w:val="center"/>
          </w:tcPr>
          <w:p w14:paraId="3AF4E7D2">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42757751.33</w:t>
            </w:r>
          </w:p>
        </w:tc>
      </w:tr>
      <w:tr w14:paraId="5736D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6C51AE63">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6</w:t>
            </w:r>
          </w:p>
        </w:tc>
        <w:tc>
          <w:tcPr>
            <w:tcW w:w="2096" w:type="dxa"/>
            <w:tcBorders>
              <w:top w:val="single" w:color="000000" w:sz="4" w:space="0"/>
              <w:left w:val="single" w:color="000000" w:sz="4" w:space="0"/>
              <w:bottom w:val="single" w:color="000000" w:sz="4" w:space="0"/>
              <w:right w:val="single" w:color="000000" w:sz="4" w:space="0"/>
            </w:tcBorders>
            <w:vAlign w:val="center"/>
          </w:tcPr>
          <w:p w14:paraId="2CA800CA">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4949497.927</w:t>
            </w:r>
          </w:p>
        </w:tc>
        <w:tc>
          <w:tcPr>
            <w:tcW w:w="2096" w:type="dxa"/>
            <w:tcBorders>
              <w:top w:val="single" w:color="000000" w:sz="4" w:space="0"/>
              <w:left w:val="single" w:color="000000" w:sz="4" w:space="0"/>
              <w:bottom w:val="single" w:color="000000" w:sz="4" w:space="0"/>
              <w:right w:val="single" w:color="auto" w:sz="4" w:space="0"/>
            </w:tcBorders>
            <w:vAlign w:val="center"/>
          </w:tcPr>
          <w:p w14:paraId="58643829">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42757660.77</w:t>
            </w:r>
          </w:p>
        </w:tc>
        <w:tc>
          <w:tcPr>
            <w:tcW w:w="735" w:type="dxa"/>
            <w:vAlign w:val="center"/>
          </w:tcPr>
          <w:p w14:paraId="7CF2216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55</w:t>
            </w:r>
          </w:p>
        </w:tc>
        <w:tc>
          <w:tcPr>
            <w:tcW w:w="2096" w:type="dxa"/>
            <w:vAlign w:val="center"/>
          </w:tcPr>
          <w:p w14:paraId="1823BE5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4949745.469</w:t>
            </w:r>
          </w:p>
        </w:tc>
        <w:tc>
          <w:tcPr>
            <w:tcW w:w="2111" w:type="dxa"/>
            <w:vAlign w:val="center"/>
          </w:tcPr>
          <w:p w14:paraId="51A273E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42757745.36</w:t>
            </w:r>
          </w:p>
        </w:tc>
      </w:tr>
      <w:tr w14:paraId="27E10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763FC74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7</w:t>
            </w:r>
          </w:p>
        </w:tc>
        <w:tc>
          <w:tcPr>
            <w:tcW w:w="2096" w:type="dxa"/>
            <w:tcBorders>
              <w:top w:val="single" w:color="000000" w:sz="4" w:space="0"/>
              <w:left w:val="single" w:color="000000" w:sz="4" w:space="0"/>
              <w:bottom w:val="single" w:color="000000" w:sz="4" w:space="0"/>
              <w:right w:val="single" w:color="000000" w:sz="4" w:space="0"/>
            </w:tcBorders>
            <w:vAlign w:val="center"/>
          </w:tcPr>
          <w:p w14:paraId="581E2670">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4949497.312</w:t>
            </w:r>
          </w:p>
        </w:tc>
        <w:tc>
          <w:tcPr>
            <w:tcW w:w="2096" w:type="dxa"/>
            <w:tcBorders>
              <w:top w:val="single" w:color="000000" w:sz="4" w:space="0"/>
              <w:left w:val="single" w:color="000000" w:sz="4" w:space="0"/>
              <w:bottom w:val="single" w:color="000000" w:sz="4" w:space="0"/>
              <w:right w:val="single" w:color="auto" w:sz="4" w:space="0"/>
            </w:tcBorders>
            <w:vAlign w:val="center"/>
          </w:tcPr>
          <w:p w14:paraId="146325D1">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42757669.48</w:t>
            </w:r>
          </w:p>
        </w:tc>
        <w:tc>
          <w:tcPr>
            <w:tcW w:w="735" w:type="dxa"/>
            <w:vAlign w:val="center"/>
          </w:tcPr>
          <w:p w14:paraId="74BCDDA3">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56</w:t>
            </w:r>
          </w:p>
        </w:tc>
        <w:tc>
          <w:tcPr>
            <w:tcW w:w="2096" w:type="dxa"/>
            <w:vAlign w:val="center"/>
          </w:tcPr>
          <w:p w14:paraId="7F8DBA0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4949748.975</w:t>
            </w:r>
          </w:p>
        </w:tc>
        <w:tc>
          <w:tcPr>
            <w:tcW w:w="2111" w:type="dxa"/>
            <w:vAlign w:val="center"/>
          </w:tcPr>
          <w:p w14:paraId="499E0049">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42757739.33</w:t>
            </w:r>
          </w:p>
        </w:tc>
      </w:tr>
      <w:tr w14:paraId="06E0F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E79A613">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8</w:t>
            </w:r>
          </w:p>
        </w:tc>
        <w:tc>
          <w:tcPr>
            <w:tcW w:w="2096" w:type="dxa"/>
            <w:tcBorders>
              <w:top w:val="single" w:color="000000" w:sz="4" w:space="0"/>
              <w:left w:val="single" w:color="000000" w:sz="4" w:space="0"/>
              <w:bottom w:val="single" w:color="000000" w:sz="4" w:space="0"/>
              <w:right w:val="single" w:color="000000" w:sz="4" w:space="0"/>
            </w:tcBorders>
            <w:vAlign w:val="center"/>
          </w:tcPr>
          <w:p w14:paraId="327E2400">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4949496.278</w:t>
            </w:r>
          </w:p>
        </w:tc>
        <w:tc>
          <w:tcPr>
            <w:tcW w:w="2096" w:type="dxa"/>
            <w:tcBorders>
              <w:top w:val="single" w:color="000000" w:sz="4" w:space="0"/>
              <w:left w:val="single" w:color="000000" w:sz="4" w:space="0"/>
              <w:bottom w:val="single" w:color="000000" w:sz="4" w:space="0"/>
              <w:right w:val="single" w:color="auto" w:sz="4" w:space="0"/>
            </w:tcBorders>
            <w:vAlign w:val="center"/>
          </w:tcPr>
          <w:p w14:paraId="77370318">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42757677.39</w:t>
            </w:r>
          </w:p>
        </w:tc>
        <w:tc>
          <w:tcPr>
            <w:tcW w:w="735" w:type="dxa"/>
            <w:vAlign w:val="center"/>
          </w:tcPr>
          <w:p w14:paraId="607FD27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57</w:t>
            </w:r>
          </w:p>
        </w:tc>
        <w:tc>
          <w:tcPr>
            <w:tcW w:w="2096" w:type="dxa"/>
            <w:vAlign w:val="center"/>
          </w:tcPr>
          <w:p w14:paraId="62120A62">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4949751.629</w:t>
            </w:r>
          </w:p>
        </w:tc>
        <w:tc>
          <w:tcPr>
            <w:tcW w:w="2111" w:type="dxa"/>
            <w:vAlign w:val="center"/>
          </w:tcPr>
          <w:p w14:paraId="51C949D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42757733.35</w:t>
            </w:r>
          </w:p>
        </w:tc>
      </w:tr>
      <w:tr w14:paraId="07427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75DF423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9</w:t>
            </w:r>
          </w:p>
        </w:tc>
        <w:tc>
          <w:tcPr>
            <w:tcW w:w="2096" w:type="dxa"/>
            <w:tcBorders>
              <w:top w:val="single" w:color="000000" w:sz="4" w:space="0"/>
              <w:left w:val="single" w:color="000000" w:sz="4" w:space="0"/>
              <w:bottom w:val="single" w:color="000000" w:sz="4" w:space="0"/>
              <w:right w:val="single" w:color="000000" w:sz="4" w:space="0"/>
            </w:tcBorders>
            <w:vAlign w:val="center"/>
          </w:tcPr>
          <w:p w14:paraId="39453970">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4949495.033</w:t>
            </w:r>
          </w:p>
        </w:tc>
        <w:tc>
          <w:tcPr>
            <w:tcW w:w="2096" w:type="dxa"/>
            <w:tcBorders>
              <w:top w:val="single" w:color="000000" w:sz="4" w:space="0"/>
              <w:left w:val="single" w:color="000000" w:sz="4" w:space="0"/>
              <w:bottom w:val="single" w:color="000000" w:sz="4" w:space="0"/>
              <w:right w:val="single" w:color="auto" w:sz="4" w:space="0"/>
            </w:tcBorders>
            <w:vAlign w:val="center"/>
          </w:tcPr>
          <w:p w14:paraId="5F09989D">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42757684.74</w:t>
            </w:r>
          </w:p>
        </w:tc>
        <w:tc>
          <w:tcPr>
            <w:tcW w:w="735" w:type="dxa"/>
            <w:vAlign w:val="center"/>
          </w:tcPr>
          <w:p w14:paraId="6FE64BFE">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58</w:t>
            </w:r>
          </w:p>
        </w:tc>
        <w:tc>
          <w:tcPr>
            <w:tcW w:w="2096" w:type="dxa"/>
            <w:vAlign w:val="center"/>
          </w:tcPr>
          <w:p w14:paraId="07F3ACC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4949753.382</w:t>
            </w:r>
          </w:p>
        </w:tc>
        <w:tc>
          <w:tcPr>
            <w:tcW w:w="2111" w:type="dxa"/>
            <w:vAlign w:val="center"/>
          </w:tcPr>
          <w:p w14:paraId="47EB60B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42757727.48</w:t>
            </w:r>
          </w:p>
        </w:tc>
      </w:tr>
      <w:tr w14:paraId="78CCA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0A47272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10</w:t>
            </w:r>
          </w:p>
        </w:tc>
        <w:tc>
          <w:tcPr>
            <w:tcW w:w="2096" w:type="dxa"/>
            <w:tcBorders>
              <w:top w:val="single" w:color="000000" w:sz="4" w:space="0"/>
              <w:left w:val="single" w:color="000000" w:sz="4" w:space="0"/>
              <w:bottom w:val="single" w:color="000000" w:sz="4" w:space="0"/>
              <w:right w:val="single" w:color="000000" w:sz="4" w:space="0"/>
            </w:tcBorders>
            <w:vAlign w:val="center"/>
          </w:tcPr>
          <w:p w14:paraId="1B050101">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4949493.77</w:t>
            </w:r>
          </w:p>
        </w:tc>
        <w:tc>
          <w:tcPr>
            <w:tcW w:w="2096" w:type="dxa"/>
            <w:tcBorders>
              <w:top w:val="single" w:color="000000" w:sz="4" w:space="0"/>
              <w:left w:val="single" w:color="000000" w:sz="4" w:space="0"/>
              <w:bottom w:val="single" w:color="000000" w:sz="4" w:space="0"/>
              <w:right w:val="single" w:color="auto" w:sz="4" w:space="0"/>
            </w:tcBorders>
            <w:vAlign w:val="center"/>
          </w:tcPr>
          <w:p w14:paraId="36DDD71F">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42757691.71</w:t>
            </w:r>
          </w:p>
        </w:tc>
        <w:tc>
          <w:tcPr>
            <w:tcW w:w="735" w:type="dxa"/>
            <w:vAlign w:val="center"/>
          </w:tcPr>
          <w:p w14:paraId="22E1F4E2">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59</w:t>
            </w:r>
          </w:p>
        </w:tc>
        <w:tc>
          <w:tcPr>
            <w:tcW w:w="2096" w:type="dxa"/>
            <w:vAlign w:val="center"/>
          </w:tcPr>
          <w:p w14:paraId="01E0462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4949754.266</w:t>
            </w:r>
          </w:p>
        </w:tc>
        <w:tc>
          <w:tcPr>
            <w:tcW w:w="2111" w:type="dxa"/>
            <w:vAlign w:val="center"/>
          </w:tcPr>
          <w:p w14:paraId="70C6352A">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42757721.73</w:t>
            </w:r>
          </w:p>
        </w:tc>
      </w:tr>
      <w:tr w14:paraId="1DEFC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559059AF">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11</w:t>
            </w:r>
          </w:p>
        </w:tc>
        <w:tc>
          <w:tcPr>
            <w:tcW w:w="2096" w:type="dxa"/>
            <w:tcBorders>
              <w:top w:val="single" w:color="000000" w:sz="4" w:space="0"/>
              <w:left w:val="single" w:color="000000" w:sz="4" w:space="0"/>
              <w:bottom w:val="single" w:color="000000" w:sz="4" w:space="0"/>
              <w:right w:val="single" w:color="000000" w:sz="4" w:space="0"/>
            </w:tcBorders>
            <w:vAlign w:val="center"/>
          </w:tcPr>
          <w:p w14:paraId="515AB64A">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4949492.632</w:t>
            </w:r>
          </w:p>
        </w:tc>
        <w:tc>
          <w:tcPr>
            <w:tcW w:w="2096" w:type="dxa"/>
            <w:tcBorders>
              <w:top w:val="single" w:color="000000" w:sz="4" w:space="0"/>
              <w:left w:val="single" w:color="000000" w:sz="4" w:space="0"/>
              <w:bottom w:val="single" w:color="000000" w:sz="4" w:space="0"/>
              <w:right w:val="single" w:color="auto" w:sz="4" w:space="0"/>
            </w:tcBorders>
            <w:vAlign w:val="center"/>
          </w:tcPr>
          <w:p w14:paraId="6A00FC51">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42757698.38</w:t>
            </w:r>
          </w:p>
        </w:tc>
        <w:tc>
          <w:tcPr>
            <w:tcW w:w="735" w:type="dxa"/>
            <w:vAlign w:val="center"/>
          </w:tcPr>
          <w:p w14:paraId="61C3FEC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60</w:t>
            </w:r>
          </w:p>
        </w:tc>
        <w:tc>
          <w:tcPr>
            <w:tcW w:w="2096" w:type="dxa"/>
            <w:vAlign w:val="center"/>
          </w:tcPr>
          <w:p w14:paraId="7EEA7F19">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4949754.331</w:t>
            </w:r>
          </w:p>
        </w:tc>
        <w:tc>
          <w:tcPr>
            <w:tcW w:w="2111" w:type="dxa"/>
            <w:vAlign w:val="center"/>
          </w:tcPr>
          <w:p w14:paraId="07BF764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42757716.07</w:t>
            </w:r>
          </w:p>
        </w:tc>
      </w:tr>
      <w:tr w14:paraId="7448C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38B37BD3">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12</w:t>
            </w:r>
          </w:p>
        </w:tc>
        <w:tc>
          <w:tcPr>
            <w:tcW w:w="2096" w:type="dxa"/>
            <w:tcBorders>
              <w:top w:val="single" w:color="000000" w:sz="4" w:space="0"/>
              <w:left w:val="single" w:color="000000" w:sz="4" w:space="0"/>
              <w:bottom w:val="single" w:color="000000" w:sz="4" w:space="0"/>
              <w:right w:val="single" w:color="000000" w:sz="4" w:space="0"/>
            </w:tcBorders>
            <w:vAlign w:val="center"/>
          </w:tcPr>
          <w:p w14:paraId="1CBF6448">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4949491.747</w:t>
            </w:r>
          </w:p>
        </w:tc>
        <w:tc>
          <w:tcPr>
            <w:tcW w:w="2096" w:type="dxa"/>
            <w:tcBorders>
              <w:top w:val="single" w:color="000000" w:sz="4" w:space="0"/>
              <w:left w:val="single" w:color="000000" w:sz="4" w:space="0"/>
              <w:bottom w:val="single" w:color="000000" w:sz="4" w:space="0"/>
              <w:right w:val="single" w:color="auto" w:sz="4" w:space="0"/>
            </w:tcBorders>
            <w:vAlign w:val="center"/>
          </w:tcPr>
          <w:p w14:paraId="7B2A712D">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42757704.82</w:t>
            </w:r>
          </w:p>
        </w:tc>
        <w:tc>
          <w:tcPr>
            <w:tcW w:w="735" w:type="dxa"/>
            <w:vAlign w:val="center"/>
          </w:tcPr>
          <w:p w14:paraId="35E93D0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61</w:t>
            </w:r>
          </w:p>
        </w:tc>
        <w:tc>
          <w:tcPr>
            <w:tcW w:w="2096" w:type="dxa"/>
            <w:vAlign w:val="center"/>
          </w:tcPr>
          <w:p w14:paraId="4D428E6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4949753.629</w:t>
            </w:r>
          </w:p>
        </w:tc>
        <w:tc>
          <w:tcPr>
            <w:tcW w:w="2111" w:type="dxa"/>
            <w:vAlign w:val="center"/>
          </w:tcPr>
          <w:p w14:paraId="2F15A57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42757710.48</w:t>
            </w:r>
          </w:p>
        </w:tc>
      </w:tr>
      <w:tr w14:paraId="36FD7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5FE7EE5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13</w:t>
            </w:r>
          </w:p>
        </w:tc>
        <w:tc>
          <w:tcPr>
            <w:tcW w:w="2096" w:type="dxa"/>
            <w:tcBorders>
              <w:top w:val="single" w:color="000000" w:sz="4" w:space="0"/>
              <w:left w:val="single" w:color="000000" w:sz="4" w:space="0"/>
              <w:bottom w:val="single" w:color="000000" w:sz="4" w:space="0"/>
              <w:right w:val="single" w:color="000000" w:sz="4" w:space="0"/>
            </w:tcBorders>
            <w:vAlign w:val="center"/>
          </w:tcPr>
          <w:p w14:paraId="4A8324FD">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4949491.241</w:t>
            </w:r>
          </w:p>
        </w:tc>
        <w:tc>
          <w:tcPr>
            <w:tcW w:w="2096" w:type="dxa"/>
            <w:tcBorders>
              <w:top w:val="single" w:color="000000" w:sz="4" w:space="0"/>
              <w:left w:val="single" w:color="000000" w:sz="4" w:space="0"/>
              <w:bottom w:val="single" w:color="000000" w:sz="4" w:space="0"/>
              <w:right w:val="single" w:color="auto" w:sz="4" w:space="0"/>
            </w:tcBorders>
            <w:vAlign w:val="center"/>
          </w:tcPr>
          <w:p w14:paraId="20C8D2CB">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42757711.07</w:t>
            </w:r>
          </w:p>
        </w:tc>
        <w:tc>
          <w:tcPr>
            <w:tcW w:w="735" w:type="dxa"/>
            <w:vAlign w:val="center"/>
          </w:tcPr>
          <w:p w14:paraId="65B001C4">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62</w:t>
            </w:r>
          </w:p>
        </w:tc>
        <w:tc>
          <w:tcPr>
            <w:tcW w:w="2096" w:type="dxa"/>
            <w:vAlign w:val="center"/>
          </w:tcPr>
          <w:p w14:paraId="399A264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4949752.211</w:t>
            </w:r>
          </w:p>
        </w:tc>
        <w:tc>
          <w:tcPr>
            <w:tcW w:w="2111" w:type="dxa"/>
            <w:vAlign w:val="center"/>
          </w:tcPr>
          <w:p w14:paraId="1C5C59F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42757704.94</w:t>
            </w:r>
          </w:p>
        </w:tc>
      </w:tr>
      <w:tr w14:paraId="3A6FF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ABC805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14</w:t>
            </w:r>
          </w:p>
        </w:tc>
        <w:tc>
          <w:tcPr>
            <w:tcW w:w="2096" w:type="dxa"/>
            <w:tcBorders>
              <w:top w:val="single" w:color="000000" w:sz="4" w:space="0"/>
              <w:left w:val="single" w:color="000000" w:sz="4" w:space="0"/>
              <w:bottom w:val="single" w:color="000000" w:sz="4" w:space="0"/>
              <w:right w:val="single" w:color="000000" w:sz="4" w:space="0"/>
            </w:tcBorders>
            <w:vAlign w:val="center"/>
          </w:tcPr>
          <w:p w14:paraId="457D256C">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4949491.243</w:t>
            </w:r>
          </w:p>
        </w:tc>
        <w:tc>
          <w:tcPr>
            <w:tcW w:w="2096" w:type="dxa"/>
            <w:tcBorders>
              <w:top w:val="single" w:color="000000" w:sz="4" w:space="0"/>
              <w:left w:val="single" w:color="000000" w:sz="4" w:space="0"/>
              <w:bottom w:val="single" w:color="000000" w:sz="4" w:space="0"/>
              <w:right w:val="single" w:color="auto" w:sz="4" w:space="0"/>
            </w:tcBorders>
            <w:vAlign w:val="center"/>
          </w:tcPr>
          <w:p w14:paraId="21194C8B">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42757717.18</w:t>
            </w:r>
          </w:p>
        </w:tc>
        <w:tc>
          <w:tcPr>
            <w:tcW w:w="735" w:type="dxa"/>
            <w:vAlign w:val="center"/>
          </w:tcPr>
          <w:p w14:paraId="5B51147C">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63</w:t>
            </w:r>
          </w:p>
        </w:tc>
        <w:tc>
          <w:tcPr>
            <w:tcW w:w="2096" w:type="dxa"/>
            <w:vAlign w:val="center"/>
          </w:tcPr>
          <w:p w14:paraId="17D20BD9">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4949750.127</w:t>
            </w:r>
          </w:p>
        </w:tc>
        <w:tc>
          <w:tcPr>
            <w:tcW w:w="2111" w:type="dxa"/>
            <w:vAlign w:val="center"/>
          </w:tcPr>
          <w:p w14:paraId="5FAFC257">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42757699.44</w:t>
            </w:r>
          </w:p>
        </w:tc>
      </w:tr>
      <w:tr w14:paraId="5AADF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6EBE81EE">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15</w:t>
            </w:r>
          </w:p>
        </w:tc>
        <w:tc>
          <w:tcPr>
            <w:tcW w:w="2096" w:type="dxa"/>
            <w:tcBorders>
              <w:top w:val="single" w:color="000000" w:sz="4" w:space="0"/>
              <w:left w:val="single" w:color="000000" w:sz="4" w:space="0"/>
              <w:bottom w:val="single" w:color="000000" w:sz="4" w:space="0"/>
              <w:right w:val="single" w:color="000000" w:sz="4" w:space="0"/>
            </w:tcBorders>
            <w:vAlign w:val="center"/>
          </w:tcPr>
          <w:p w14:paraId="466C20B8">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4949491.88</w:t>
            </w:r>
          </w:p>
        </w:tc>
        <w:tc>
          <w:tcPr>
            <w:tcW w:w="2096" w:type="dxa"/>
            <w:tcBorders>
              <w:top w:val="single" w:color="000000" w:sz="4" w:space="0"/>
              <w:left w:val="single" w:color="000000" w:sz="4" w:space="0"/>
              <w:bottom w:val="single" w:color="000000" w:sz="4" w:space="0"/>
              <w:right w:val="single" w:color="auto" w:sz="4" w:space="0"/>
            </w:tcBorders>
            <w:vAlign w:val="center"/>
          </w:tcPr>
          <w:p w14:paraId="3B7AB9DA">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42757723.2</w:t>
            </w:r>
          </w:p>
        </w:tc>
        <w:tc>
          <w:tcPr>
            <w:tcW w:w="735" w:type="dxa"/>
            <w:vAlign w:val="center"/>
          </w:tcPr>
          <w:p w14:paraId="6EA31D7A">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64</w:t>
            </w:r>
          </w:p>
        </w:tc>
        <w:tc>
          <w:tcPr>
            <w:tcW w:w="2096" w:type="dxa"/>
            <w:vAlign w:val="center"/>
          </w:tcPr>
          <w:p w14:paraId="5CADB9C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4949747.43</w:t>
            </w:r>
          </w:p>
        </w:tc>
        <w:tc>
          <w:tcPr>
            <w:tcW w:w="2111" w:type="dxa"/>
            <w:vAlign w:val="center"/>
          </w:tcPr>
          <w:p w14:paraId="46A4985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42757693.95</w:t>
            </w:r>
          </w:p>
        </w:tc>
      </w:tr>
      <w:tr w14:paraId="21EFB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7D1D8B8E">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16</w:t>
            </w:r>
          </w:p>
        </w:tc>
        <w:tc>
          <w:tcPr>
            <w:tcW w:w="2096" w:type="dxa"/>
            <w:tcBorders>
              <w:top w:val="single" w:color="000000" w:sz="4" w:space="0"/>
              <w:left w:val="single" w:color="000000" w:sz="4" w:space="0"/>
              <w:bottom w:val="single" w:color="000000" w:sz="4" w:space="0"/>
              <w:right w:val="single" w:color="000000" w:sz="4" w:space="0"/>
            </w:tcBorders>
            <w:vAlign w:val="center"/>
          </w:tcPr>
          <w:p w14:paraId="06DFB8D2">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4949493.281</w:t>
            </w:r>
          </w:p>
        </w:tc>
        <w:tc>
          <w:tcPr>
            <w:tcW w:w="2096" w:type="dxa"/>
            <w:tcBorders>
              <w:top w:val="single" w:color="000000" w:sz="4" w:space="0"/>
              <w:left w:val="single" w:color="000000" w:sz="4" w:space="0"/>
              <w:bottom w:val="single" w:color="000000" w:sz="4" w:space="0"/>
              <w:right w:val="single" w:color="auto" w:sz="4" w:space="0"/>
            </w:tcBorders>
            <w:vAlign w:val="center"/>
          </w:tcPr>
          <w:p w14:paraId="58F22E0C">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42757729.19</w:t>
            </w:r>
          </w:p>
        </w:tc>
        <w:tc>
          <w:tcPr>
            <w:tcW w:w="735" w:type="dxa"/>
            <w:vAlign w:val="center"/>
          </w:tcPr>
          <w:p w14:paraId="257A835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65</w:t>
            </w:r>
          </w:p>
        </w:tc>
        <w:tc>
          <w:tcPr>
            <w:tcW w:w="2096" w:type="dxa"/>
            <w:vAlign w:val="center"/>
          </w:tcPr>
          <w:p w14:paraId="40B9C5E4">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4949744.17</w:t>
            </w:r>
          </w:p>
        </w:tc>
        <w:tc>
          <w:tcPr>
            <w:tcW w:w="2111" w:type="dxa"/>
            <w:vAlign w:val="center"/>
          </w:tcPr>
          <w:p w14:paraId="7E097CB4">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42757688.46</w:t>
            </w:r>
          </w:p>
        </w:tc>
      </w:tr>
      <w:tr w14:paraId="0DFAF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5C5A11A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17</w:t>
            </w:r>
          </w:p>
        </w:tc>
        <w:tc>
          <w:tcPr>
            <w:tcW w:w="2096" w:type="dxa"/>
            <w:tcBorders>
              <w:top w:val="single" w:color="000000" w:sz="4" w:space="0"/>
              <w:left w:val="single" w:color="000000" w:sz="4" w:space="0"/>
              <w:bottom w:val="single" w:color="000000" w:sz="4" w:space="0"/>
              <w:right w:val="single" w:color="000000" w:sz="4" w:space="0"/>
            </w:tcBorders>
            <w:vAlign w:val="center"/>
          </w:tcPr>
          <w:p w14:paraId="12545776">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4949495.574</w:t>
            </w:r>
          </w:p>
        </w:tc>
        <w:tc>
          <w:tcPr>
            <w:tcW w:w="2096" w:type="dxa"/>
            <w:tcBorders>
              <w:top w:val="single" w:color="000000" w:sz="4" w:space="0"/>
              <w:left w:val="single" w:color="000000" w:sz="4" w:space="0"/>
              <w:bottom w:val="single" w:color="000000" w:sz="4" w:space="0"/>
              <w:right w:val="single" w:color="auto" w:sz="4" w:space="0"/>
            </w:tcBorders>
            <w:vAlign w:val="center"/>
          </w:tcPr>
          <w:p w14:paraId="2106F8A0">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42757735.19</w:t>
            </w:r>
          </w:p>
        </w:tc>
        <w:tc>
          <w:tcPr>
            <w:tcW w:w="735" w:type="dxa"/>
            <w:vAlign w:val="center"/>
          </w:tcPr>
          <w:p w14:paraId="7BD277C7">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66</w:t>
            </w:r>
          </w:p>
        </w:tc>
        <w:tc>
          <w:tcPr>
            <w:tcW w:w="2096" w:type="dxa"/>
            <w:vAlign w:val="center"/>
          </w:tcPr>
          <w:p w14:paraId="75304B6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4949740.415</w:t>
            </w:r>
          </w:p>
        </w:tc>
        <w:tc>
          <w:tcPr>
            <w:tcW w:w="2111" w:type="dxa"/>
            <w:vAlign w:val="center"/>
          </w:tcPr>
          <w:p w14:paraId="3868564F">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42757682.94</w:t>
            </w:r>
          </w:p>
        </w:tc>
      </w:tr>
      <w:tr w14:paraId="77504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386C4E70">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18</w:t>
            </w:r>
          </w:p>
        </w:tc>
        <w:tc>
          <w:tcPr>
            <w:tcW w:w="2096" w:type="dxa"/>
            <w:tcBorders>
              <w:top w:val="single" w:color="000000" w:sz="4" w:space="0"/>
              <w:left w:val="single" w:color="000000" w:sz="4" w:space="0"/>
              <w:bottom w:val="single" w:color="000000" w:sz="4" w:space="0"/>
              <w:right w:val="single" w:color="000000" w:sz="4" w:space="0"/>
            </w:tcBorders>
            <w:vAlign w:val="center"/>
          </w:tcPr>
          <w:p w14:paraId="77FB21AC">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4949498.846</w:t>
            </w:r>
          </w:p>
        </w:tc>
        <w:tc>
          <w:tcPr>
            <w:tcW w:w="2096" w:type="dxa"/>
            <w:tcBorders>
              <w:top w:val="single" w:color="000000" w:sz="4" w:space="0"/>
              <w:left w:val="single" w:color="000000" w:sz="4" w:space="0"/>
              <w:bottom w:val="single" w:color="000000" w:sz="4" w:space="0"/>
              <w:right w:val="single" w:color="auto" w:sz="4" w:space="0"/>
            </w:tcBorders>
            <w:vAlign w:val="center"/>
          </w:tcPr>
          <w:p w14:paraId="3ABFCA51">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42757741.24</w:t>
            </w:r>
          </w:p>
        </w:tc>
        <w:tc>
          <w:tcPr>
            <w:tcW w:w="735" w:type="dxa"/>
            <w:vAlign w:val="center"/>
          </w:tcPr>
          <w:p w14:paraId="3CF8CF1C">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67</w:t>
            </w:r>
          </w:p>
        </w:tc>
        <w:tc>
          <w:tcPr>
            <w:tcW w:w="2096" w:type="dxa"/>
            <w:vAlign w:val="center"/>
          </w:tcPr>
          <w:p w14:paraId="74FE652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4949736.301</w:t>
            </w:r>
          </w:p>
        </w:tc>
        <w:tc>
          <w:tcPr>
            <w:tcW w:w="2111" w:type="dxa"/>
            <w:vAlign w:val="center"/>
          </w:tcPr>
          <w:p w14:paraId="755B97F3">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42757677.39</w:t>
            </w:r>
          </w:p>
        </w:tc>
      </w:tr>
      <w:tr w14:paraId="499AC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4BE4840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19</w:t>
            </w:r>
          </w:p>
        </w:tc>
        <w:tc>
          <w:tcPr>
            <w:tcW w:w="2096" w:type="dxa"/>
            <w:tcBorders>
              <w:top w:val="single" w:color="000000" w:sz="4" w:space="0"/>
              <w:left w:val="single" w:color="000000" w:sz="4" w:space="0"/>
              <w:bottom w:val="single" w:color="000000" w:sz="4" w:space="0"/>
              <w:right w:val="single" w:color="000000" w:sz="4" w:space="0"/>
            </w:tcBorders>
            <w:vAlign w:val="center"/>
          </w:tcPr>
          <w:p w14:paraId="211B1C96">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4949503.026</w:t>
            </w:r>
          </w:p>
        </w:tc>
        <w:tc>
          <w:tcPr>
            <w:tcW w:w="2096" w:type="dxa"/>
            <w:tcBorders>
              <w:top w:val="single" w:color="000000" w:sz="4" w:space="0"/>
              <w:left w:val="single" w:color="000000" w:sz="4" w:space="0"/>
              <w:bottom w:val="single" w:color="000000" w:sz="4" w:space="0"/>
              <w:right w:val="single" w:color="auto" w:sz="4" w:space="0"/>
            </w:tcBorders>
            <w:vAlign w:val="center"/>
          </w:tcPr>
          <w:p w14:paraId="368AC8A1">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42757747.28</w:t>
            </w:r>
          </w:p>
        </w:tc>
        <w:tc>
          <w:tcPr>
            <w:tcW w:w="735" w:type="dxa"/>
            <w:vAlign w:val="center"/>
          </w:tcPr>
          <w:p w14:paraId="0FDFF63A">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68</w:t>
            </w:r>
          </w:p>
        </w:tc>
        <w:tc>
          <w:tcPr>
            <w:tcW w:w="2096" w:type="dxa"/>
            <w:vAlign w:val="center"/>
          </w:tcPr>
          <w:p w14:paraId="579EB8C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4949731.981</w:t>
            </w:r>
          </w:p>
        </w:tc>
        <w:tc>
          <w:tcPr>
            <w:tcW w:w="2111" w:type="dxa"/>
            <w:vAlign w:val="center"/>
          </w:tcPr>
          <w:p w14:paraId="229E77D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42757671.81</w:t>
            </w:r>
          </w:p>
        </w:tc>
      </w:tr>
      <w:tr w14:paraId="0CC60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0BBAF3C">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20</w:t>
            </w:r>
          </w:p>
        </w:tc>
        <w:tc>
          <w:tcPr>
            <w:tcW w:w="2096" w:type="dxa"/>
            <w:tcBorders>
              <w:top w:val="single" w:color="000000" w:sz="4" w:space="0"/>
              <w:left w:val="single" w:color="000000" w:sz="4" w:space="0"/>
              <w:bottom w:val="single" w:color="000000" w:sz="4" w:space="0"/>
              <w:right w:val="single" w:color="000000" w:sz="4" w:space="0"/>
            </w:tcBorders>
            <w:vAlign w:val="center"/>
          </w:tcPr>
          <w:p w14:paraId="0FBFFFA6">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4949508.005</w:t>
            </w:r>
          </w:p>
        </w:tc>
        <w:tc>
          <w:tcPr>
            <w:tcW w:w="2096" w:type="dxa"/>
            <w:tcBorders>
              <w:top w:val="single" w:color="000000" w:sz="4" w:space="0"/>
              <w:left w:val="single" w:color="000000" w:sz="4" w:space="0"/>
              <w:bottom w:val="single" w:color="000000" w:sz="4" w:space="0"/>
              <w:right w:val="single" w:color="auto" w:sz="4" w:space="0"/>
            </w:tcBorders>
            <w:vAlign w:val="center"/>
          </w:tcPr>
          <w:p w14:paraId="556C26F4">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42757753.22</w:t>
            </w:r>
          </w:p>
        </w:tc>
        <w:tc>
          <w:tcPr>
            <w:tcW w:w="735" w:type="dxa"/>
            <w:vAlign w:val="center"/>
          </w:tcPr>
          <w:p w14:paraId="0786FC33">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69</w:t>
            </w:r>
          </w:p>
        </w:tc>
        <w:tc>
          <w:tcPr>
            <w:tcW w:w="2096" w:type="dxa"/>
            <w:vAlign w:val="center"/>
          </w:tcPr>
          <w:p w14:paraId="509BCFD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4949727.608</w:t>
            </w:r>
          </w:p>
        </w:tc>
        <w:tc>
          <w:tcPr>
            <w:tcW w:w="2111" w:type="dxa"/>
            <w:vAlign w:val="center"/>
          </w:tcPr>
          <w:p w14:paraId="4067178E">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42757666.21</w:t>
            </w:r>
          </w:p>
        </w:tc>
      </w:tr>
      <w:tr w14:paraId="6C7D3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0708137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21</w:t>
            </w:r>
          </w:p>
        </w:tc>
        <w:tc>
          <w:tcPr>
            <w:tcW w:w="2096" w:type="dxa"/>
            <w:tcBorders>
              <w:top w:val="single" w:color="000000" w:sz="4" w:space="0"/>
              <w:left w:val="single" w:color="000000" w:sz="4" w:space="0"/>
              <w:bottom w:val="single" w:color="000000" w:sz="4" w:space="0"/>
              <w:right w:val="single" w:color="000000" w:sz="4" w:space="0"/>
            </w:tcBorders>
            <w:vAlign w:val="center"/>
          </w:tcPr>
          <w:p w14:paraId="2AE0B766">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4949513.671</w:t>
            </w:r>
          </w:p>
        </w:tc>
        <w:tc>
          <w:tcPr>
            <w:tcW w:w="2096" w:type="dxa"/>
            <w:tcBorders>
              <w:top w:val="single" w:color="000000" w:sz="4" w:space="0"/>
              <w:left w:val="single" w:color="000000" w:sz="4" w:space="0"/>
              <w:bottom w:val="single" w:color="000000" w:sz="4" w:space="0"/>
              <w:right w:val="single" w:color="auto" w:sz="4" w:space="0"/>
            </w:tcBorders>
            <w:vAlign w:val="center"/>
          </w:tcPr>
          <w:p w14:paraId="569B7821">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42757759</w:t>
            </w:r>
          </w:p>
        </w:tc>
        <w:tc>
          <w:tcPr>
            <w:tcW w:w="735" w:type="dxa"/>
            <w:vAlign w:val="center"/>
          </w:tcPr>
          <w:p w14:paraId="73C0274F">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70</w:t>
            </w:r>
          </w:p>
        </w:tc>
        <w:tc>
          <w:tcPr>
            <w:tcW w:w="2096" w:type="dxa"/>
            <w:vAlign w:val="center"/>
          </w:tcPr>
          <w:p w14:paraId="3A432062">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4949723.334</w:t>
            </w:r>
          </w:p>
        </w:tc>
        <w:tc>
          <w:tcPr>
            <w:tcW w:w="2111" w:type="dxa"/>
            <w:vAlign w:val="center"/>
          </w:tcPr>
          <w:p w14:paraId="1438509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42757660.57</w:t>
            </w:r>
          </w:p>
        </w:tc>
      </w:tr>
      <w:tr w14:paraId="4ACD7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3FAFA97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22</w:t>
            </w:r>
          </w:p>
        </w:tc>
        <w:tc>
          <w:tcPr>
            <w:tcW w:w="2096" w:type="dxa"/>
            <w:tcBorders>
              <w:top w:val="single" w:color="000000" w:sz="4" w:space="0"/>
              <w:left w:val="single" w:color="000000" w:sz="4" w:space="0"/>
              <w:bottom w:val="single" w:color="000000" w:sz="4" w:space="0"/>
              <w:right w:val="single" w:color="000000" w:sz="4" w:space="0"/>
            </w:tcBorders>
            <w:vAlign w:val="center"/>
          </w:tcPr>
          <w:p w14:paraId="3D05BB0E">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4949519.915</w:t>
            </w:r>
          </w:p>
        </w:tc>
        <w:tc>
          <w:tcPr>
            <w:tcW w:w="2096" w:type="dxa"/>
            <w:tcBorders>
              <w:top w:val="single" w:color="000000" w:sz="4" w:space="0"/>
              <w:left w:val="single" w:color="000000" w:sz="4" w:space="0"/>
              <w:bottom w:val="single" w:color="000000" w:sz="4" w:space="0"/>
              <w:right w:val="single" w:color="auto" w:sz="4" w:space="0"/>
            </w:tcBorders>
            <w:vAlign w:val="center"/>
          </w:tcPr>
          <w:p w14:paraId="1E8802F3">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42757764.54</w:t>
            </w:r>
          </w:p>
        </w:tc>
        <w:tc>
          <w:tcPr>
            <w:tcW w:w="735" w:type="dxa"/>
            <w:vAlign w:val="center"/>
          </w:tcPr>
          <w:p w14:paraId="42D2BC50">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71</w:t>
            </w:r>
          </w:p>
        </w:tc>
        <w:tc>
          <w:tcPr>
            <w:tcW w:w="2096" w:type="dxa"/>
            <w:vAlign w:val="center"/>
          </w:tcPr>
          <w:p w14:paraId="32292BF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4949719.312</w:t>
            </w:r>
          </w:p>
        </w:tc>
        <w:tc>
          <w:tcPr>
            <w:tcW w:w="2111" w:type="dxa"/>
            <w:vAlign w:val="center"/>
          </w:tcPr>
          <w:p w14:paraId="7C723EC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42757654.91</w:t>
            </w:r>
          </w:p>
        </w:tc>
      </w:tr>
      <w:tr w14:paraId="3E9D9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65F3DB0C">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23</w:t>
            </w:r>
          </w:p>
        </w:tc>
        <w:tc>
          <w:tcPr>
            <w:tcW w:w="2096" w:type="dxa"/>
            <w:tcBorders>
              <w:top w:val="single" w:color="000000" w:sz="4" w:space="0"/>
              <w:left w:val="single" w:color="000000" w:sz="4" w:space="0"/>
              <w:bottom w:val="single" w:color="000000" w:sz="4" w:space="0"/>
              <w:right w:val="single" w:color="000000" w:sz="4" w:space="0"/>
            </w:tcBorders>
            <w:vAlign w:val="center"/>
          </w:tcPr>
          <w:p w14:paraId="5DB300FD">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4949526.625</w:t>
            </w:r>
          </w:p>
        </w:tc>
        <w:tc>
          <w:tcPr>
            <w:tcW w:w="2096" w:type="dxa"/>
            <w:tcBorders>
              <w:top w:val="single" w:color="000000" w:sz="4" w:space="0"/>
              <w:left w:val="single" w:color="000000" w:sz="4" w:space="0"/>
              <w:bottom w:val="single" w:color="000000" w:sz="4" w:space="0"/>
              <w:right w:val="single" w:color="auto" w:sz="4" w:space="0"/>
            </w:tcBorders>
            <w:vAlign w:val="center"/>
          </w:tcPr>
          <w:p w14:paraId="07D27514">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42757769.75</w:t>
            </w:r>
          </w:p>
        </w:tc>
        <w:tc>
          <w:tcPr>
            <w:tcW w:w="735" w:type="dxa"/>
            <w:vAlign w:val="center"/>
          </w:tcPr>
          <w:p w14:paraId="27E87F0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72</w:t>
            </w:r>
          </w:p>
        </w:tc>
        <w:tc>
          <w:tcPr>
            <w:tcW w:w="2096" w:type="dxa"/>
            <w:vAlign w:val="center"/>
          </w:tcPr>
          <w:p w14:paraId="611BE920">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4949715.694</w:t>
            </w:r>
          </w:p>
        </w:tc>
        <w:tc>
          <w:tcPr>
            <w:tcW w:w="2111" w:type="dxa"/>
            <w:vAlign w:val="center"/>
          </w:tcPr>
          <w:p w14:paraId="0EC8DAD2">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42757649.22</w:t>
            </w:r>
          </w:p>
        </w:tc>
      </w:tr>
      <w:tr w14:paraId="631C4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7D326E52">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24</w:t>
            </w:r>
          </w:p>
        </w:tc>
        <w:tc>
          <w:tcPr>
            <w:tcW w:w="2096" w:type="dxa"/>
            <w:tcBorders>
              <w:top w:val="single" w:color="000000" w:sz="4" w:space="0"/>
              <w:left w:val="single" w:color="000000" w:sz="4" w:space="0"/>
              <w:bottom w:val="single" w:color="000000" w:sz="4" w:space="0"/>
              <w:right w:val="single" w:color="000000" w:sz="4" w:space="0"/>
            </w:tcBorders>
            <w:vAlign w:val="center"/>
          </w:tcPr>
          <w:p w14:paraId="61B524FC">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4949533.69</w:t>
            </w:r>
          </w:p>
        </w:tc>
        <w:tc>
          <w:tcPr>
            <w:tcW w:w="2096" w:type="dxa"/>
            <w:tcBorders>
              <w:top w:val="single" w:color="000000" w:sz="4" w:space="0"/>
              <w:left w:val="single" w:color="000000" w:sz="4" w:space="0"/>
              <w:bottom w:val="single" w:color="000000" w:sz="4" w:space="0"/>
              <w:right w:val="single" w:color="auto" w:sz="4" w:space="0"/>
            </w:tcBorders>
            <w:vAlign w:val="center"/>
          </w:tcPr>
          <w:p w14:paraId="05829977">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42757774.55</w:t>
            </w:r>
          </w:p>
        </w:tc>
        <w:tc>
          <w:tcPr>
            <w:tcW w:w="735" w:type="dxa"/>
            <w:vAlign w:val="center"/>
          </w:tcPr>
          <w:p w14:paraId="2E6626D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73</w:t>
            </w:r>
          </w:p>
        </w:tc>
        <w:tc>
          <w:tcPr>
            <w:tcW w:w="2096" w:type="dxa"/>
            <w:vAlign w:val="center"/>
          </w:tcPr>
          <w:p w14:paraId="137F5890">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4949712.634</w:t>
            </w:r>
          </w:p>
        </w:tc>
        <w:tc>
          <w:tcPr>
            <w:tcW w:w="2111" w:type="dxa"/>
            <w:vAlign w:val="center"/>
          </w:tcPr>
          <w:p w14:paraId="78774D7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42757643.5</w:t>
            </w:r>
          </w:p>
        </w:tc>
      </w:tr>
      <w:tr w14:paraId="0C36F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7BD4DA2A">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25</w:t>
            </w:r>
          </w:p>
        </w:tc>
        <w:tc>
          <w:tcPr>
            <w:tcW w:w="2096" w:type="dxa"/>
            <w:tcBorders>
              <w:top w:val="single" w:color="000000" w:sz="4" w:space="0"/>
              <w:left w:val="single" w:color="000000" w:sz="4" w:space="0"/>
              <w:bottom w:val="single" w:color="000000" w:sz="4" w:space="0"/>
              <w:right w:val="single" w:color="000000" w:sz="4" w:space="0"/>
            </w:tcBorders>
            <w:vAlign w:val="center"/>
          </w:tcPr>
          <w:p w14:paraId="3E8E7E1D">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4949541.001</w:t>
            </w:r>
          </w:p>
        </w:tc>
        <w:tc>
          <w:tcPr>
            <w:tcW w:w="2096" w:type="dxa"/>
            <w:tcBorders>
              <w:top w:val="single" w:color="000000" w:sz="4" w:space="0"/>
              <w:left w:val="single" w:color="000000" w:sz="4" w:space="0"/>
              <w:bottom w:val="single" w:color="000000" w:sz="4" w:space="0"/>
              <w:right w:val="single" w:color="auto" w:sz="4" w:space="0"/>
            </w:tcBorders>
            <w:vAlign w:val="center"/>
          </w:tcPr>
          <w:p w14:paraId="6392F0FE">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42757778.87</w:t>
            </w:r>
          </w:p>
        </w:tc>
        <w:tc>
          <w:tcPr>
            <w:tcW w:w="735" w:type="dxa"/>
            <w:vAlign w:val="center"/>
          </w:tcPr>
          <w:p w14:paraId="7877E40A">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74</w:t>
            </w:r>
          </w:p>
        </w:tc>
        <w:tc>
          <w:tcPr>
            <w:tcW w:w="2096" w:type="dxa"/>
            <w:vAlign w:val="center"/>
          </w:tcPr>
          <w:p w14:paraId="294A8BE7">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4949710.226</w:t>
            </w:r>
          </w:p>
        </w:tc>
        <w:tc>
          <w:tcPr>
            <w:tcW w:w="2111" w:type="dxa"/>
            <w:vAlign w:val="center"/>
          </w:tcPr>
          <w:p w14:paraId="7F5B385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42757637.75</w:t>
            </w:r>
          </w:p>
        </w:tc>
      </w:tr>
      <w:tr w14:paraId="284A2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4F6B753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26</w:t>
            </w:r>
          </w:p>
        </w:tc>
        <w:tc>
          <w:tcPr>
            <w:tcW w:w="2096" w:type="dxa"/>
            <w:tcBorders>
              <w:top w:val="single" w:color="000000" w:sz="4" w:space="0"/>
              <w:left w:val="single" w:color="000000" w:sz="4" w:space="0"/>
              <w:bottom w:val="single" w:color="000000" w:sz="4" w:space="0"/>
              <w:right w:val="single" w:color="000000" w:sz="4" w:space="0"/>
            </w:tcBorders>
            <w:vAlign w:val="center"/>
          </w:tcPr>
          <w:p w14:paraId="1B4C017E">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4949548.455</w:t>
            </w:r>
          </w:p>
        </w:tc>
        <w:tc>
          <w:tcPr>
            <w:tcW w:w="2096" w:type="dxa"/>
            <w:tcBorders>
              <w:top w:val="single" w:color="000000" w:sz="4" w:space="0"/>
              <w:left w:val="single" w:color="000000" w:sz="4" w:space="0"/>
              <w:bottom w:val="single" w:color="000000" w:sz="4" w:space="0"/>
              <w:right w:val="single" w:color="auto" w:sz="4" w:space="0"/>
            </w:tcBorders>
            <w:vAlign w:val="center"/>
          </w:tcPr>
          <w:p w14:paraId="22470068">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42757782.66</w:t>
            </w:r>
          </w:p>
        </w:tc>
        <w:tc>
          <w:tcPr>
            <w:tcW w:w="735" w:type="dxa"/>
            <w:vAlign w:val="center"/>
          </w:tcPr>
          <w:p w14:paraId="0371F1FE">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75</w:t>
            </w:r>
          </w:p>
        </w:tc>
        <w:tc>
          <w:tcPr>
            <w:tcW w:w="2096" w:type="dxa"/>
            <w:vAlign w:val="center"/>
          </w:tcPr>
          <w:p w14:paraId="7A9D2A5C">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4949708.33</w:t>
            </w:r>
          </w:p>
        </w:tc>
        <w:tc>
          <w:tcPr>
            <w:tcW w:w="2111" w:type="dxa"/>
            <w:vAlign w:val="center"/>
          </w:tcPr>
          <w:p w14:paraId="6A58964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42757631.97</w:t>
            </w:r>
          </w:p>
        </w:tc>
      </w:tr>
      <w:tr w14:paraId="0601C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2271BF6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27</w:t>
            </w:r>
          </w:p>
        </w:tc>
        <w:tc>
          <w:tcPr>
            <w:tcW w:w="2096" w:type="dxa"/>
            <w:tcBorders>
              <w:top w:val="single" w:color="000000" w:sz="4" w:space="0"/>
              <w:left w:val="single" w:color="000000" w:sz="4" w:space="0"/>
              <w:bottom w:val="single" w:color="000000" w:sz="4" w:space="0"/>
              <w:right w:val="single" w:color="000000" w:sz="4" w:space="0"/>
            </w:tcBorders>
            <w:vAlign w:val="center"/>
          </w:tcPr>
          <w:p w14:paraId="341BDE3C">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4949555.981</w:t>
            </w:r>
          </w:p>
        </w:tc>
        <w:tc>
          <w:tcPr>
            <w:tcW w:w="2096" w:type="dxa"/>
            <w:tcBorders>
              <w:top w:val="single" w:color="000000" w:sz="4" w:space="0"/>
              <w:left w:val="single" w:color="000000" w:sz="4" w:space="0"/>
              <w:bottom w:val="single" w:color="000000" w:sz="4" w:space="0"/>
              <w:right w:val="single" w:color="auto" w:sz="4" w:space="0"/>
            </w:tcBorders>
            <w:vAlign w:val="center"/>
          </w:tcPr>
          <w:p w14:paraId="4E4FF3A4">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42757785.92</w:t>
            </w:r>
          </w:p>
        </w:tc>
        <w:tc>
          <w:tcPr>
            <w:tcW w:w="735" w:type="dxa"/>
            <w:vAlign w:val="center"/>
          </w:tcPr>
          <w:p w14:paraId="7CF3CF7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76</w:t>
            </w:r>
          </w:p>
        </w:tc>
        <w:tc>
          <w:tcPr>
            <w:tcW w:w="2096" w:type="dxa"/>
            <w:vAlign w:val="center"/>
          </w:tcPr>
          <w:p w14:paraId="3BAD5D4A">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4949706.748</w:t>
            </w:r>
          </w:p>
        </w:tc>
        <w:tc>
          <w:tcPr>
            <w:tcW w:w="2111" w:type="dxa"/>
            <w:vAlign w:val="center"/>
          </w:tcPr>
          <w:p w14:paraId="28908D7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42757626.16</w:t>
            </w:r>
          </w:p>
        </w:tc>
      </w:tr>
      <w:tr w14:paraId="32A81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2945A2C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28</w:t>
            </w:r>
          </w:p>
        </w:tc>
        <w:tc>
          <w:tcPr>
            <w:tcW w:w="2096" w:type="dxa"/>
            <w:tcBorders>
              <w:top w:val="single" w:color="000000" w:sz="4" w:space="0"/>
              <w:left w:val="single" w:color="000000" w:sz="4" w:space="0"/>
              <w:bottom w:val="single" w:color="000000" w:sz="4" w:space="0"/>
              <w:right w:val="single" w:color="000000" w:sz="4" w:space="0"/>
            </w:tcBorders>
            <w:vAlign w:val="center"/>
          </w:tcPr>
          <w:p w14:paraId="013710EC">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4949563.518</w:t>
            </w:r>
          </w:p>
        </w:tc>
        <w:tc>
          <w:tcPr>
            <w:tcW w:w="2096" w:type="dxa"/>
            <w:tcBorders>
              <w:top w:val="single" w:color="000000" w:sz="4" w:space="0"/>
              <w:left w:val="single" w:color="000000" w:sz="4" w:space="0"/>
              <w:bottom w:val="single" w:color="000000" w:sz="4" w:space="0"/>
              <w:right w:val="single" w:color="auto" w:sz="4" w:space="0"/>
            </w:tcBorders>
            <w:vAlign w:val="center"/>
          </w:tcPr>
          <w:p w14:paraId="396924B9">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42757788.69</w:t>
            </w:r>
          </w:p>
        </w:tc>
        <w:tc>
          <w:tcPr>
            <w:tcW w:w="735" w:type="dxa"/>
            <w:vAlign w:val="center"/>
          </w:tcPr>
          <w:p w14:paraId="47254962">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77</w:t>
            </w:r>
          </w:p>
        </w:tc>
        <w:tc>
          <w:tcPr>
            <w:tcW w:w="2096" w:type="dxa"/>
            <w:vAlign w:val="center"/>
          </w:tcPr>
          <w:p w14:paraId="200BDA14">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4949705.282</w:t>
            </w:r>
          </w:p>
        </w:tc>
        <w:tc>
          <w:tcPr>
            <w:tcW w:w="2111" w:type="dxa"/>
            <w:vAlign w:val="center"/>
          </w:tcPr>
          <w:p w14:paraId="21F4E99F">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42757620.3</w:t>
            </w:r>
          </w:p>
        </w:tc>
      </w:tr>
      <w:tr w14:paraId="7FEBA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4226C4A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29</w:t>
            </w:r>
          </w:p>
        </w:tc>
        <w:tc>
          <w:tcPr>
            <w:tcW w:w="2096" w:type="dxa"/>
            <w:tcBorders>
              <w:top w:val="single" w:color="000000" w:sz="4" w:space="0"/>
              <w:left w:val="single" w:color="000000" w:sz="4" w:space="0"/>
              <w:bottom w:val="single" w:color="000000" w:sz="4" w:space="0"/>
              <w:right w:val="single" w:color="000000" w:sz="4" w:space="0"/>
            </w:tcBorders>
            <w:vAlign w:val="center"/>
          </w:tcPr>
          <w:p w14:paraId="593005CC">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4949571.003</w:t>
            </w:r>
          </w:p>
        </w:tc>
        <w:tc>
          <w:tcPr>
            <w:tcW w:w="2096" w:type="dxa"/>
            <w:tcBorders>
              <w:top w:val="single" w:color="000000" w:sz="4" w:space="0"/>
              <w:left w:val="single" w:color="000000" w:sz="4" w:space="0"/>
              <w:bottom w:val="single" w:color="000000" w:sz="4" w:space="0"/>
              <w:right w:val="single" w:color="auto" w:sz="4" w:space="0"/>
            </w:tcBorders>
            <w:vAlign w:val="center"/>
          </w:tcPr>
          <w:p w14:paraId="263D81D0">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42757791.01</w:t>
            </w:r>
          </w:p>
        </w:tc>
        <w:tc>
          <w:tcPr>
            <w:tcW w:w="735" w:type="dxa"/>
            <w:vAlign w:val="center"/>
          </w:tcPr>
          <w:p w14:paraId="01D8A0F2">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78</w:t>
            </w:r>
          </w:p>
        </w:tc>
        <w:tc>
          <w:tcPr>
            <w:tcW w:w="2096" w:type="dxa"/>
            <w:vAlign w:val="center"/>
          </w:tcPr>
          <w:p w14:paraId="6137879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4949703.733</w:t>
            </w:r>
          </w:p>
        </w:tc>
        <w:tc>
          <w:tcPr>
            <w:tcW w:w="2111" w:type="dxa"/>
            <w:vAlign w:val="center"/>
          </w:tcPr>
          <w:p w14:paraId="03C0F05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42757614.4</w:t>
            </w:r>
          </w:p>
        </w:tc>
      </w:tr>
      <w:tr w14:paraId="78514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11B13A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30</w:t>
            </w:r>
          </w:p>
        </w:tc>
        <w:tc>
          <w:tcPr>
            <w:tcW w:w="2096" w:type="dxa"/>
            <w:tcBorders>
              <w:top w:val="single" w:color="000000" w:sz="4" w:space="0"/>
              <w:left w:val="single" w:color="000000" w:sz="4" w:space="0"/>
              <w:bottom w:val="single" w:color="000000" w:sz="4" w:space="0"/>
              <w:right w:val="single" w:color="000000" w:sz="4" w:space="0"/>
            </w:tcBorders>
            <w:vAlign w:val="center"/>
          </w:tcPr>
          <w:p w14:paraId="07CE0A22">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4949578.375</w:t>
            </w:r>
          </w:p>
        </w:tc>
        <w:tc>
          <w:tcPr>
            <w:tcW w:w="2096" w:type="dxa"/>
            <w:tcBorders>
              <w:top w:val="single" w:color="000000" w:sz="4" w:space="0"/>
              <w:left w:val="single" w:color="000000" w:sz="4" w:space="0"/>
              <w:bottom w:val="single" w:color="000000" w:sz="4" w:space="0"/>
              <w:right w:val="single" w:color="auto" w:sz="4" w:space="0"/>
            </w:tcBorders>
            <w:vAlign w:val="center"/>
          </w:tcPr>
          <w:p w14:paraId="65220E12">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42757792.92</w:t>
            </w:r>
          </w:p>
        </w:tc>
        <w:tc>
          <w:tcPr>
            <w:tcW w:w="735" w:type="dxa"/>
            <w:vAlign w:val="center"/>
          </w:tcPr>
          <w:p w14:paraId="21203B07">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79</w:t>
            </w:r>
          </w:p>
        </w:tc>
        <w:tc>
          <w:tcPr>
            <w:tcW w:w="2096" w:type="dxa"/>
            <w:vAlign w:val="center"/>
          </w:tcPr>
          <w:p w14:paraId="1782957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4949701.904</w:t>
            </w:r>
          </w:p>
        </w:tc>
        <w:tc>
          <w:tcPr>
            <w:tcW w:w="2111" w:type="dxa"/>
            <w:vAlign w:val="center"/>
          </w:tcPr>
          <w:p w14:paraId="32D9D66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42757608.46</w:t>
            </w:r>
          </w:p>
        </w:tc>
      </w:tr>
      <w:tr w14:paraId="1E7E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7E5A8FB4">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31</w:t>
            </w:r>
          </w:p>
        </w:tc>
        <w:tc>
          <w:tcPr>
            <w:tcW w:w="2096" w:type="dxa"/>
            <w:tcBorders>
              <w:top w:val="single" w:color="000000" w:sz="4" w:space="0"/>
              <w:left w:val="single" w:color="000000" w:sz="4" w:space="0"/>
              <w:bottom w:val="single" w:color="000000" w:sz="4" w:space="0"/>
              <w:right w:val="single" w:color="000000" w:sz="4" w:space="0"/>
            </w:tcBorders>
            <w:vAlign w:val="center"/>
          </w:tcPr>
          <w:p w14:paraId="32D6B5D6">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4949585.57</w:t>
            </w:r>
          </w:p>
        </w:tc>
        <w:tc>
          <w:tcPr>
            <w:tcW w:w="2096" w:type="dxa"/>
            <w:tcBorders>
              <w:top w:val="single" w:color="000000" w:sz="4" w:space="0"/>
              <w:left w:val="single" w:color="000000" w:sz="4" w:space="0"/>
              <w:bottom w:val="single" w:color="000000" w:sz="4" w:space="0"/>
              <w:right w:val="single" w:color="auto" w:sz="4" w:space="0"/>
            </w:tcBorders>
            <w:vAlign w:val="center"/>
          </w:tcPr>
          <w:p w14:paraId="35B49540">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42757794.44</w:t>
            </w:r>
          </w:p>
        </w:tc>
        <w:tc>
          <w:tcPr>
            <w:tcW w:w="735" w:type="dxa"/>
            <w:vAlign w:val="center"/>
          </w:tcPr>
          <w:p w14:paraId="44533DFE">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80</w:t>
            </w:r>
          </w:p>
        </w:tc>
        <w:tc>
          <w:tcPr>
            <w:tcW w:w="2096" w:type="dxa"/>
            <w:vAlign w:val="center"/>
          </w:tcPr>
          <w:p w14:paraId="38D12F0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4949699.595</w:t>
            </w:r>
          </w:p>
        </w:tc>
        <w:tc>
          <w:tcPr>
            <w:tcW w:w="2111" w:type="dxa"/>
            <w:vAlign w:val="center"/>
          </w:tcPr>
          <w:p w14:paraId="44E55E5F">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42757602.47</w:t>
            </w:r>
          </w:p>
        </w:tc>
      </w:tr>
      <w:tr w14:paraId="0DD43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2CC8464C">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32</w:t>
            </w:r>
          </w:p>
        </w:tc>
        <w:tc>
          <w:tcPr>
            <w:tcW w:w="2096" w:type="dxa"/>
            <w:tcBorders>
              <w:top w:val="single" w:color="000000" w:sz="4" w:space="0"/>
              <w:left w:val="single" w:color="000000" w:sz="4" w:space="0"/>
              <w:bottom w:val="single" w:color="000000" w:sz="4" w:space="0"/>
              <w:right w:val="single" w:color="000000" w:sz="4" w:space="0"/>
            </w:tcBorders>
            <w:vAlign w:val="center"/>
          </w:tcPr>
          <w:p w14:paraId="6398B8F2">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4949592.528</w:t>
            </w:r>
          </w:p>
        </w:tc>
        <w:tc>
          <w:tcPr>
            <w:tcW w:w="2096" w:type="dxa"/>
            <w:tcBorders>
              <w:top w:val="single" w:color="000000" w:sz="4" w:space="0"/>
              <w:left w:val="single" w:color="000000" w:sz="4" w:space="0"/>
              <w:bottom w:val="single" w:color="000000" w:sz="4" w:space="0"/>
              <w:right w:val="single" w:color="auto" w:sz="4" w:space="0"/>
            </w:tcBorders>
            <w:vAlign w:val="center"/>
          </w:tcPr>
          <w:p w14:paraId="05760C4D">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42757795.63</w:t>
            </w:r>
          </w:p>
        </w:tc>
        <w:tc>
          <w:tcPr>
            <w:tcW w:w="735" w:type="dxa"/>
            <w:vAlign w:val="center"/>
          </w:tcPr>
          <w:p w14:paraId="0950732F">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81</w:t>
            </w:r>
          </w:p>
        </w:tc>
        <w:tc>
          <w:tcPr>
            <w:tcW w:w="2096" w:type="dxa"/>
            <w:vAlign w:val="center"/>
          </w:tcPr>
          <w:p w14:paraId="705BBB9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4949696.61</w:t>
            </w:r>
          </w:p>
        </w:tc>
        <w:tc>
          <w:tcPr>
            <w:tcW w:w="2111" w:type="dxa"/>
            <w:vAlign w:val="center"/>
          </w:tcPr>
          <w:p w14:paraId="60F04F0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42757596.43</w:t>
            </w:r>
          </w:p>
        </w:tc>
      </w:tr>
      <w:tr w14:paraId="64A41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33F113F2">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33</w:t>
            </w:r>
          </w:p>
        </w:tc>
        <w:tc>
          <w:tcPr>
            <w:tcW w:w="2096" w:type="dxa"/>
            <w:tcBorders>
              <w:top w:val="single" w:color="000000" w:sz="4" w:space="0"/>
              <w:left w:val="single" w:color="000000" w:sz="4" w:space="0"/>
              <w:bottom w:val="single" w:color="000000" w:sz="4" w:space="0"/>
              <w:right w:val="single" w:color="000000" w:sz="4" w:space="0"/>
            </w:tcBorders>
            <w:vAlign w:val="center"/>
          </w:tcPr>
          <w:p w14:paraId="54962244">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4949599.186</w:t>
            </w:r>
          </w:p>
        </w:tc>
        <w:tc>
          <w:tcPr>
            <w:tcW w:w="2096" w:type="dxa"/>
            <w:tcBorders>
              <w:top w:val="single" w:color="000000" w:sz="4" w:space="0"/>
              <w:left w:val="single" w:color="000000" w:sz="4" w:space="0"/>
              <w:bottom w:val="single" w:color="000000" w:sz="4" w:space="0"/>
              <w:right w:val="single" w:color="auto" w:sz="4" w:space="0"/>
            </w:tcBorders>
            <w:vAlign w:val="center"/>
          </w:tcPr>
          <w:p w14:paraId="7101285D">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42757796.51</w:t>
            </w:r>
          </w:p>
        </w:tc>
        <w:tc>
          <w:tcPr>
            <w:tcW w:w="735" w:type="dxa"/>
            <w:vAlign w:val="center"/>
          </w:tcPr>
          <w:p w14:paraId="79283D59">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82</w:t>
            </w:r>
          </w:p>
        </w:tc>
        <w:tc>
          <w:tcPr>
            <w:tcW w:w="2096" w:type="dxa"/>
            <w:vAlign w:val="center"/>
          </w:tcPr>
          <w:p w14:paraId="3205110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4949692.767</w:t>
            </w:r>
          </w:p>
        </w:tc>
        <w:tc>
          <w:tcPr>
            <w:tcW w:w="2111" w:type="dxa"/>
            <w:vAlign w:val="center"/>
          </w:tcPr>
          <w:p w14:paraId="5F1794A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42757590.37</w:t>
            </w:r>
          </w:p>
        </w:tc>
      </w:tr>
      <w:tr w14:paraId="2541C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6042583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34</w:t>
            </w:r>
          </w:p>
        </w:tc>
        <w:tc>
          <w:tcPr>
            <w:tcW w:w="2096" w:type="dxa"/>
            <w:tcBorders>
              <w:top w:val="single" w:color="000000" w:sz="4" w:space="0"/>
              <w:left w:val="single" w:color="000000" w:sz="4" w:space="0"/>
              <w:bottom w:val="single" w:color="000000" w:sz="4" w:space="0"/>
              <w:right w:val="single" w:color="000000" w:sz="4" w:space="0"/>
            </w:tcBorders>
            <w:vAlign w:val="center"/>
          </w:tcPr>
          <w:p w14:paraId="618B1818">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4949605.509</w:t>
            </w:r>
          </w:p>
        </w:tc>
        <w:tc>
          <w:tcPr>
            <w:tcW w:w="2096" w:type="dxa"/>
            <w:tcBorders>
              <w:top w:val="single" w:color="000000" w:sz="4" w:space="0"/>
              <w:left w:val="single" w:color="000000" w:sz="4" w:space="0"/>
              <w:bottom w:val="single" w:color="000000" w:sz="4" w:space="0"/>
              <w:right w:val="single" w:color="auto" w:sz="4" w:space="0"/>
            </w:tcBorders>
            <w:vAlign w:val="center"/>
          </w:tcPr>
          <w:p w14:paraId="4D52E2E3">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42757797.11</w:t>
            </w:r>
          </w:p>
        </w:tc>
        <w:tc>
          <w:tcPr>
            <w:tcW w:w="735" w:type="dxa"/>
            <w:vAlign w:val="center"/>
          </w:tcPr>
          <w:p w14:paraId="7983CB1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83</w:t>
            </w:r>
          </w:p>
        </w:tc>
        <w:tc>
          <w:tcPr>
            <w:tcW w:w="2096" w:type="dxa"/>
            <w:vAlign w:val="center"/>
          </w:tcPr>
          <w:p w14:paraId="6973492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4949687.951</w:t>
            </w:r>
          </w:p>
        </w:tc>
        <w:tc>
          <w:tcPr>
            <w:tcW w:w="2111" w:type="dxa"/>
            <w:vAlign w:val="center"/>
          </w:tcPr>
          <w:p w14:paraId="046DFE90">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42757584.46</w:t>
            </w:r>
          </w:p>
        </w:tc>
      </w:tr>
      <w:tr w14:paraId="69023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3AA265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35</w:t>
            </w:r>
          </w:p>
        </w:tc>
        <w:tc>
          <w:tcPr>
            <w:tcW w:w="2096" w:type="dxa"/>
            <w:tcBorders>
              <w:top w:val="single" w:color="000000" w:sz="4" w:space="0"/>
              <w:left w:val="single" w:color="000000" w:sz="4" w:space="0"/>
              <w:bottom w:val="single" w:color="000000" w:sz="4" w:space="0"/>
              <w:right w:val="single" w:color="000000" w:sz="4" w:space="0"/>
            </w:tcBorders>
            <w:vAlign w:val="center"/>
          </w:tcPr>
          <w:p w14:paraId="3760A9A2">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4949611.575</w:t>
            </w:r>
          </w:p>
        </w:tc>
        <w:tc>
          <w:tcPr>
            <w:tcW w:w="2096" w:type="dxa"/>
            <w:tcBorders>
              <w:top w:val="single" w:color="000000" w:sz="4" w:space="0"/>
              <w:left w:val="single" w:color="000000" w:sz="4" w:space="0"/>
              <w:bottom w:val="single" w:color="000000" w:sz="4" w:space="0"/>
              <w:right w:val="single" w:color="auto" w:sz="4" w:space="0"/>
            </w:tcBorders>
            <w:vAlign w:val="center"/>
          </w:tcPr>
          <w:p w14:paraId="697F289A">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42757797.45</w:t>
            </w:r>
          </w:p>
        </w:tc>
        <w:tc>
          <w:tcPr>
            <w:tcW w:w="735" w:type="dxa"/>
            <w:vAlign w:val="center"/>
          </w:tcPr>
          <w:p w14:paraId="38897E22">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84</w:t>
            </w:r>
          </w:p>
        </w:tc>
        <w:tc>
          <w:tcPr>
            <w:tcW w:w="2096" w:type="dxa"/>
            <w:vAlign w:val="center"/>
          </w:tcPr>
          <w:p w14:paraId="77F72832">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4949682.065</w:t>
            </w:r>
          </w:p>
        </w:tc>
        <w:tc>
          <w:tcPr>
            <w:tcW w:w="2111" w:type="dxa"/>
            <w:vAlign w:val="center"/>
          </w:tcPr>
          <w:p w14:paraId="516C622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42757578.93</w:t>
            </w:r>
          </w:p>
        </w:tc>
      </w:tr>
      <w:tr w14:paraId="5C35A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3318A5B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36</w:t>
            </w:r>
          </w:p>
        </w:tc>
        <w:tc>
          <w:tcPr>
            <w:tcW w:w="2096" w:type="dxa"/>
            <w:tcBorders>
              <w:top w:val="single" w:color="000000" w:sz="4" w:space="0"/>
              <w:left w:val="single" w:color="000000" w:sz="4" w:space="0"/>
              <w:bottom w:val="single" w:color="000000" w:sz="4" w:space="0"/>
              <w:right w:val="single" w:color="000000" w:sz="4" w:space="0"/>
            </w:tcBorders>
            <w:vAlign w:val="center"/>
          </w:tcPr>
          <w:p w14:paraId="5D8323A2">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4949617.49</w:t>
            </w:r>
          </w:p>
        </w:tc>
        <w:tc>
          <w:tcPr>
            <w:tcW w:w="2096" w:type="dxa"/>
            <w:tcBorders>
              <w:top w:val="single" w:color="000000" w:sz="4" w:space="0"/>
              <w:left w:val="single" w:color="000000" w:sz="4" w:space="0"/>
              <w:bottom w:val="single" w:color="000000" w:sz="4" w:space="0"/>
              <w:right w:val="single" w:color="auto" w:sz="4" w:space="0"/>
            </w:tcBorders>
            <w:vAlign w:val="center"/>
          </w:tcPr>
          <w:p w14:paraId="257485C3">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42757797.56</w:t>
            </w:r>
          </w:p>
        </w:tc>
        <w:tc>
          <w:tcPr>
            <w:tcW w:w="735" w:type="dxa"/>
            <w:vAlign w:val="center"/>
          </w:tcPr>
          <w:p w14:paraId="4A457D40">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85</w:t>
            </w:r>
          </w:p>
        </w:tc>
        <w:tc>
          <w:tcPr>
            <w:tcW w:w="2096" w:type="dxa"/>
            <w:vAlign w:val="center"/>
          </w:tcPr>
          <w:p w14:paraId="3F97923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4949675.012</w:t>
            </w:r>
          </w:p>
        </w:tc>
        <w:tc>
          <w:tcPr>
            <w:tcW w:w="2111" w:type="dxa"/>
            <w:vAlign w:val="center"/>
          </w:tcPr>
          <w:p w14:paraId="24FCCE13">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42757573.97</w:t>
            </w:r>
          </w:p>
        </w:tc>
      </w:tr>
      <w:tr w14:paraId="39402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61B11E8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37</w:t>
            </w:r>
          </w:p>
        </w:tc>
        <w:tc>
          <w:tcPr>
            <w:tcW w:w="2096" w:type="dxa"/>
            <w:tcBorders>
              <w:top w:val="single" w:color="000000" w:sz="4" w:space="0"/>
              <w:left w:val="single" w:color="000000" w:sz="4" w:space="0"/>
              <w:bottom w:val="single" w:color="000000" w:sz="4" w:space="0"/>
              <w:right w:val="single" w:color="000000" w:sz="4" w:space="0"/>
            </w:tcBorders>
            <w:vAlign w:val="center"/>
          </w:tcPr>
          <w:p w14:paraId="51E74FAD">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4949623.358</w:t>
            </w:r>
          </w:p>
        </w:tc>
        <w:tc>
          <w:tcPr>
            <w:tcW w:w="2096" w:type="dxa"/>
            <w:tcBorders>
              <w:top w:val="single" w:color="000000" w:sz="4" w:space="0"/>
              <w:left w:val="single" w:color="000000" w:sz="4" w:space="0"/>
              <w:bottom w:val="single" w:color="000000" w:sz="4" w:space="0"/>
              <w:right w:val="single" w:color="auto" w:sz="4" w:space="0"/>
            </w:tcBorders>
            <w:vAlign w:val="center"/>
          </w:tcPr>
          <w:p w14:paraId="2A11B9EA">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42757797.43</w:t>
            </w:r>
          </w:p>
        </w:tc>
        <w:tc>
          <w:tcPr>
            <w:tcW w:w="735" w:type="dxa"/>
            <w:vAlign w:val="center"/>
          </w:tcPr>
          <w:p w14:paraId="7F4973DC">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86</w:t>
            </w:r>
          </w:p>
        </w:tc>
        <w:tc>
          <w:tcPr>
            <w:tcW w:w="2096" w:type="dxa"/>
            <w:vAlign w:val="center"/>
          </w:tcPr>
          <w:p w14:paraId="0D2EFC07">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4949666.694</w:t>
            </w:r>
          </w:p>
        </w:tc>
        <w:tc>
          <w:tcPr>
            <w:tcW w:w="2111" w:type="dxa"/>
            <w:vAlign w:val="center"/>
          </w:tcPr>
          <w:p w14:paraId="46302187">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42757569.81</w:t>
            </w:r>
          </w:p>
        </w:tc>
      </w:tr>
      <w:tr w14:paraId="64839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5778DAC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38</w:t>
            </w:r>
          </w:p>
        </w:tc>
        <w:tc>
          <w:tcPr>
            <w:tcW w:w="2096" w:type="dxa"/>
            <w:tcBorders>
              <w:top w:val="single" w:color="000000" w:sz="4" w:space="0"/>
              <w:left w:val="single" w:color="000000" w:sz="4" w:space="0"/>
              <w:bottom w:val="single" w:color="000000" w:sz="4" w:space="0"/>
              <w:right w:val="single" w:color="000000" w:sz="4" w:space="0"/>
            </w:tcBorders>
            <w:vAlign w:val="center"/>
          </w:tcPr>
          <w:p w14:paraId="3F095A2C">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4949629.285</w:t>
            </w:r>
          </w:p>
        </w:tc>
        <w:tc>
          <w:tcPr>
            <w:tcW w:w="2096" w:type="dxa"/>
            <w:tcBorders>
              <w:top w:val="single" w:color="000000" w:sz="4" w:space="0"/>
              <w:left w:val="single" w:color="000000" w:sz="4" w:space="0"/>
              <w:bottom w:val="single" w:color="000000" w:sz="4" w:space="0"/>
              <w:right w:val="single" w:color="auto" w:sz="4" w:space="0"/>
            </w:tcBorders>
            <w:vAlign w:val="center"/>
          </w:tcPr>
          <w:p w14:paraId="6C1AC1AF">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42757797.09</w:t>
            </w:r>
          </w:p>
        </w:tc>
        <w:tc>
          <w:tcPr>
            <w:tcW w:w="735" w:type="dxa"/>
            <w:vAlign w:val="center"/>
          </w:tcPr>
          <w:p w14:paraId="307CF2C0">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87</w:t>
            </w:r>
          </w:p>
        </w:tc>
        <w:tc>
          <w:tcPr>
            <w:tcW w:w="2096" w:type="dxa"/>
            <w:vAlign w:val="center"/>
          </w:tcPr>
          <w:p w14:paraId="5D782F8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4949657.015</w:t>
            </w:r>
          </w:p>
        </w:tc>
        <w:tc>
          <w:tcPr>
            <w:tcW w:w="2111" w:type="dxa"/>
            <w:vAlign w:val="center"/>
          </w:tcPr>
          <w:p w14:paraId="708A8C3C">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42757566.65</w:t>
            </w:r>
          </w:p>
        </w:tc>
      </w:tr>
      <w:tr w14:paraId="474AE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370DFA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39</w:t>
            </w:r>
          </w:p>
        </w:tc>
        <w:tc>
          <w:tcPr>
            <w:tcW w:w="2096" w:type="dxa"/>
            <w:tcBorders>
              <w:top w:val="single" w:color="000000" w:sz="4" w:space="0"/>
              <w:left w:val="single" w:color="000000" w:sz="4" w:space="0"/>
              <w:bottom w:val="single" w:color="000000" w:sz="4" w:space="0"/>
              <w:right w:val="single" w:color="000000" w:sz="4" w:space="0"/>
            </w:tcBorders>
            <w:vAlign w:val="center"/>
          </w:tcPr>
          <w:p w14:paraId="34D5D859">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4949635.375</w:t>
            </w:r>
          </w:p>
        </w:tc>
        <w:tc>
          <w:tcPr>
            <w:tcW w:w="2096" w:type="dxa"/>
            <w:tcBorders>
              <w:top w:val="single" w:color="000000" w:sz="4" w:space="0"/>
              <w:left w:val="single" w:color="000000" w:sz="4" w:space="0"/>
              <w:bottom w:val="single" w:color="000000" w:sz="4" w:space="0"/>
              <w:right w:val="single" w:color="auto" w:sz="4" w:space="0"/>
            </w:tcBorders>
            <w:vAlign w:val="center"/>
          </w:tcPr>
          <w:p w14:paraId="05099D6C">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42757796.55</w:t>
            </w:r>
          </w:p>
        </w:tc>
        <w:tc>
          <w:tcPr>
            <w:tcW w:w="735" w:type="dxa"/>
            <w:vAlign w:val="center"/>
          </w:tcPr>
          <w:p w14:paraId="39E7923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88</w:t>
            </w:r>
          </w:p>
        </w:tc>
        <w:tc>
          <w:tcPr>
            <w:tcW w:w="2096" w:type="dxa"/>
            <w:vAlign w:val="center"/>
          </w:tcPr>
          <w:p w14:paraId="4E57D57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4949645.876</w:t>
            </w:r>
          </w:p>
        </w:tc>
        <w:tc>
          <w:tcPr>
            <w:tcW w:w="2111" w:type="dxa"/>
            <w:vAlign w:val="center"/>
          </w:tcPr>
          <w:p w14:paraId="75684CF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42757564.71</w:t>
            </w:r>
          </w:p>
        </w:tc>
      </w:tr>
      <w:tr w14:paraId="65502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C1D71F9">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40</w:t>
            </w:r>
          </w:p>
        </w:tc>
        <w:tc>
          <w:tcPr>
            <w:tcW w:w="2096" w:type="dxa"/>
            <w:tcBorders>
              <w:top w:val="single" w:color="000000" w:sz="4" w:space="0"/>
              <w:left w:val="single" w:color="000000" w:sz="4" w:space="0"/>
              <w:bottom w:val="single" w:color="000000" w:sz="4" w:space="0"/>
              <w:right w:val="single" w:color="000000" w:sz="4" w:space="0"/>
            </w:tcBorders>
            <w:vAlign w:val="center"/>
          </w:tcPr>
          <w:p w14:paraId="742F5958">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4949641.735</w:t>
            </w:r>
          </w:p>
        </w:tc>
        <w:tc>
          <w:tcPr>
            <w:tcW w:w="2096" w:type="dxa"/>
            <w:tcBorders>
              <w:top w:val="single" w:color="000000" w:sz="4" w:space="0"/>
              <w:left w:val="single" w:color="000000" w:sz="4" w:space="0"/>
              <w:bottom w:val="single" w:color="000000" w:sz="4" w:space="0"/>
              <w:right w:val="single" w:color="auto" w:sz="4" w:space="0"/>
            </w:tcBorders>
            <w:vAlign w:val="center"/>
          </w:tcPr>
          <w:p w14:paraId="4734F2BD">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42757795.82</w:t>
            </w:r>
          </w:p>
        </w:tc>
        <w:tc>
          <w:tcPr>
            <w:tcW w:w="735" w:type="dxa"/>
            <w:vAlign w:val="center"/>
          </w:tcPr>
          <w:p w14:paraId="1D1C518F">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89</w:t>
            </w:r>
          </w:p>
        </w:tc>
        <w:tc>
          <w:tcPr>
            <w:tcW w:w="2096" w:type="dxa"/>
            <w:vAlign w:val="center"/>
          </w:tcPr>
          <w:p w14:paraId="7456529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4949633.181</w:t>
            </w:r>
          </w:p>
        </w:tc>
        <w:tc>
          <w:tcPr>
            <w:tcW w:w="2111" w:type="dxa"/>
            <w:vAlign w:val="center"/>
          </w:tcPr>
          <w:p w14:paraId="7991903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42757564.2</w:t>
            </w:r>
          </w:p>
        </w:tc>
      </w:tr>
      <w:tr w14:paraId="0D1A9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4C880AD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41</w:t>
            </w:r>
          </w:p>
        </w:tc>
        <w:tc>
          <w:tcPr>
            <w:tcW w:w="2096" w:type="dxa"/>
            <w:tcBorders>
              <w:top w:val="single" w:color="000000" w:sz="4" w:space="0"/>
              <w:left w:val="single" w:color="000000" w:sz="4" w:space="0"/>
              <w:bottom w:val="single" w:color="000000" w:sz="4" w:space="0"/>
              <w:right w:val="single" w:color="000000" w:sz="4" w:space="0"/>
            </w:tcBorders>
            <w:vAlign w:val="center"/>
          </w:tcPr>
          <w:p w14:paraId="1B01E596">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4949648.469</w:t>
            </w:r>
          </w:p>
        </w:tc>
        <w:tc>
          <w:tcPr>
            <w:tcW w:w="2096" w:type="dxa"/>
            <w:tcBorders>
              <w:top w:val="single" w:color="000000" w:sz="4" w:space="0"/>
              <w:left w:val="single" w:color="000000" w:sz="4" w:space="0"/>
              <w:bottom w:val="single" w:color="000000" w:sz="4" w:space="0"/>
              <w:right w:val="single" w:color="auto" w:sz="4" w:space="0"/>
            </w:tcBorders>
            <w:vAlign w:val="center"/>
          </w:tcPr>
          <w:p w14:paraId="4475A1A0">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42757794.92</w:t>
            </w:r>
          </w:p>
        </w:tc>
        <w:tc>
          <w:tcPr>
            <w:tcW w:w="735" w:type="dxa"/>
            <w:vAlign w:val="center"/>
          </w:tcPr>
          <w:p w14:paraId="06DF8605">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90</w:t>
            </w:r>
          </w:p>
        </w:tc>
        <w:tc>
          <w:tcPr>
            <w:tcW w:w="2096" w:type="dxa"/>
            <w:vAlign w:val="center"/>
          </w:tcPr>
          <w:p w14:paraId="154CD510">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4949618.877</w:t>
            </w:r>
          </w:p>
        </w:tc>
        <w:tc>
          <w:tcPr>
            <w:tcW w:w="2111" w:type="dxa"/>
            <w:vAlign w:val="center"/>
          </w:tcPr>
          <w:p w14:paraId="18CB95DA">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42757565.25</w:t>
            </w:r>
          </w:p>
        </w:tc>
      </w:tr>
      <w:tr w14:paraId="14657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0605BB8E">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w:t>
            </w:r>
          </w:p>
        </w:tc>
        <w:tc>
          <w:tcPr>
            <w:tcW w:w="2096" w:type="dxa"/>
            <w:tcBorders>
              <w:top w:val="single" w:color="000000" w:sz="4" w:space="0"/>
              <w:left w:val="single" w:color="000000" w:sz="4" w:space="0"/>
              <w:bottom w:val="single" w:color="000000" w:sz="4" w:space="0"/>
              <w:right w:val="single" w:color="000000" w:sz="4" w:space="0"/>
            </w:tcBorders>
            <w:vAlign w:val="center"/>
          </w:tcPr>
          <w:p w14:paraId="630B7B89">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4949655.647</w:t>
            </w:r>
          </w:p>
        </w:tc>
        <w:tc>
          <w:tcPr>
            <w:tcW w:w="2096" w:type="dxa"/>
            <w:tcBorders>
              <w:top w:val="single" w:color="000000" w:sz="4" w:space="0"/>
              <w:left w:val="single" w:color="000000" w:sz="4" w:space="0"/>
              <w:bottom w:val="single" w:color="000000" w:sz="4" w:space="0"/>
              <w:right w:val="single" w:color="auto" w:sz="4" w:space="0"/>
            </w:tcBorders>
            <w:vAlign w:val="center"/>
          </w:tcPr>
          <w:p w14:paraId="13F50363">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42757793.85</w:t>
            </w:r>
          </w:p>
        </w:tc>
        <w:tc>
          <w:tcPr>
            <w:tcW w:w="735" w:type="dxa"/>
            <w:vAlign w:val="center"/>
          </w:tcPr>
          <w:p w14:paraId="74A9B91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91</w:t>
            </w:r>
          </w:p>
        </w:tc>
        <w:tc>
          <w:tcPr>
            <w:tcW w:w="2096" w:type="dxa"/>
            <w:vAlign w:val="center"/>
          </w:tcPr>
          <w:p w14:paraId="1603790E">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4949603.099</w:t>
            </w:r>
          </w:p>
        </w:tc>
        <w:tc>
          <w:tcPr>
            <w:tcW w:w="2111" w:type="dxa"/>
            <w:vAlign w:val="center"/>
          </w:tcPr>
          <w:p w14:paraId="73797097">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42757567.69</w:t>
            </w:r>
          </w:p>
        </w:tc>
      </w:tr>
      <w:tr w14:paraId="68DEA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C777F6E">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43</w:t>
            </w:r>
          </w:p>
        </w:tc>
        <w:tc>
          <w:tcPr>
            <w:tcW w:w="2096" w:type="dxa"/>
            <w:tcBorders>
              <w:top w:val="single" w:color="000000" w:sz="4" w:space="0"/>
              <w:left w:val="single" w:color="000000" w:sz="4" w:space="0"/>
              <w:bottom w:val="single" w:color="000000" w:sz="4" w:space="0"/>
              <w:right w:val="single" w:color="000000" w:sz="4" w:space="0"/>
            </w:tcBorders>
            <w:vAlign w:val="center"/>
          </w:tcPr>
          <w:p w14:paraId="0B548D99">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4949663.198</w:t>
            </w:r>
          </w:p>
        </w:tc>
        <w:tc>
          <w:tcPr>
            <w:tcW w:w="2096" w:type="dxa"/>
            <w:tcBorders>
              <w:top w:val="single" w:color="000000" w:sz="4" w:space="0"/>
              <w:left w:val="single" w:color="000000" w:sz="4" w:space="0"/>
              <w:bottom w:val="single" w:color="000000" w:sz="4" w:space="0"/>
              <w:right w:val="single" w:color="auto" w:sz="4" w:space="0"/>
            </w:tcBorders>
            <w:vAlign w:val="center"/>
          </w:tcPr>
          <w:p w14:paraId="02E5802A">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42757792.56</w:t>
            </w:r>
          </w:p>
        </w:tc>
        <w:tc>
          <w:tcPr>
            <w:tcW w:w="735" w:type="dxa"/>
            <w:vAlign w:val="center"/>
          </w:tcPr>
          <w:p w14:paraId="39B331D4">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92</w:t>
            </w:r>
          </w:p>
        </w:tc>
        <w:tc>
          <w:tcPr>
            <w:tcW w:w="2096" w:type="dxa"/>
            <w:vAlign w:val="center"/>
          </w:tcPr>
          <w:p w14:paraId="76F5DEF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4949586.023</w:t>
            </w:r>
          </w:p>
        </w:tc>
        <w:tc>
          <w:tcPr>
            <w:tcW w:w="2111" w:type="dxa"/>
            <w:vAlign w:val="center"/>
          </w:tcPr>
          <w:p w14:paraId="2086D4A7">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42757571.27</w:t>
            </w:r>
          </w:p>
        </w:tc>
      </w:tr>
      <w:tr w14:paraId="53690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29D2A6DF">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44</w:t>
            </w:r>
          </w:p>
        </w:tc>
        <w:tc>
          <w:tcPr>
            <w:tcW w:w="2096" w:type="dxa"/>
            <w:tcBorders>
              <w:top w:val="single" w:color="000000" w:sz="4" w:space="0"/>
              <w:left w:val="single" w:color="000000" w:sz="4" w:space="0"/>
              <w:bottom w:val="single" w:color="000000" w:sz="4" w:space="0"/>
              <w:right w:val="single" w:color="000000" w:sz="4" w:space="0"/>
            </w:tcBorders>
            <w:vAlign w:val="center"/>
          </w:tcPr>
          <w:p w14:paraId="42372BAB">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4949671.016</w:t>
            </w:r>
          </w:p>
        </w:tc>
        <w:tc>
          <w:tcPr>
            <w:tcW w:w="2096" w:type="dxa"/>
            <w:tcBorders>
              <w:top w:val="single" w:color="000000" w:sz="4" w:space="0"/>
              <w:left w:val="single" w:color="000000" w:sz="4" w:space="0"/>
              <w:bottom w:val="single" w:color="000000" w:sz="4" w:space="0"/>
              <w:right w:val="single" w:color="auto" w:sz="4" w:space="0"/>
            </w:tcBorders>
            <w:vAlign w:val="center"/>
          </w:tcPr>
          <w:p w14:paraId="271B1F97">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42757791.01</w:t>
            </w:r>
          </w:p>
        </w:tc>
        <w:tc>
          <w:tcPr>
            <w:tcW w:w="735" w:type="dxa"/>
            <w:vAlign w:val="center"/>
          </w:tcPr>
          <w:p w14:paraId="1FA1235E">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93</w:t>
            </w:r>
          </w:p>
        </w:tc>
        <w:tc>
          <w:tcPr>
            <w:tcW w:w="2096" w:type="dxa"/>
            <w:vAlign w:val="center"/>
          </w:tcPr>
          <w:p w14:paraId="0C10581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4949567.829</w:t>
            </w:r>
          </w:p>
        </w:tc>
        <w:tc>
          <w:tcPr>
            <w:tcW w:w="2111" w:type="dxa"/>
            <w:vAlign w:val="center"/>
          </w:tcPr>
          <w:p w14:paraId="55F9970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42757575.72</w:t>
            </w:r>
          </w:p>
        </w:tc>
      </w:tr>
      <w:tr w14:paraId="6CF64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1E6A725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45</w:t>
            </w:r>
          </w:p>
        </w:tc>
        <w:tc>
          <w:tcPr>
            <w:tcW w:w="2096" w:type="dxa"/>
            <w:tcBorders>
              <w:top w:val="single" w:color="000000" w:sz="4" w:space="0"/>
              <w:left w:val="single" w:color="000000" w:sz="4" w:space="0"/>
              <w:bottom w:val="single" w:color="000000" w:sz="4" w:space="0"/>
              <w:right w:val="single" w:color="000000" w:sz="4" w:space="0"/>
            </w:tcBorders>
            <w:vAlign w:val="center"/>
          </w:tcPr>
          <w:p w14:paraId="1EEA8C44">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4949678.993</w:t>
            </w:r>
          </w:p>
        </w:tc>
        <w:tc>
          <w:tcPr>
            <w:tcW w:w="2096" w:type="dxa"/>
            <w:tcBorders>
              <w:top w:val="single" w:color="000000" w:sz="4" w:space="0"/>
              <w:left w:val="single" w:color="000000" w:sz="4" w:space="0"/>
              <w:bottom w:val="single" w:color="000000" w:sz="4" w:space="0"/>
              <w:right w:val="single" w:color="auto" w:sz="4" w:space="0"/>
            </w:tcBorders>
            <w:vAlign w:val="center"/>
          </w:tcPr>
          <w:p w14:paraId="0BDA05B4">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42757789.12</w:t>
            </w:r>
          </w:p>
        </w:tc>
        <w:tc>
          <w:tcPr>
            <w:tcW w:w="735" w:type="dxa"/>
            <w:vAlign w:val="center"/>
          </w:tcPr>
          <w:p w14:paraId="5570DA8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94</w:t>
            </w:r>
          </w:p>
        </w:tc>
        <w:tc>
          <w:tcPr>
            <w:tcW w:w="2096" w:type="dxa"/>
            <w:vAlign w:val="center"/>
          </w:tcPr>
          <w:p w14:paraId="035C9219">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4949548.696</w:t>
            </w:r>
          </w:p>
        </w:tc>
        <w:tc>
          <w:tcPr>
            <w:tcW w:w="2111" w:type="dxa"/>
            <w:vAlign w:val="center"/>
          </w:tcPr>
          <w:p w14:paraId="45174F1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42757580.81</w:t>
            </w:r>
          </w:p>
        </w:tc>
      </w:tr>
      <w:tr w14:paraId="3E49F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61F6A9C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46</w:t>
            </w:r>
          </w:p>
        </w:tc>
        <w:tc>
          <w:tcPr>
            <w:tcW w:w="2096" w:type="dxa"/>
            <w:tcBorders>
              <w:top w:val="single" w:color="000000" w:sz="4" w:space="0"/>
              <w:left w:val="single" w:color="000000" w:sz="4" w:space="0"/>
              <w:bottom w:val="single" w:color="000000" w:sz="4" w:space="0"/>
              <w:right w:val="single" w:color="000000" w:sz="4" w:space="0"/>
            </w:tcBorders>
            <w:vAlign w:val="center"/>
          </w:tcPr>
          <w:p w14:paraId="38B7C77B">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4949687.024</w:t>
            </w:r>
          </w:p>
        </w:tc>
        <w:tc>
          <w:tcPr>
            <w:tcW w:w="2096" w:type="dxa"/>
            <w:tcBorders>
              <w:top w:val="single" w:color="000000" w:sz="4" w:space="0"/>
              <w:left w:val="single" w:color="000000" w:sz="4" w:space="0"/>
              <w:bottom w:val="single" w:color="000000" w:sz="4" w:space="0"/>
              <w:right w:val="single" w:color="auto" w:sz="4" w:space="0"/>
            </w:tcBorders>
            <w:vAlign w:val="center"/>
          </w:tcPr>
          <w:p w14:paraId="232DD32B">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42757786.86</w:t>
            </w:r>
          </w:p>
        </w:tc>
        <w:tc>
          <w:tcPr>
            <w:tcW w:w="735" w:type="dxa"/>
            <w:vAlign w:val="center"/>
          </w:tcPr>
          <w:p w14:paraId="1C1B809B">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95</w:t>
            </w:r>
          </w:p>
        </w:tc>
        <w:tc>
          <w:tcPr>
            <w:tcW w:w="2096" w:type="dxa"/>
            <w:vAlign w:val="center"/>
          </w:tcPr>
          <w:p w14:paraId="2D6E1C8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4949528.802</w:t>
            </w:r>
          </w:p>
        </w:tc>
        <w:tc>
          <w:tcPr>
            <w:tcW w:w="2111" w:type="dxa"/>
            <w:vAlign w:val="center"/>
          </w:tcPr>
          <w:p w14:paraId="73C198D6">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42757586.27</w:t>
            </w:r>
          </w:p>
        </w:tc>
      </w:tr>
      <w:tr w14:paraId="2EE6E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29A88278">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47</w:t>
            </w:r>
          </w:p>
        </w:tc>
        <w:tc>
          <w:tcPr>
            <w:tcW w:w="2096" w:type="dxa"/>
            <w:tcBorders>
              <w:top w:val="single" w:color="000000" w:sz="4" w:space="0"/>
              <w:left w:val="single" w:color="000000" w:sz="4" w:space="0"/>
              <w:bottom w:val="single" w:color="000000" w:sz="4" w:space="0"/>
              <w:right w:val="single" w:color="000000" w:sz="4" w:space="0"/>
            </w:tcBorders>
            <w:vAlign w:val="center"/>
          </w:tcPr>
          <w:p w14:paraId="4CB44571">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4949695.001</w:t>
            </w:r>
          </w:p>
        </w:tc>
        <w:tc>
          <w:tcPr>
            <w:tcW w:w="2096" w:type="dxa"/>
            <w:tcBorders>
              <w:top w:val="single" w:color="000000" w:sz="4" w:space="0"/>
              <w:left w:val="single" w:color="000000" w:sz="4" w:space="0"/>
              <w:bottom w:val="single" w:color="000000" w:sz="4" w:space="0"/>
              <w:right w:val="single" w:color="auto" w:sz="4" w:space="0"/>
            </w:tcBorders>
            <w:vAlign w:val="center"/>
          </w:tcPr>
          <w:p w14:paraId="4E5BE555">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42757784.15</w:t>
            </w:r>
          </w:p>
        </w:tc>
        <w:tc>
          <w:tcPr>
            <w:tcW w:w="735" w:type="dxa"/>
            <w:vAlign w:val="center"/>
          </w:tcPr>
          <w:p w14:paraId="7052EA11">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96</w:t>
            </w:r>
          </w:p>
        </w:tc>
        <w:tc>
          <w:tcPr>
            <w:tcW w:w="2096" w:type="dxa"/>
            <w:vAlign w:val="center"/>
          </w:tcPr>
          <w:p w14:paraId="549C57BA">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4949508.326</w:t>
            </w:r>
          </w:p>
        </w:tc>
        <w:tc>
          <w:tcPr>
            <w:tcW w:w="2111" w:type="dxa"/>
            <w:vAlign w:val="center"/>
          </w:tcPr>
          <w:p w14:paraId="69AE741F">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42757591.85</w:t>
            </w:r>
          </w:p>
        </w:tc>
      </w:tr>
      <w:tr w14:paraId="7B088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6BA7A45A">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48</w:t>
            </w:r>
          </w:p>
        </w:tc>
        <w:tc>
          <w:tcPr>
            <w:tcW w:w="2096" w:type="dxa"/>
            <w:tcBorders>
              <w:top w:val="single" w:color="000000" w:sz="4" w:space="0"/>
              <w:left w:val="single" w:color="000000" w:sz="4" w:space="0"/>
              <w:bottom w:val="single" w:color="000000" w:sz="4" w:space="0"/>
              <w:right w:val="single" w:color="000000" w:sz="4" w:space="0"/>
            </w:tcBorders>
            <w:vAlign w:val="center"/>
          </w:tcPr>
          <w:p w14:paraId="5D8F37B4">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4949702.817</w:t>
            </w:r>
          </w:p>
        </w:tc>
        <w:tc>
          <w:tcPr>
            <w:tcW w:w="2096" w:type="dxa"/>
            <w:tcBorders>
              <w:top w:val="single" w:color="000000" w:sz="4" w:space="0"/>
              <w:left w:val="single" w:color="000000" w:sz="4" w:space="0"/>
              <w:bottom w:val="single" w:color="000000" w:sz="4" w:space="0"/>
              <w:right w:val="single" w:color="auto" w:sz="4" w:space="0"/>
            </w:tcBorders>
            <w:vAlign w:val="center"/>
          </w:tcPr>
          <w:p w14:paraId="4648D9A3">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42757780.95</w:t>
            </w:r>
          </w:p>
        </w:tc>
        <w:tc>
          <w:tcPr>
            <w:tcW w:w="735" w:type="dxa"/>
            <w:vAlign w:val="center"/>
          </w:tcPr>
          <w:p w14:paraId="47691D33">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97</w:t>
            </w:r>
          </w:p>
        </w:tc>
        <w:tc>
          <w:tcPr>
            <w:tcW w:w="2096" w:type="dxa"/>
            <w:vAlign w:val="center"/>
          </w:tcPr>
          <w:p w14:paraId="4CA78CCD">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4949487.445</w:t>
            </w:r>
          </w:p>
        </w:tc>
        <w:tc>
          <w:tcPr>
            <w:tcW w:w="2111" w:type="dxa"/>
            <w:vAlign w:val="center"/>
          </w:tcPr>
          <w:p w14:paraId="6E24B6F4">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42757597.3</w:t>
            </w:r>
          </w:p>
        </w:tc>
      </w:tr>
      <w:tr w14:paraId="44C73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6" w:type="dxa"/>
            <w:tcBorders>
              <w:top w:val="single" w:color="000000" w:sz="4" w:space="0"/>
              <w:left w:val="single" w:color="000000" w:sz="4" w:space="0"/>
              <w:bottom w:val="single" w:color="000000" w:sz="4" w:space="0"/>
              <w:right w:val="single" w:color="000000" w:sz="4" w:space="0"/>
            </w:tcBorders>
            <w:vAlign w:val="center"/>
          </w:tcPr>
          <w:p w14:paraId="4B17F684">
            <w:pPr>
              <w:pStyle w:val="72"/>
              <w:rPr>
                <w:rFonts w:hint="default"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w:t>
            </w:r>
          </w:p>
        </w:tc>
        <w:tc>
          <w:tcPr>
            <w:tcW w:w="2096" w:type="dxa"/>
            <w:tcBorders>
              <w:top w:val="single" w:color="000000" w:sz="4" w:space="0"/>
              <w:left w:val="single" w:color="000000" w:sz="4" w:space="0"/>
              <w:bottom w:val="single" w:color="000000" w:sz="4" w:space="0"/>
              <w:right w:val="single" w:color="000000" w:sz="4" w:space="0"/>
            </w:tcBorders>
            <w:vAlign w:val="center"/>
          </w:tcPr>
          <w:p w14:paraId="22174710">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4949710.367</w:t>
            </w:r>
          </w:p>
        </w:tc>
        <w:tc>
          <w:tcPr>
            <w:tcW w:w="2096" w:type="dxa"/>
            <w:tcBorders>
              <w:top w:val="single" w:color="000000" w:sz="4" w:space="0"/>
              <w:left w:val="single" w:color="000000" w:sz="4" w:space="0"/>
              <w:bottom w:val="single" w:color="000000" w:sz="4" w:space="0"/>
              <w:right w:val="single" w:color="auto" w:sz="4" w:space="0"/>
            </w:tcBorders>
            <w:vAlign w:val="center"/>
          </w:tcPr>
          <w:p w14:paraId="311EC822">
            <w:pPr>
              <w:pStyle w:val="72"/>
              <w:rPr>
                <w:rFonts w:hint="eastAsia" w:ascii="Times New Roman" w:hAnsi="Times New Roman" w:eastAsia="等线" w:cs="Times New Roman"/>
                <w:color w:val="000000"/>
                <w:sz w:val="22"/>
                <w:szCs w:val="22"/>
                <w:lang w:val="en-US" w:eastAsia="zh-CN"/>
              </w:rPr>
            </w:pPr>
            <w:r>
              <w:rPr>
                <w:rFonts w:hint="eastAsia" w:ascii="Times New Roman" w:hAnsi="Times New Roman" w:eastAsia="等线" w:cs="Times New Roman"/>
                <w:color w:val="000000"/>
                <w:sz w:val="22"/>
                <w:szCs w:val="22"/>
                <w:lang w:val="en-US" w:eastAsia="zh-CN"/>
              </w:rPr>
              <w:t>42757777.2</w:t>
            </w:r>
          </w:p>
        </w:tc>
        <w:tc>
          <w:tcPr>
            <w:tcW w:w="735" w:type="dxa"/>
            <w:vAlign w:val="center"/>
          </w:tcPr>
          <w:p w14:paraId="4742B802">
            <w:pPr>
              <w:pStyle w:val="72"/>
              <w:rPr>
                <w:rFonts w:hint="default" w:ascii="Times New Roman" w:hAnsi="Times New Roman" w:eastAsia="等线" w:cs="Times New Roman"/>
                <w:color w:val="000000"/>
                <w:sz w:val="22"/>
                <w:szCs w:val="22"/>
                <w:lang w:val="en-US" w:eastAsia="zh-CN"/>
              </w:rPr>
            </w:pPr>
          </w:p>
        </w:tc>
        <w:tc>
          <w:tcPr>
            <w:tcW w:w="2096" w:type="dxa"/>
            <w:vAlign w:val="center"/>
          </w:tcPr>
          <w:p w14:paraId="5BD12CEE">
            <w:pPr>
              <w:pStyle w:val="72"/>
              <w:rPr>
                <w:rFonts w:hint="default" w:ascii="Times New Roman" w:hAnsi="Times New Roman" w:eastAsia="等线" w:cs="Times New Roman"/>
                <w:color w:val="000000"/>
                <w:sz w:val="22"/>
                <w:szCs w:val="22"/>
                <w:lang w:val="en-US" w:eastAsia="zh-CN"/>
              </w:rPr>
            </w:pPr>
          </w:p>
        </w:tc>
        <w:tc>
          <w:tcPr>
            <w:tcW w:w="2111" w:type="dxa"/>
            <w:vAlign w:val="center"/>
          </w:tcPr>
          <w:p w14:paraId="1285BC29">
            <w:pPr>
              <w:pStyle w:val="72"/>
              <w:rPr>
                <w:rFonts w:hint="default" w:ascii="Times New Roman" w:hAnsi="Times New Roman" w:eastAsia="等线" w:cs="Times New Roman"/>
                <w:color w:val="000000"/>
                <w:sz w:val="22"/>
                <w:szCs w:val="22"/>
                <w:lang w:val="en-US" w:eastAsia="zh-CN"/>
              </w:rPr>
            </w:pPr>
          </w:p>
        </w:tc>
      </w:tr>
    </w:tbl>
    <w:p w14:paraId="3BF5AAE2">
      <w:pPr>
        <w:pageBreakBefore/>
        <w:ind w:firstLine="560"/>
      </w:pPr>
      <w:r>
        <w:t>2.生态修复时间安排</w:t>
      </w:r>
    </w:p>
    <w:p w14:paraId="5AA96E2D">
      <w:pPr>
        <w:ind w:firstLine="560"/>
      </w:pPr>
      <w:r>
        <w:rPr>
          <w:rFonts w:hint="eastAsia"/>
          <w:szCs w:val="28"/>
        </w:rPr>
        <w:t>本方案生态修复时间安排依据矿山</w:t>
      </w:r>
      <w:r>
        <w:rPr>
          <w:szCs w:val="28"/>
        </w:rPr>
        <w:t>剩余</w:t>
      </w:r>
      <w:r>
        <w:rPr>
          <w:rFonts w:hint="eastAsia"/>
          <w:szCs w:val="28"/>
        </w:rPr>
        <w:t>服务</w:t>
      </w:r>
      <w:r>
        <w:rPr>
          <w:szCs w:val="28"/>
        </w:rPr>
        <w:t>年限</w:t>
      </w:r>
      <w:r>
        <w:rPr>
          <w:rFonts w:hint="eastAsia"/>
          <w:szCs w:val="28"/>
        </w:rPr>
        <w:t>，即</w:t>
      </w:r>
      <w:r>
        <w:rPr>
          <w:rFonts w:hint="eastAsia"/>
          <w:szCs w:val="28"/>
          <w:lang w:eastAsia="zh-CN"/>
        </w:rPr>
        <w:t>8年</w:t>
      </w:r>
      <w:r>
        <w:rPr>
          <w:szCs w:val="28"/>
        </w:rPr>
        <w:t>，生态修复工程实施期1年</w:t>
      </w:r>
      <w:r>
        <w:rPr>
          <w:rFonts w:hint="eastAsia"/>
          <w:szCs w:val="28"/>
        </w:rPr>
        <w:t>（矿山闭坑后拆除临时建筑、</w:t>
      </w:r>
      <w:r>
        <w:rPr>
          <w:rFonts w:hint="eastAsia"/>
          <w:szCs w:val="28"/>
          <w:lang w:val="en-US" w:eastAsia="zh-CN"/>
        </w:rPr>
        <w:t>封堵平硐、</w:t>
      </w:r>
      <w:r>
        <w:rPr>
          <w:rFonts w:hint="eastAsia"/>
          <w:szCs w:val="28"/>
        </w:rPr>
        <w:t>场地平整</w:t>
      </w:r>
      <w:r>
        <w:rPr>
          <w:rFonts w:hint="eastAsia"/>
          <w:szCs w:val="28"/>
          <w:lang w:val="en-US" w:eastAsia="zh-CN"/>
        </w:rPr>
        <w:t>等</w:t>
      </w:r>
      <w:r>
        <w:rPr>
          <w:rFonts w:hint="eastAsia"/>
          <w:szCs w:val="28"/>
        </w:rPr>
        <w:t>），监测管护期3年，共计</w:t>
      </w:r>
      <w:r>
        <w:rPr>
          <w:rFonts w:hint="eastAsia"/>
          <w:szCs w:val="28"/>
          <w:lang w:eastAsia="zh-CN"/>
        </w:rPr>
        <w:t>12年</w:t>
      </w:r>
      <w:r>
        <w:rPr>
          <w:szCs w:val="28"/>
        </w:rPr>
        <w:t>，即2026年1月—</w:t>
      </w:r>
      <w:r>
        <w:rPr>
          <w:rFonts w:hint="eastAsia"/>
          <w:szCs w:val="28"/>
          <w:lang w:eastAsia="zh-CN"/>
        </w:rPr>
        <w:t>2038年1月</w:t>
      </w:r>
      <w:r>
        <w:rPr>
          <w:szCs w:val="28"/>
        </w:rPr>
        <w:t>，按照矿山开采进度以及边开采、边修复的要求，安排时间如下。</w:t>
      </w:r>
    </w:p>
    <w:p w14:paraId="30F49887">
      <w:pPr>
        <w:pStyle w:val="78"/>
        <w:ind w:firstLine="560"/>
        <w:rPr>
          <w:rFonts w:cs="Times New Roman"/>
          <w:b/>
          <w:color w:val="auto"/>
          <w:szCs w:val="28"/>
        </w:rPr>
      </w:pPr>
      <w:r>
        <w:rPr>
          <w:rFonts w:cs="Times New Roman"/>
          <w:b/>
          <w:color w:val="auto"/>
          <w:szCs w:val="28"/>
        </w:rPr>
        <w:t>表3-2</w:t>
      </w:r>
      <w:r>
        <w:rPr>
          <w:rFonts w:hint="eastAsia" w:cs="Times New Roman"/>
          <w:b/>
          <w:color w:val="auto"/>
          <w:szCs w:val="28"/>
          <w:lang w:val="en-US" w:eastAsia="zh-CN"/>
        </w:rPr>
        <w:t>6</w:t>
      </w:r>
      <w:r>
        <w:rPr>
          <w:rFonts w:cs="Times New Roman"/>
          <w:b/>
          <w:color w:val="auto"/>
          <w:szCs w:val="28"/>
        </w:rPr>
        <w:t>矿区生态修复分区实施时间表</w:t>
      </w:r>
    </w:p>
    <w:tbl>
      <w:tblPr>
        <w:tblStyle w:val="42"/>
        <w:tblW w:w="51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8"/>
        <w:gridCol w:w="1534"/>
        <w:gridCol w:w="1466"/>
        <w:gridCol w:w="1163"/>
        <w:gridCol w:w="1686"/>
        <w:gridCol w:w="1945"/>
      </w:tblGrid>
      <w:tr w14:paraId="7094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16" w:type="pct"/>
            <w:vAlign w:val="center"/>
          </w:tcPr>
          <w:p w14:paraId="328C4743">
            <w:pPr>
              <w:pStyle w:val="72"/>
              <w:rPr>
                <w:rFonts w:ascii="Times New Roman" w:hAnsi="Times New Roman"/>
                <w:lang w:bidi="ar"/>
              </w:rPr>
            </w:pPr>
            <w:bookmarkStart w:id="154" w:name="_Hlk211256840"/>
            <w:r>
              <w:rPr>
                <w:rFonts w:ascii="Times New Roman" w:hAnsi="Times New Roman"/>
                <w:lang w:bidi="ar"/>
              </w:rPr>
              <w:t>生态修复</w:t>
            </w:r>
          </w:p>
          <w:p w14:paraId="4A96B579">
            <w:pPr>
              <w:pStyle w:val="72"/>
              <w:rPr>
                <w:rFonts w:ascii="Times New Roman" w:hAnsi="Times New Roman"/>
              </w:rPr>
            </w:pPr>
            <w:r>
              <w:rPr>
                <w:rFonts w:ascii="Times New Roman" w:hAnsi="Times New Roman"/>
                <w:lang w:bidi="ar"/>
              </w:rPr>
              <w:t>分区</w:t>
            </w:r>
          </w:p>
        </w:tc>
        <w:tc>
          <w:tcPr>
            <w:tcW w:w="784" w:type="pct"/>
            <w:vAlign w:val="center"/>
          </w:tcPr>
          <w:p w14:paraId="12BCBE86">
            <w:pPr>
              <w:pStyle w:val="72"/>
              <w:rPr>
                <w:rFonts w:ascii="Times New Roman" w:hAnsi="Times New Roman"/>
              </w:rPr>
            </w:pPr>
            <w:r>
              <w:rPr>
                <w:rFonts w:ascii="Times New Roman" w:hAnsi="Times New Roman"/>
                <w:lang w:bidi="ar"/>
              </w:rPr>
              <w:t>生态修复方向</w:t>
            </w:r>
          </w:p>
        </w:tc>
        <w:tc>
          <w:tcPr>
            <w:tcW w:w="749" w:type="pct"/>
            <w:vAlign w:val="center"/>
          </w:tcPr>
          <w:p w14:paraId="6DE5CCCE">
            <w:pPr>
              <w:pStyle w:val="72"/>
              <w:rPr>
                <w:rFonts w:ascii="Times New Roman" w:hAnsi="Times New Roman"/>
              </w:rPr>
            </w:pPr>
            <w:r>
              <w:rPr>
                <w:rFonts w:ascii="Times New Roman" w:hAnsi="Times New Roman"/>
                <w:lang w:bidi="ar"/>
              </w:rPr>
              <w:t>生态修复面积（hm²）</w:t>
            </w:r>
          </w:p>
        </w:tc>
        <w:tc>
          <w:tcPr>
            <w:tcW w:w="594" w:type="pct"/>
            <w:vAlign w:val="center"/>
          </w:tcPr>
          <w:p w14:paraId="23EEE888">
            <w:pPr>
              <w:pStyle w:val="72"/>
              <w:rPr>
                <w:rFonts w:ascii="Times New Roman" w:hAnsi="Times New Roman"/>
                <w:lang w:bidi="ar"/>
              </w:rPr>
            </w:pPr>
            <w:r>
              <w:rPr>
                <w:rFonts w:ascii="Times New Roman" w:hAnsi="Times New Roman"/>
                <w:lang w:bidi="ar"/>
              </w:rPr>
              <w:t>生态修复阶段</w:t>
            </w:r>
          </w:p>
        </w:tc>
        <w:tc>
          <w:tcPr>
            <w:tcW w:w="861" w:type="pct"/>
            <w:vAlign w:val="center"/>
          </w:tcPr>
          <w:p w14:paraId="1F5B8040">
            <w:pPr>
              <w:pStyle w:val="72"/>
              <w:rPr>
                <w:rFonts w:ascii="Times New Roman" w:hAnsi="Times New Roman"/>
                <w:lang w:bidi="ar"/>
              </w:rPr>
            </w:pPr>
            <w:r>
              <w:rPr>
                <w:rFonts w:ascii="Times New Roman" w:hAnsi="Times New Roman"/>
                <w:lang w:bidi="ar"/>
              </w:rPr>
              <w:t>生态修复时间（年度）</w:t>
            </w:r>
          </w:p>
        </w:tc>
        <w:tc>
          <w:tcPr>
            <w:tcW w:w="994" w:type="pct"/>
            <w:vAlign w:val="center"/>
          </w:tcPr>
          <w:p w14:paraId="1453DEBC">
            <w:pPr>
              <w:pStyle w:val="72"/>
              <w:rPr>
                <w:rFonts w:ascii="Times New Roman" w:hAnsi="Times New Roman"/>
                <w:lang w:bidi="ar"/>
              </w:rPr>
            </w:pPr>
            <w:r>
              <w:rPr>
                <w:rFonts w:ascii="Times New Roman" w:hAnsi="Times New Roman"/>
                <w:lang w:bidi="ar"/>
              </w:rPr>
              <w:t>备注</w:t>
            </w:r>
          </w:p>
        </w:tc>
      </w:tr>
      <w:tr w14:paraId="244F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16" w:type="pct"/>
            <w:vAlign w:val="center"/>
          </w:tcPr>
          <w:p w14:paraId="63382EB5">
            <w:pPr>
              <w:pStyle w:val="72"/>
              <w:rPr>
                <w:rFonts w:hint="default" w:ascii="Times New Roman" w:hAnsi="Times New Roman" w:eastAsia="仿宋"/>
                <w:lang w:val="en-US" w:eastAsia="zh-CN" w:bidi="ar"/>
              </w:rPr>
            </w:pPr>
            <w:r>
              <w:rPr>
                <w:rFonts w:hint="eastAsia" w:ascii="Times New Roman" w:hAnsi="Times New Roman"/>
                <w:lang w:val="en-US" w:eastAsia="zh-CN" w:bidi="ar"/>
              </w:rPr>
              <w:t>工业广场</w:t>
            </w:r>
          </w:p>
        </w:tc>
        <w:tc>
          <w:tcPr>
            <w:tcW w:w="784" w:type="pct"/>
            <w:vAlign w:val="center"/>
          </w:tcPr>
          <w:p w14:paraId="2E3F981F">
            <w:pPr>
              <w:pStyle w:val="72"/>
              <w:rPr>
                <w:rFonts w:hint="eastAsia" w:ascii="Times New Roman" w:hAnsi="Times New Roman"/>
                <w:lang w:val="en-US" w:eastAsia="zh-CN" w:bidi="ar"/>
              </w:rPr>
            </w:pPr>
            <w:r>
              <w:rPr>
                <w:rFonts w:hint="eastAsia" w:ascii="Times New Roman" w:hAnsi="Times New Roman"/>
                <w:lang w:val="en-US" w:eastAsia="zh-CN" w:bidi="ar"/>
              </w:rPr>
              <w:t>乔木林地</w:t>
            </w:r>
          </w:p>
        </w:tc>
        <w:tc>
          <w:tcPr>
            <w:tcW w:w="749" w:type="pct"/>
            <w:vAlign w:val="center"/>
          </w:tcPr>
          <w:p w14:paraId="5EC61ECF">
            <w:pPr>
              <w:pStyle w:val="72"/>
              <w:rPr>
                <w:rFonts w:hint="default" w:ascii="Times New Roman" w:hAnsi="Times New Roman"/>
                <w:lang w:val="en-US" w:eastAsia="zh-CN" w:bidi="ar"/>
              </w:rPr>
            </w:pPr>
            <w:r>
              <w:rPr>
                <w:rFonts w:hint="eastAsia" w:ascii="Times New Roman" w:hAnsi="Times New Roman"/>
                <w:lang w:val="en-US" w:eastAsia="zh-CN" w:bidi="ar"/>
              </w:rPr>
              <w:t>0.3608</w:t>
            </w:r>
          </w:p>
        </w:tc>
        <w:tc>
          <w:tcPr>
            <w:tcW w:w="594" w:type="pct"/>
            <w:vAlign w:val="center"/>
          </w:tcPr>
          <w:p w14:paraId="485034C7">
            <w:pPr>
              <w:pStyle w:val="72"/>
              <w:rPr>
                <w:rFonts w:hint="eastAsia" w:ascii="Times New Roman" w:hAnsi="Times New Roman"/>
                <w:lang w:val="en-US" w:eastAsia="zh-CN" w:bidi="ar"/>
              </w:rPr>
            </w:pPr>
            <w:r>
              <w:rPr>
                <w:rFonts w:hint="eastAsia" w:ascii="Times New Roman" w:hAnsi="Times New Roman"/>
                <w:lang w:val="en-US" w:eastAsia="zh-CN" w:bidi="ar"/>
              </w:rPr>
              <w:t>第二阶段</w:t>
            </w:r>
          </w:p>
        </w:tc>
        <w:tc>
          <w:tcPr>
            <w:tcW w:w="861" w:type="pct"/>
            <w:vAlign w:val="center"/>
          </w:tcPr>
          <w:p w14:paraId="6E264485">
            <w:pPr>
              <w:pStyle w:val="72"/>
              <w:rPr>
                <w:rFonts w:hint="default" w:ascii="Times New Roman" w:hAnsi="Times New Roman"/>
                <w:lang w:val="en-US" w:eastAsia="zh-CN" w:bidi="ar"/>
              </w:rPr>
            </w:pPr>
            <w:r>
              <w:rPr>
                <w:rFonts w:hint="eastAsia" w:ascii="Times New Roman" w:hAnsi="Times New Roman"/>
                <w:lang w:val="en-US" w:eastAsia="zh-CN" w:bidi="ar"/>
              </w:rPr>
              <w:t>2034年1月—2035年1月</w:t>
            </w:r>
          </w:p>
        </w:tc>
        <w:tc>
          <w:tcPr>
            <w:tcW w:w="994" w:type="pct"/>
            <w:vAlign w:val="center"/>
          </w:tcPr>
          <w:p w14:paraId="6602F46C">
            <w:pPr>
              <w:pStyle w:val="72"/>
              <w:rPr>
                <w:rFonts w:hint="default" w:ascii="Times New Roman" w:hAnsi="Times New Roman"/>
                <w:lang w:val="en-US" w:eastAsia="zh-CN" w:bidi="ar"/>
              </w:rPr>
            </w:pPr>
            <w:r>
              <w:rPr>
                <w:rFonts w:hint="eastAsia" w:ascii="Times New Roman" w:hAnsi="Times New Roman"/>
                <w:lang w:val="en-US" w:eastAsia="zh-CN" w:bidi="ar"/>
              </w:rPr>
              <w:t>清除硬盖层、覆土平整、拆除建筑物、建筑物回填井下、植树植草</w:t>
            </w:r>
          </w:p>
        </w:tc>
      </w:tr>
      <w:tr w14:paraId="0904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16" w:type="pct"/>
            <w:vAlign w:val="center"/>
          </w:tcPr>
          <w:p w14:paraId="3E829EA5">
            <w:pPr>
              <w:pStyle w:val="72"/>
              <w:rPr>
                <w:rFonts w:hint="default" w:ascii="Times New Roman" w:hAnsi="Times New Roman" w:eastAsia="仿宋"/>
                <w:lang w:val="en-US" w:eastAsia="zh-CN" w:bidi="ar"/>
              </w:rPr>
            </w:pPr>
            <w:r>
              <w:rPr>
                <w:rFonts w:hint="eastAsia" w:ascii="Times New Roman" w:hAnsi="Times New Roman"/>
                <w:lang w:val="en-US" w:eastAsia="zh-CN" w:bidi="ar"/>
              </w:rPr>
              <w:t>三处废弃平硐</w:t>
            </w:r>
          </w:p>
        </w:tc>
        <w:tc>
          <w:tcPr>
            <w:tcW w:w="784" w:type="pct"/>
            <w:vAlign w:val="center"/>
          </w:tcPr>
          <w:p w14:paraId="71B18FA8">
            <w:pPr>
              <w:pStyle w:val="72"/>
              <w:rPr>
                <w:rFonts w:hint="eastAsia" w:ascii="Times New Roman" w:hAnsi="Times New Roman"/>
                <w:lang w:val="en-US" w:eastAsia="zh-CN" w:bidi="ar"/>
              </w:rPr>
            </w:pPr>
            <w:r>
              <w:rPr>
                <w:rFonts w:hint="eastAsia" w:ascii="Times New Roman" w:hAnsi="Times New Roman"/>
                <w:lang w:val="en-US" w:eastAsia="zh-CN" w:bidi="ar"/>
              </w:rPr>
              <w:t>乔木林地</w:t>
            </w:r>
          </w:p>
        </w:tc>
        <w:tc>
          <w:tcPr>
            <w:tcW w:w="749" w:type="pct"/>
            <w:vAlign w:val="center"/>
          </w:tcPr>
          <w:p w14:paraId="38CEEC93">
            <w:pPr>
              <w:pStyle w:val="72"/>
              <w:rPr>
                <w:rFonts w:hint="default" w:ascii="Times New Roman" w:hAnsi="Times New Roman"/>
                <w:lang w:val="en-US" w:eastAsia="zh-CN" w:bidi="ar"/>
              </w:rPr>
            </w:pPr>
            <w:r>
              <w:rPr>
                <w:rFonts w:hint="eastAsia" w:ascii="Times New Roman" w:hAnsi="Times New Roman"/>
                <w:lang w:val="en-US" w:eastAsia="zh-CN" w:bidi="ar"/>
              </w:rPr>
              <w:t>0</w:t>
            </w:r>
          </w:p>
        </w:tc>
        <w:tc>
          <w:tcPr>
            <w:tcW w:w="594" w:type="pct"/>
            <w:vAlign w:val="center"/>
          </w:tcPr>
          <w:p w14:paraId="5BE90ED1">
            <w:pPr>
              <w:pStyle w:val="72"/>
              <w:rPr>
                <w:rFonts w:hint="eastAsia" w:ascii="Times New Roman" w:hAnsi="Times New Roman"/>
                <w:lang w:val="en-US" w:eastAsia="zh-CN" w:bidi="ar"/>
              </w:rPr>
            </w:pPr>
            <w:r>
              <w:rPr>
                <w:rFonts w:hint="eastAsia" w:ascii="Times New Roman" w:hAnsi="Times New Roman"/>
                <w:lang w:val="en-US" w:eastAsia="zh-CN" w:bidi="ar"/>
              </w:rPr>
              <w:t>第一阶段</w:t>
            </w:r>
          </w:p>
        </w:tc>
        <w:tc>
          <w:tcPr>
            <w:tcW w:w="861" w:type="pct"/>
            <w:vAlign w:val="center"/>
          </w:tcPr>
          <w:p w14:paraId="66032E9B">
            <w:pPr>
              <w:pStyle w:val="72"/>
              <w:rPr>
                <w:rFonts w:hint="eastAsia" w:ascii="Times New Roman" w:hAnsi="Times New Roman"/>
                <w:lang w:val="en-US" w:eastAsia="zh-CN" w:bidi="ar"/>
              </w:rPr>
            </w:pPr>
            <w:r>
              <w:rPr>
                <w:rFonts w:hint="eastAsia" w:ascii="Times New Roman" w:hAnsi="Times New Roman"/>
                <w:lang w:val="en-US" w:eastAsia="zh-CN" w:bidi="ar"/>
              </w:rPr>
              <w:t>2026年1月—2027年1月</w:t>
            </w:r>
          </w:p>
        </w:tc>
        <w:tc>
          <w:tcPr>
            <w:tcW w:w="994" w:type="pct"/>
            <w:vAlign w:val="center"/>
          </w:tcPr>
          <w:p w14:paraId="1D34F58A">
            <w:pPr>
              <w:pStyle w:val="72"/>
              <w:rPr>
                <w:rFonts w:hint="default" w:ascii="Times New Roman" w:hAnsi="Times New Roman"/>
                <w:lang w:val="en-US" w:eastAsia="zh-CN" w:bidi="ar"/>
              </w:rPr>
            </w:pPr>
            <w:r>
              <w:rPr>
                <w:rFonts w:hint="eastAsia" w:ascii="Times New Roman" w:hAnsi="Times New Roman"/>
                <w:lang w:val="en-US" w:eastAsia="zh-CN" w:bidi="ar"/>
              </w:rPr>
              <w:t>封堵平硐</w:t>
            </w:r>
          </w:p>
        </w:tc>
      </w:tr>
      <w:tr w14:paraId="7F68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16" w:type="pct"/>
            <w:vAlign w:val="center"/>
          </w:tcPr>
          <w:p w14:paraId="4A519F65">
            <w:pPr>
              <w:pStyle w:val="72"/>
              <w:rPr>
                <w:rFonts w:hint="default" w:ascii="Times New Roman" w:hAnsi="Times New Roman" w:eastAsia="仿宋"/>
                <w:lang w:val="en-US" w:eastAsia="zh-CN" w:bidi="ar"/>
              </w:rPr>
            </w:pPr>
            <w:r>
              <w:rPr>
                <w:rFonts w:hint="eastAsia" w:ascii="Times New Roman" w:hAnsi="Times New Roman"/>
                <w:lang w:val="en-US" w:eastAsia="zh-CN" w:bidi="ar"/>
              </w:rPr>
              <w:t>490m平硐工业广场</w:t>
            </w:r>
          </w:p>
        </w:tc>
        <w:tc>
          <w:tcPr>
            <w:tcW w:w="784" w:type="pct"/>
            <w:vAlign w:val="center"/>
          </w:tcPr>
          <w:p w14:paraId="62257FDE">
            <w:pPr>
              <w:pStyle w:val="72"/>
              <w:rPr>
                <w:rFonts w:hint="eastAsia" w:ascii="Times New Roman" w:hAnsi="Times New Roman"/>
                <w:lang w:val="en-US" w:eastAsia="zh-CN" w:bidi="ar"/>
              </w:rPr>
            </w:pPr>
            <w:r>
              <w:rPr>
                <w:rFonts w:hint="eastAsia" w:ascii="Times New Roman" w:hAnsi="Times New Roman"/>
                <w:lang w:val="en-US" w:eastAsia="zh-CN" w:bidi="ar"/>
              </w:rPr>
              <w:t>乔木林地</w:t>
            </w:r>
          </w:p>
        </w:tc>
        <w:tc>
          <w:tcPr>
            <w:tcW w:w="749" w:type="pct"/>
            <w:vAlign w:val="center"/>
          </w:tcPr>
          <w:p w14:paraId="4DD660E8">
            <w:pPr>
              <w:pStyle w:val="72"/>
              <w:rPr>
                <w:rFonts w:hint="default" w:ascii="Times New Roman" w:hAnsi="Times New Roman"/>
                <w:lang w:val="en-US" w:eastAsia="zh-CN" w:bidi="ar"/>
              </w:rPr>
            </w:pPr>
            <w:r>
              <w:rPr>
                <w:rFonts w:hint="eastAsia" w:ascii="Times New Roman" w:hAnsi="Times New Roman"/>
                <w:lang w:val="en-US" w:eastAsia="zh-CN" w:bidi="ar"/>
              </w:rPr>
              <w:t>0.69</w:t>
            </w:r>
          </w:p>
        </w:tc>
        <w:tc>
          <w:tcPr>
            <w:tcW w:w="594" w:type="pct"/>
            <w:vAlign w:val="center"/>
          </w:tcPr>
          <w:p w14:paraId="254B4484">
            <w:pPr>
              <w:pStyle w:val="72"/>
              <w:rPr>
                <w:rFonts w:hint="eastAsia" w:ascii="Times New Roman" w:hAnsi="Times New Roman"/>
                <w:lang w:val="en-US" w:eastAsia="zh-CN" w:bidi="ar"/>
              </w:rPr>
            </w:pPr>
            <w:r>
              <w:rPr>
                <w:rFonts w:hint="eastAsia" w:ascii="Times New Roman" w:hAnsi="Times New Roman"/>
                <w:lang w:val="en-US" w:eastAsia="zh-CN" w:bidi="ar"/>
              </w:rPr>
              <w:t>第二阶段</w:t>
            </w:r>
          </w:p>
        </w:tc>
        <w:tc>
          <w:tcPr>
            <w:tcW w:w="861" w:type="pct"/>
            <w:vAlign w:val="center"/>
          </w:tcPr>
          <w:p w14:paraId="1D8CD480">
            <w:pPr>
              <w:pStyle w:val="72"/>
              <w:rPr>
                <w:rFonts w:hint="eastAsia" w:ascii="Times New Roman" w:hAnsi="Times New Roman"/>
                <w:lang w:val="en-US" w:eastAsia="zh-CN" w:bidi="ar"/>
              </w:rPr>
            </w:pPr>
            <w:r>
              <w:rPr>
                <w:rFonts w:hint="eastAsia" w:ascii="Times New Roman" w:hAnsi="Times New Roman"/>
                <w:lang w:val="en-US" w:eastAsia="zh-CN" w:bidi="ar"/>
              </w:rPr>
              <w:t>2034年1月—2035年1月</w:t>
            </w:r>
          </w:p>
        </w:tc>
        <w:tc>
          <w:tcPr>
            <w:tcW w:w="994" w:type="pct"/>
            <w:vAlign w:val="center"/>
          </w:tcPr>
          <w:p w14:paraId="275925C8">
            <w:pPr>
              <w:pStyle w:val="72"/>
              <w:rPr>
                <w:rFonts w:hint="eastAsia" w:ascii="Times New Roman" w:hAnsi="Times New Roman"/>
                <w:lang w:val="en-US" w:eastAsia="zh-CN" w:bidi="ar"/>
              </w:rPr>
            </w:pPr>
            <w:r>
              <w:rPr>
                <w:rFonts w:hint="eastAsia" w:ascii="Times New Roman" w:hAnsi="Times New Roman"/>
                <w:lang w:val="en-US" w:eastAsia="zh-CN" w:bidi="ar"/>
              </w:rPr>
              <w:t>封堵平硐、清除硬盖层、覆土平整、拆除建筑物、建筑物回填井下、植树植草</w:t>
            </w:r>
          </w:p>
        </w:tc>
      </w:tr>
      <w:tr w14:paraId="7DB1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016" w:type="pct"/>
            <w:noWrap/>
            <w:vAlign w:val="center"/>
          </w:tcPr>
          <w:p w14:paraId="0E807BB9">
            <w:pPr>
              <w:pStyle w:val="72"/>
              <w:rPr>
                <w:rFonts w:hint="default" w:ascii="Times New Roman" w:hAnsi="Times New Roman" w:eastAsia="仿宋"/>
                <w:lang w:val="en-US" w:eastAsia="zh-CN" w:bidi="ar"/>
              </w:rPr>
            </w:pPr>
            <w:r>
              <w:rPr>
                <w:rFonts w:hint="eastAsia" w:ascii="Times New Roman" w:hAnsi="Times New Roman"/>
                <w:lang w:val="en-US" w:eastAsia="zh-CN" w:bidi="ar"/>
              </w:rPr>
              <w:t>520m平硐工业广场</w:t>
            </w:r>
          </w:p>
        </w:tc>
        <w:tc>
          <w:tcPr>
            <w:tcW w:w="784" w:type="pct"/>
            <w:vAlign w:val="center"/>
          </w:tcPr>
          <w:p w14:paraId="7217275E">
            <w:pPr>
              <w:pStyle w:val="72"/>
              <w:rPr>
                <w:rFonts w:hint="eastAsia" w:ascii="Times New Roman" w:hAnsi="Times New Roman"/>
                <w:lang w:val="en-US" w:eastAsia="zh-CN" w:bidi="ar"/>
              </w:rPr>
            </w:pPr>
            <w:r>
              <w:rPr>
                <w:rFonts w:hint="eastAsia" w:ascii="Times New Roman" w:hAnsi="Times New Roman"/>
                <w:lang w:val="en-US" w:eastAsia="zh-CN" w:bidi="ar"/>
              </w:rPr>
              <w:t>乔木林地</w:t>
            </w:r>
          </w:p>
        </w:tc>
        <w:tc>
          <w:tcPr>
            <w:tcW w:w="749" w:type="pct"/>
            <w:vAlign w:val="center"/>
          </w:tcPr>
          <w:p w14:paraId="3EE3035F">
            <w:pPr>
              <w:pStyle w:val="72"/>
              <w:rPr>
                <w:rFonts w:hint="default" w:ascii="Times New Roman" w:hAnsi="Times New Roman"/>
                <w:lang w:val="en-US" w:eastAsia="zh-CN" w:bidi="ar"/>
              </w:rPr>
            </w:pPr>
            <w:r>
              <w:rPr>
                <w:rFonts w:hint="eastAsia" w:ascii="Times New Roman" w:hAnsi="Times New Roman"/>
                <w:lang w:val="en-US" w:eastAsia="zh-CN" w:bidi="ar"/>
              </w:rPr>
              <w:t>0.3</w:t>
            </w:r>
          </w:p>
        </w:tc>
        <w:tc>
          <w:tcPr>
            <w:tcW w:w="594" w:type="pct"/>
            <w:vAlign w:val="center"/>
          </w:tcPr>
          <w:p w14:paraId="26051D78">
            <w:pPr>
              <w:pStyle w:val="72"/>
              <w:rPr>
                <w:rFonts w:hint="eastAsia" w:ascii="Times New Roman" w:hAnsi="Times New Roman"/>
                <w:lang w:val="en-US" w:eastAsia="zh-CN" w:bidi="ar"/>
              </w:rPr>
            </w:pPr>
            <w:r>
              <w:rPr>
                <w:rFonts w:hint="eastAsia" w:ascii="Times New Roman" w:hAnsi="Times New Roman"/>
                <w:lang w:val="en-US" w:eastAsia="zh-CN" w:bidi="ar"/>
              </w:rPr>
              <w:t>第二阶段</w:t>
            </w:r>
          </w:p>
        </w:tc>
        <w:tc>
          <w:tcPr>
            <w:tcW w:w="861" w:type="pct"/>
            <w:vAlign w:val="center"/>
          </w:tcPr>
          <w:p w14:paraId="2D4842C9">
            <w:pPr>
              <w:pStyle w:val="72"/>
              <w:rPr>
                <w:rFonts w:hint="eastAsia" w:ascii="Times New Roman" w:hAnsi="Times New Roman"/>
                <w:lang w:val="en-US" w:eastAsia="zh-CN" w:bidi="ar"/>
              </w:rPr>
            </w:pPr>
            <w:r>
              <w:rPr>
                <w:rFonts w:hint="eastAsia" w:ascii="Times New Roman" w:hAnsi="Times New Roman"/>
                <w:lang w:val="en-US" w:eastAsia="zh-CN" w:bidi="ar"/>
              </w:rPr>
              <w:t>2034年1月—2035年1月</w:t>
            </w:r>
          </w:p>
        </w:tc>
        <w:tc>
          <w:tcPr>
            <w:tcW w:w="994" w:type="pct"/>
            <w:vAlign w:val="center"/>
          </w:tcPr>
          <w:p w14:paraId="4836E9B8">
            <w:pPr>
              <w:pStyle w:val="72"/>
              <w:rPr>
                <w:rFonts w:hint="eastAsia" w:ascii="Times New Roman" w:hAnsi="Times New Roman"/>
                <w:lang w:val="en-US" w:eastAsia="zh-CN" w:bidi="ar"/>
              </w:rPr>
            </w:pPr>
            <w:r>
              <w:rPr>
                <w:rFonts w:hint="eastAsia" w:ascii="Times New Roman" w:hAnsi="Times New Roman"/>
                <w:lang w:val="en-US" w:eastAsia="zh-CN" w:bidi="ar"/>
              </w:rPr>
              <w:t>封堵平硐、清除硬盖层、覆土平整、拆除建筑物、建筑物回填井下、植树植草</w:t>
            </w:r>
          </w:p>
        </w:tc>
      </w:tr>
      <w:tr w14:paraId="6269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6" w:type="pct"/>
            <w:noWrap/>
            <w:vAlign w:val="center"/>
          </w:tcPr>
          <w:p w14:paraId="0ADB30F3">
            <w:pPr>
              <w:pStyle w:val="72"/>
              <w:rPr>
                <w:rFonts w:ascii="Times New Roman" w:hAnsi="Times New Roman"/>
                <w:lang w:bidi="ar"/>
              </w:rPr>
            </w:pPr>
            <w:r>
              <w:rPr>
                <w:rFonts w:hint="eastAsia" w:ascii="Times New Roman" w:hAnsi="Times New Roman"/>
                <w:lang w:val="en-US" w:eastAsia="zh-CN" w:bidi="ar"/>
              </w:rPr>
              <w:t>548m平硐工业广场</w:t>
            </w:r>
          </w:p>
        </w:tc>
        <w:tc>
          <w:tcPr>
            <w:tcW w:w="784" w:type="pct"/>
            <w:vAlign w:val="center"/>
          </w:tcPr>
          <w:p w14:paraId="15F1A13D">
            <w:pPr>
              <w:pStyle w:val="72"/>
              <w:rPr>
                <w:rFonts w:hint="eastAsia" w:ascii="Times New Roman" w:hAnsi="Times New Roman"/>
                <w:lang w:val="en-US" w:eastAsia="zh-CN" w:bidi="ar"/>
              </w:rPr>
            </w:pPr>
            <w:r>
              <w:rPr>
                <w:rFonts w:hint="eastAsia" w:ascii="Times New Roman" w:hAnsi="Times New Roman"/>
                <w:lang w:val="en-US" w:eastAsia="zh-CN" w:bidi="ar"/>
              </w:rPr>
              <w:t>乔木林地</w:t>
            </w:r>
          </w:p>
        </w:tc>
        <w:tc>
          <w:tcPr>
            <w:tcW w:w="749" w:type="pct"/>
            <w:vAlign w:val="center"/>
          </w:tcPr>
          <w:p w14:paraId="71C35528">
            <w:pPr>
              <w:pStyle w:val="72"/>
              <w:rPr>
                <w:rFonts w:hint="eastAsia" w:ascii="Times New Roman" w:hAnsi="Times New Roman"/>
                <w:lang w:val="en-US" w:eastAsia="zh-CN" w:bidi="ar"/>
              </w:rPr>
            </w:pPr>
            <w:r>
              <w:rPr>
                <w:rFonts w:hint="eastAsia" w:ascii="Times New Roman" w:hAnsi="Times New Roman"/>
                <w:lang w:val="en-US" w:eastAsia="zh-CN" w:bidi="ar"/>
              </w:rPr>
              <w:t>0.178</w:t>
            </w:r>
          </w:p>
        </w:tc>
        <w:tc>
          <w:tcPr>
            <w:tcW w:w="594" w:type="pct"/>
            <w:vAlign w:val="center"/>
          </w:tcPr>
          <w:p w14:paraId="6DA6E1FB">
            <w:pPr>
              <w:pStyle w:val="72"/>
              <w:rPr>
                <w:rFonts w:hint="eastAsia" w:ascii="Times New Roman" w:hAnsi="Times New Roman"/>
                <w:lang w:val="en-US" w:eastAsia="zh-CN" w:bidi="ar"/>
              </w:rPr>
            </w:pPr>
            <w:bookmarkStart w:id="155" w:name="OLE_LINK44"/>
            <w:r>
              <w:rPr>
                <w:rFonts w:hint="eastAsia" w:ascii="Times New Roman" w:hAnsi="Times New Roman"/>
                <w:lang w:val="en-US" w:eastAsia="zh-CN" w:bidi="ar"/>
              </w:rPr>
              <w:t>第二阶段</w:t>
            </w:r>
            <w:bookmarkEnd w:id="155"/>
          </w:p>
        </w:tc>
        <w:tc>
          <w:tcPr>
            <w:tcW w:w="861" w:type="pct"/>
            <w:vAlign w:val="center"/>
          </w:tcPr>
          <w:p w14:paraId="36383D2A">
            <w:pPr>
              <w:pStyle w:val="72"/>
              <w:rPr>
                <w:rFonts w:hint="eastAsia" w:ascii="Times New Roman" w:hAnsi="Times New Roman"/>
                <w:lang w:val="en-US" w:eastAsia="zh-CN" w:bidi="ar"/>
              </w:rPr>
            </w:pPr>
            <w:r>
              <w:rPr>
                <w:rFonts w:hint="eastAsia" w:ascii="Times New Roman" w:hAnsi="Times New Roman"/>
                <w:lang w:val="en-US" w:eastAsia="zh-CN" w:bidi="ar"/>
              </w:rPr>
              <w:t>2034年1月—2035年1月</w:t>
            </w:r>
          </w:p>
        </w:tc>
        <w:tc>
          <w:tcPr>
            <w:tcW w:w="994" w:type="pct"/>
            <w:vAlign w:val="center"/>
          </w:tcPr>
          <w:p w14:paraId="268F4C27">
            <w:pPr>
              <w:pStyle w:val="72"/>
              <w:rPr>
                <w:rFonts w:hint="eastAsia" w:ascii="Times New Roman" w:hAnsi="Times New Roman"/>
                <w:lang w:val="en-US" w:eastAsia="zh-CN" w:bidi="ar"/>
              </w:rPr>
            </w:pPr>
            <w:r>
              <w:rPr>
                <w:rFonts w:hint="eastAsia" w:ascii="Times New Roman" w:hAnsi="Times New Roman"/>
                <w:lang w:val="en-US" w:eastAsia="zh-CN" w:bidi="ar"/>
              </w:rPr>
              <w:t>封堵平硐、清除硬盖层、覆土平整、拆除建筑物、建筑物回填井下、植树植草</w:t>
            </w:r>
          </w:p>
        </w:tc>
      </w:tr>
      <w:tr w14:paraId="0040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6" w:type="pct"/>
            <w:noWrap/>
            <w:vAlign w:val="center"/>
          </w:tcPr>
          <w:p w14:paraId="03C31057">
            <w:pPr>
              <w:pStyle w:val="72"/>
              <w:rPr>
                <w:rFonts w:hint="eastAsia" w:ascii="Times New Roman" w:hAnsi="Times New Roman" w:eastAsia="仿宋"/>
                <w:lang w:eastAsia="zh-CN" w:bidi="ar"/>
              </w:rPr>
            </w:pPr>
            <w:r>
              <w:rPr>
                <w:rFonts w:hint="eastAsia" w:ascii="Times New Roman" w:hAnsi="Times New Roman"/>
                <w:lang w:eastAsia="zh-CN" w:bidi="ar"/>
              </w:rPr>
              <w:t>地裂缝</w:t>
            </w:r>
          </w:p>
        </w:tc>
        <w:tc>
          <w:tcPr>
            <w:tcW w:w="784" w:type="pct"/>
            <w:vAlign w:val="center"/>
          </w:tcPr>
          <w:p w14:paraId="6D56843D">
            <w:pPr>
              <w:pStyle w:val="72"/>
              <w:rPr>
                <w:rFonts w:hint="eastAsia" w:ascii="Times New Roman" w:hAnsi="Times New Roman"/>
                <w:lang w:val="en-US" w:eastAsia="zh-CN" w:bidi="ar"/>
              </w:rPr>
            </w:pPr>
            <w:r>
              <w:rPr>
                <w:rFonts w:hint="eastAsia" w:ascii="Times New Roman" w:hAnsi="Times New Roman"/>
                <w:lang w:val="en-US" w:eastAsia="zh-CN" w:bidi="ar"/>
              </w:rPr>
              <w:t>乔木林地</w:t>
            </w:r>
          </w:p>
        </w:tc>
        <w:tc>
          <w:tcPr>
            <w:tcW w:w="749" w:type="pct"/>
            <w:vAlign w:val="center"/>
          </w:tcPr>
          <w:p w14:paraId="2B1BFF90">
            <w:pPr>
              <w:pStyle w:val="72"/>
              <w:rPr>
                <w:rFonts w:hint="eastAsia" w:ascii="Times New Roman" w:hAnsi="Times New Roman"/>
                <w:lang w:val="en-US" w:eastAsia="zh-CN" w:bidi="ar"/>
              </w:rPr>
            </w:pPr>
            <w:r>
              <w:rPr>
                <w:rFonts w:hint="eastAsia" w:ascii="Times New Roman" w:hAnsi="Times New Roman"/>
                <w:lang w:val="en-US" w:eastAsia="zh-CN" w:bidi="ar"/>
              </w:rPr>
              <w:t>0</w:t>
            </w:r>
          </w:p>
        </w:tc>
        <w:tc>
          <w:tcPr>
            <w:tcW w:w="594" w:type="pct"/>
            <w:vAlign w:val="center"/>
          </w:tcPr>
          <w:p w14:paraId="6C280443">
            <w:pPr>
              <w:pStyle w:val="72"/>
              <w:rPr>
                <w:rFonts w:hint="eastAsia" w:ascii="Times New Roman" w:hAnsi="Times New Roman"/>
                <w:lang w:val="en-US" w:eastAsia="zh-CN" w:bidi="ar"/>
              </w:rPr>
            </w:pPr>
            <w:r>
              <w:rPr>
                <w:rFonts w:hint="eastAsia" w:ascii="Times New Roman" w:hAnsi="Times New Roman"/>
                <w:lang w:val="en-US" w:eastAsia="zh-CN" w:bidi="ar"/>
              </w:rPr>
              <w:t>第二阶段</w:t>
            </w:r>
          </w:p>
        </w:tc>
        <w:tc>
          <w:tcPr>
            <w:tcW w:w="861" w:type="pct"/>
            <w:vAlign w:val="center"/>
          </w:tcPr>
          <w:p w14:paraId="56386D15">
            <w:pPr>
              <w:pStyle w:val="72"/>
              <w:rPr>
                <w:rFonts w:hint="eastAsia" w:ascii="Times New Roman" w:hAnsi="Times New Roman"/>
                <w:lang w:val="en-US" w:eastAsia="zh-CN" w:bidi="ar"/>
              </w:rPr>
            </w:pPr>
            <w:r>
              <w:rPr>
                <w:rFonts w:hint="eastAsia" w:ascii="Times New Roman" w:hAnsi="Times New Roman"/>
                <w:lang w:val="en-US" w:eastAsia="zh-CN" w:bidi="ar"/>
              </w:rPr>
              <w:t>2034年1月—2035年1月</w:t>
            </w:r>
          </w:p>
        </w:tc>
        <w:tc>
          <w:tcPr>
            <w:tcW w:w="994" w:type="pct"/>
            <w:vAlign w:val="center"/>
          </w:tcPr>
          <w:p w14:paraId="4DBDAA73">
            <w:pPr>
              <w:pStyle w:val="72"/>
              <w:rPr>
                <w:rFonts w:hint="eastAsia" w:ascii="Times New Roman" w:hAnsi="Times New Roman"/>
                <w:lang w:val="en-US" w:eastAsia="zh-CN" w:bidi="ar"/>
              </w:rPr>
            </w:pPr>
            <w:r>
              <w:rPr>
                <w:rFonts w:hint="eastAsia" w:ascii="Times New Roman" w:hAnsi="Times New Roman"/>
                <w:lang w:val="en-US" w:eastAsia="zh-CN" w:bidi="ar"/>
              </w:rPr>
              <w:t>针对地裂缝的进行监测</w:t>
            </w:r>
          </w:p>
        </w:tc>
      </w:tr>
      <w:tr w14:paraId="245D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6" w:type="pct"/>
            <w:noWrap/>
            <w:vAlign w:val="center"/>
          </w:tcPr>
          <w:p w14:paraId="54CD20DA">
            <w:pPr>
              <w:pStyle w:val="72"/>
              <w:rPr>
                <w:rFonts w:ascii="Times New Roman" w:hAnsi="Times New Roman"/>
              </w:rPr>
            </w:pPr>
            <w:r>
              <w:rPr>
                <w:rFonts w:ascii="Times New Roman" w:hAnsi="Times New Roman"/>
                <w:lang w:bidi="ar"/>
              </w:rPr>
              <w:t>合计</w:t>
            </w:r>
          </w:p>
        </w:tc>
        <w:tc>
          <w:tcPr>
            <w:tcW w:w="784" w:type="pct"/>
            <w:noWrap/>
            <w:vAlign w:val="center"/>
          </w:tcPr>
          <w:p w14:paraId="5C72269C">
            <w:pPr>
              <w:pStyle w:val="72"/>
              <w:rPr>
                <w:rFonts w:ascii="Times New Roman" w:hAnsi="Times New Roman"/>
              </w:rPr>
            </w:pPr>
          </w:p>
        </w:tc>
        <w:tc>
          <w:tcPr>
            <w:tcW w:w="749" w:type="pct"/>
            <w:noWrap/>
            <w:vAlign w:val="center"/>
          </w:tcPr>
          <w:p w14:paraId="2240079D">
            <w:pPr>
              <w:widowControl/>
              <w:adjustRightInd/>
              <w:snapToGrid/>
              <w:spacing w:line="240" w:lineRule="auto"/>
              <w:ind w:firstLine="0" w:firstLineChars="0"/>
              <w:jc w:val="center"/>
              <w:rPr>
                <w:rFonts w:hint="eastAsia" w:eastAsia="宋体"/>
                <w:lang w:eastAsia="zh-CN"/>
              </w:rPr>
            </w:pPr>
            <w:r>
              <w:rPr>
                <w:rFonts w:hint="eastAsia"/>
                <w:color w:val="000000"/>
                <w:sz w:val="21"/>
                <w:szCs w:val="21"/>
                <w:lang w:eastAsia="zh-CN"/>
              </w:rPr>
              <w:t>1.5288</w:t>
            </w:r>
          </w:p>
        </w:tc>
        <w:tc>
          <w:tcPr>
            <w:tcW w:w="594" w:type="pct"/>
            <w:vAlign w:val="center"/>
          </w:tcPr>
          <w:p w14:paraId="0D70DCD1">
            <w:pPr>
              <w:pStyle w:val="72"/>
              <w:rPr>
                <w:rFonts w:ascii="Times New Roman" w:hAnsi="Times New Roman"/>
                <w:lang w:bidi="ar"/>
              </w:rPr>
            </w:pPr>
          </w:p>
        </w:tc>
        <w:tc>
          <w:tcPr>
            <w:tcW w:w="861" w:type="pct"/>
            <w:vAlign w:val="center"/>
          </w:tcPr>
          <w:p w14:paraId="3DD3FC0B">
            <w:pPr>
              <w:pStyle w:val="72"/>
              <w:rPr>
                <w:rFonts w:ascii="Times New Roman" w:hAnsi="Times New Roman"/>
                <w:lang w:bidi="ar"/>
              </w:rPr>
            </w:pPr>
          </w:p>
        </w:tc>
        <w:tc>
          <w:tcPr>
            <w:tcW w:w="994" w:type="pct"/>
            <w:vAlign w:val="center"/>
          </w:tcPr>
          <w:p w14:paraId="0878FBBB">
            <w:pPr>
              <w:pStyle w:val="72"/>
              <w:rPr>
                <w:rFonts w:ascii="Times New Roman" w:hAnsi="Times New Roman"/>
                <w:lang w:bidi="ar"/>
              </w:rPr>
            </w:pPr>
          </w:p>
        </w:tc>
      </w:tr>
      <w:bookmarkEnd w:id="154"/>
    </w:tbl>
    <w:p w14:paraId="4022E768">
      <w:pPr>
        <w:pStyle w:val="4"/>
        <w:ind w:firstLine="602"/>
        <w:rPr>
          <w:rFonts w:ascii="Times New Roman" w:hAnsi="Times New Roman"/>
          <w:szCs w:val="30"/>
        </w:rPr>
      </w:pPr>
      <w:bookmarkStart w:id="156" w:name="_Toc219050287"/>
      <w:bookmarkStart w:id="157" w:name="_Toc215692448"/>
      <w:r>
        <w:rPr>
          <w:rFonts w:ascii="Times New Roman" w:hAnsi="Times New Roman"/>
          <w:szCs w:val="30"/>
        </w:rPr>
        <w:t>四、采矿用地与复垦修复安排</w:t>
      </w:r>
      <w:bookmarkEnd w:id="153"/>
      <w:bookmarkEnd w:id="156"/>
      <w:bookmarkEnd w:id="157"/>
    </w:p>
    <w:p w14:paraId="16144B30">
      <w:pPr>
        <w:pStyle w:val="5"/>
        <w:ind w:firstLine="562"/>
        <w:rPr>
          <w:bCs/>
        </w:rPr>
      </w:pPr>
      <w:r>
        <w:rPr>
          <w:bCs/>
        </w:rPr>
        <w:t>（一）采矿用地范围</w:t>
      </w:r>
    </w:p>
    <w:p w14:paraId="23953214">
      <w:pPr>
        <w:ind w:firstLine="560"/>
        <w:rPr>
          <w:szCs w:val="28"/>
        </w:rPr>
      </w:pPr>
      <w:r>
        <w:rPr>
          <w:szCs w:val="28"/>
        </w:rPr>
        <w:t>根据《开发利用方案》及</w:t>
      </w:r>
      <w:r>
        <w:rPr>
          <w:rFonts w:hint="eastAsia"/>
          <w:szCs w:val="28"/>
        </w:rPr>
        <w:t>矿山现状</w:t>
      </w:r>
      <w:r>
        <w:rPr>
          <w:szCs w:val="28"/>
        </w:rPr>
        <w:t>，矿山生产</w:t>
      </w:r>
      <w:r>
        <w:rPr>
          <w:rFonts w:hint="eastAsia"/>
          <w:szCs w:val="28"/>
          <w:lang w:val="en-US" w:eastAsia="zh-CN"/>
        </w:rPr>
        <w:t>现状</w:t>
      </w:r>
      <w:r>
        <w:rPr>
          <w:szCs w:val="28"/>
        </w:rPr>
        <w:t>用地面积为</w:t>
      </w:r>
      <w:r>
        <w:rPr>
          <w:rFonts w:hint="eastAsia"/>
          <w:szCs w:val="28"/>
          <w:lang w:val="en-US" w:eastAsia="zh-CN"/>
        </w:rPr>
        <w:t>0.3608</w:t>
      </w:r>
      <w:r>
        <w:rPr>
          <w:szCs w:val="28"/>
        </w:rPr>
        <w:t>h</w:t>
      </w:r>
      <w:r>
        <w:rPr>
          <w:rFonts w:hint="eastAsia"/>
          <w:szCs w:val="28"/>
        </w:rPr>
        <w:t>m²</w:t>
      </w:r>
      <w:r>
        <w:rPr>
          <w:szCs w:val="28"/>
        </w:rPr>
        <w:t>，现有的采矿用地及附属设施</w:t>
      </w:r>
      <w:r>
        <w:rPr>
          <w:rFonts w:hint="eastAsia"/>
          <w:szCs w:val="28"/>
          <w:lang w:val="en-US" w:eastAsia="zh-CN"/>
        </w:rPr>
        <w:t>不能</w:t>
      </w:r>
      <w:r>
        <w:rPr>
          <w:szCs w:val="28"/>
        </w:rPr>
        <w:t>满足生产需要，需额外占地建设工业广场，涉及土地地类为</w:t>
      </w:r>
      <w:r>
        <w:rPr>
          <w:rFonts w:hint="eastAsia"/>
          <w:szCs w:val="28"/>
        </w:rPr>
        <w:t>乔木林地</w:t>
      </w:r>
      <w:r>
        <w:rPr>
          <w:rFonts w:hint="eastAsia"/>
          <w:szCs w:val="28"/>
          <w:lang w:eastAsia="zh-CN"/>
        </w:rPr>
        <w:t>1.4511</w:t>
      </w:r>
      <w:r>
        <w:rPr>
          <w:rFonts w:hint="eastAsia"/>
          <w:szCs w:val="28"/>
        </w:rPr>
        <w:t>hm</w:t>
      </w:r>
      <w:r>
        <w:rPr>
          <w:rFonts w:hint="eastAsia"/>
          <w:szCs w:val="28"/>
          <w:vertAlign w:val="superscript"/>
        </w:rPr>
        <w:t>2</w:t>
      </w:r>
      <w:r>
        <w:rPr>
          <w:szCs w:val="28"/>
        </w:rPr>
        <w:t>，</w:t>
      </w:r>
      <w:r>
        <w:rPr>
          <w:rFonts w:hint="eastAsia"/>
          <w:szCs w:val="28"/>
        </w:rPr>
        <w:t>采矿用地</w:t>
      </w:r>
      <w:r>
        <w:rPr>
          <w:rFonts w:hint="eastAsia"/>
          <w:szCs w:val="28"/>
          <w:lang w:eastAsia="zh-CN"/>
        </w:rPr>
        <w:t>0.18</w:t>
      </w:r>
      <w:r>
        <w:rPr>
          <w:rFonts w:hint="eastAsia"/>
          <w:szCs w:val="28"/>
        </w:rPr>
        <w:t>hm</w:t>
      </w:r>
      <w:r>
        <w:rPr>
          <w:rFonts w:hint="eastAsia"/>
          <w:szCs w:val="28"/>
          <w:vertAlign w:val="superscript"/>
        </w:rPr>
        <w:t>2</w:t>
      </w:r>
      <w:r>
        <w:rPr>
          <w:szCs w:val="28"/>
        </w:rPr>
        <w:t>，土矿山用地通过</w:t>
      </w:r>
      <w:r>
        <w:rPr>
          <w:rFonts w:hint="eastAsia" w:ascii="Times New Roman" w:hAnsi="Times New Roman"/>
          <w:szCs w:val="28"/>
          <w:lang w:eastAsia="zh-CN"/>
        </w:rPr>
        <w:t xml:space="preserve"> 土地租赁</w:t>
      </w:r>
      <w:r>
        <w:rPr>
          <w:szCs w:val="28"/>
        </w:rPr>
        <w:t>的形式取得土地使用权</w:t>
      </w:r>
      <w:r>
        <w:rPr>
          <w:rFonts w:hint="eastAsia"/>
          <w:szCs w:val="28"/>
        </w:rPr>
        <w:t>，土地使用权终止日期至</w:t>
      </w:r>
      <w:r>
        <w:rPr>
          <w:rFonts w:hint="eastAsia"/>
          <w:szCs w:val="28"/>
          <w:lang w:val="en-US" w:eastAsia="zh-CN"/>
        </w:rPr>
        <w:t>2038</w:t>
      </w:r>
      <w:r>
        <w:rPr>
          <w:rFonts w:hint="eastAsia"/>
          <w:szCs w:val="28"/>
        </w:rPr>
        <w:t>年</w:t>
      </w:r>
      <w:r>
        <w:rPr>
          <w:rFonts w:hint="eastAsia"/>
          <w:szCs w:val="28"/>
          <w:lang w:val="en-US" w:eastAsia="zh-CN"/>
        </w:rPr>
        <w:t>1</w:t>
      </w:r>
      <w:r>
        <w:rPr>
          <w:rFonts w:hint="eastAsia"/>
          <w:szCs w:val="28"/>
        </w:rPr>
        <w:t>月</w:t>
      </w:r>
      <w:r>
        <w:rPr>
          <w:szCs w:val="28"/>
        </w:rPr>
        <w:t>。</w:t>
      </w:r>
    </w:p>
    <w:p w14:paraId="4A8E1A01">
      <w:pPr>
        <w:pStyle w:val="15"/>
        <w:ind w:firstLine="560"/>
      </w:pPr>
      <w:r>
        <w:t>矿区现状及预测损毁的土地总面积</w:t>
      </w:r>
      <w:r>
        <w:rPr>
          <w:rFonts w:hint="eastAsia"/>
          <w:szCs w:val="28"/>
          <w:lang w:eastAsia="zh-CN"/>
        </w:rPr>
        <w:t>1.5288</w:t>
      </w:r>
      <w:r>
        <w:t>hm²，</w:t>
      </w:r>
      <w:r>
        <w:rPr>
          <w:rFonts w:hint="eastAsia"/>
        </w:rPr>
        <w:t>其中</w:t>
      </w:r>
      <w:r>
        <w:rPr>
          <w:bCs/>
          <w:szCs w:val="28"/>
        </w:rPr>
        <w:t>土地权属人为</w:t>
      </w:r>
      <w:r>
        <w:rPr>
          <w:rFonts w:hint="eastAsia"/>
          <w:lang w:eastAsia="zh-CN"/>
        </w:rPr>
        <w:t>集安市</w:t>
      </w:r>
      <w:r>
        <w:rPr>
          <w:rFonts w:hint="eastAsia"/>
          <w:lang w:val="en-US" w:eastAsia="zh-CN"/>
        </w:rPr>
        <w:t>清河镇二道村</w:t>
      </w:r>
      <w:r>
        <w:rPr>
          <w:rFonts w:hint="eastAsia"/>
          <w:bCs/>
          <w:szCs w:val="28"/>
        </w:rPr>
        <w:t>，</w:t>
      </w:r>
      <w:r>
        <w:t>土地权属清楚，无土地权属纠纷。</w:t>
      </w:r>
    </w:p>
    <w:p w14:paraId="2903AEF0">
      <w:pPr>
        <w:pStyle w:val="15"/>
        <w:ind w:firstLine="560"/>
        <w:rPr>
          <w:bCs/>
        </w:rPr>
      </w:pPr>
      <w:r>
        <w:rPr>
          <w:bCs/>
        </w:rPr>
        <w:t>（二）复垦修复目标</w:t>
      </w:r>
    </w:p>
    <w:p w14:paraId="0D5AF57F">
      <w:pPr>
        <w:ind w:firstLine="560"/>
        <w:rPr>
          <w:szCs w:val="28"/>
        </w:rPr>
      </w:pPr>
      <w:r>
        <w:rPr>
          <w:rFonts w:hint="eastAsia"/>
          <w:szCs w:val="28"/>
          <w:lang w:val="en-US" w:eastAsia="zh-CN"/>
        </w:rPr>
        <w:t>三处废弃平硐</w:t>
      </w:r>
      <w:r>
        <w:rPr>
          <w:rFonts w:hint="eastAsia"/>
          <w:szCs w:val="28"/>
        </w:rPr>
        <w:t>“</w:t>
      </w:r>
      <w:r>
        <w:rPr>
          <w:szCs w:val="28"/>
        </w:rPr>
        <w:t>边开采</w:t>
      </w:r>
      <w:r>
        <w:rPr>
          <w:rFonts w:hint="eastAsia"/>
          <w:szCs w:val="28"/>
        </w:rPr>
        <w:t>、</w:t>
      </w:r>
      <w:r>
        <w:rPr>
          <w:szCs w:val="28"/>
        </w:rPr>
        <w:t>边</w:t>
      </w:r>
      <w:r>
        <w:rPr>
          <w:rFonts w:hint="eastAsia"/>
          <w:szCs w:val="28"/>
        </w:rPr>
        <w:t>修复”</w:t>
      </w:r>
      <w:r>
        <w:rPr>
          <w:szCs w:val="28"/>
        </w:rPr>
        <w:t>的形式进行</w:t>
      </w:r>
      <w:r>
        <w:rPr>
          <w:rFonts w:hint="eastAsia"/>
          <w:szCs w:val="28"/>
        </w:rPr>
        <w:t>治理</w:t>
      </w:r>
      <w:r>
        <w:rPr>
          <w:szCs w:val="28"/>
        </w:rPr>
        <w:t>，</w:t>
      </w:r>
      <w:r>
        <w:rPr>
          <w:rFonts w:hint="eastAsia"/>
          <w:szCs w:val="28"/>
          <w:lang w:eastAsia="zh-CN"/>
        </w:rPr>
        <w:t>490m平硐工业广场、520m平硐工业广场、548m平硐工业广场、</w:t>
      </w:r>
      <w:r>
        <w:rPr>
          <w:rFonts w:hint="eastAsia"/>
          <w:szCs w:val="28"/>
          <w:lang w:val="en-US" w:eastAsia="zh-CN"/>
        </w:rPr>
        <w:t>地裂缝</w:t>
      </w:r>
      <w:r>
        <w:rPr>
          <w:rFonts w:hint="eastAsia"/>
          <w:szCs w:val="28"/>
        </w:rPr>
        <w:t>采用闭坑后整体修复的形式进行治理；预测</w:t>
      </w:r>
      <w:r>
        <w:t>损毁的土地总面积</w:t>
      </w:r>
      <w:r>
        <w:rPr>
          <w:rFonts w:hint="eastAsia"/>
          <w:szCs w:val="28"/>
          <w:lang w:eastAsia="zh-CN"/>
        </w:rPr>
        <w:t>1.5288</w:t>
      </w:r>
      <w:r>
        <w:t>hm²，</w:t>
      </w:r>
      <w:r>
        <w:rPr>
          <w:szCs w:val="28"/>
        </w:rPr>
        <w:t>修复面积</w:t>
      </w:r>
      <w:r>
        <w:rPr>
          <w:rFonts w:hint="eastAsia"/>
          <w:szCs w:val="28"/>
          <w:lang w:eastAsia="zh-CN"/>
        </w:rPr>
        <w:t>1.5288</w:t>
      </w:r>
      <w:r>
        <w:rPr>
          <w:szCs w:val="28"/>
        </w:rPr>
        <w:t>h</w:t>
      </w:r>
      <w:r>
        <w:rPr>
          <w:rFonts w:hint="eastAsia"/>
          <w:szCs w:val="28"/>
        </w:rPr>
        <w:t>m²</w:t>
      </w:r>
      <w:r>
        <w:rPr>
          <w:szCs w:val="28"/>
        </w:rPr>
        <w:t>，土地复垦率</w:t>
      </w:r>
      <w:r>
        <w:rPr>
          <w:rFonts w:hint="eastAsia"/>
          <w:szCs w:val="28"/>
        </w:rPr>
        <w:t>100</w:t>
      </w:r>
      <w:r>
        <w:rPr>
          <w:szCs w:val="28"/>
        </w:rPr>
        <w:t>%，生态修复方向为</w:t>
      </w:r>
      <w:r>
        <w:rPr>
          <w:rFonts w:hint="eastAsia"/>
          <w:szCs w:val="28"/>
          <w:lang w:val="en-US" w:eastAsia="zh-CN"/>
        </w:rPr>
        <w:t>乔木林地</w:t>
      </w:r>
      <w:r>
        <w:rPr>
          <w:szCs w:val="28"/>
        </w:rPr>
        <w:t>。</w:t>
      </w:r>
    </w:p>
    <w:p w14:paraId="7588C779">
      <w:pPr>
        <w:pStyle w:val="78"/>
        <w:ind w:firstLine="560"/>
        <w:rPr>
          <w:rFonts w:cs="Times New Roman"/>
          <w:b/>
          <w:color w:val="auto"/>
          <w:szCs w:val="28"/>
        </w:rPr>
      </w:pPr>
      <w:r>
        <w:rPr>
          <w:rFonts w:cs="Times New Roman"/>
          <w:b/>
          <w:color w:val="auto"/>
          <w:szCs w:val="28"/>
        </w:rPr>
        <w:t>表3-</w:t>
      </w:r>
      <w:bookmarkStart w:id="158" w:name="_Hlk219059271"/>
      <w:r>
        <w:rPr>
          <w:rFonts w:hint="eastAsia" w:cs="Times New Roman"/>
          <w:b/>
          <w:color w:val="auto"/>
          <w:szCs w:val="28"/>
          <w:lang w:val="en-US" w:eastAsia="zh-CN"/>
        </w:rPr>
        <w:t>27</w:t>
      </w:r>
      <w:r>
        <w:rPr>
          <w:rFonts w:cs="Times New Roman"/>
          <w:b/>
          <w:color w:val="auto"/>
          <w:szCs w:val="28"/>
        </w:rPr>
        <w:t>矿区生态修复目标及土地利用变化表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1757"/>
        <w:gridCol w:w="913"/>
        <w:gridCol w:w="1583"/>
        <w:gridCol w:w="1325"/>
        <w:gridCol w:w="1748"/>
        <w:gridCol w:w="1432"/>
      </w:tblGrid>
      <w:tr w14:paraId="165F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42" w:type="pct"/>
            <w:gridSpan w:val="2"/>
            <w:vAlign w:val="center"/>
          </w:tcPr>
          <w:p w14:paraId="1B5971F5">
            <w:pPr>
              <w:pStyle w:val="72"/>
              <w:rPr>
                <w:rFonts w:ascii="Times New Roman" w:hAnsi="Times New Roman"/>
              </w:rPr>
            </w:pPr>
            <w:r>
              <w:rPr>
                <w:rFonts w:ascii="Times New Roman" w:hAnsi="Times New Roman"/>
              </w:rPr>
              <w:t>一级地类</w:t>
            </w:r>
          </w:p>
        </w:tc>
        <w:tc>
          <w:tcPr>
            <w:tcW w:w="1304" w:type="pct"/>
            <w:gridSpan w:val="2"/>
            <w:vAlign w:val="center"/>
          </w:tcPr>
          <w:p w14:paraId="5175875D">
            <w:pPr>
              <w:pStyle w:val="72"/>
              <w:rPr>
                <w:rFonts w:ascii="Times New Roman" w:hAnsi="Times New Roman"/>
              </w:rPr>
            </w:pPr>
            <w:r>
              <w:rPr>
                <w:rFonts w:ascii="Times New Roman" w:hAnsi="Times New Roman"/>
              </w:rPr>
              <w:t>二级地类</w:t>
            </w:r>
          </w:p>
        </w:tc>
        <w:tc>
          <w:tcPr>
            <w:tcW w:w="692" w:type="pct"/>
            <w:vAlign w:val="center"/>
          </w:tcPr>
          <w:p w14:paraId="24D6DFF1">
            <w:pPr>
              <w:pStyle w:val="72"/>
              <w:rPr>
                <w:rFonts w:ascii="Times New Roman" w:hAnsi="Times New Roman"/>
              </w:rPr>
            </w:pPr>
            <w:r>
              <w:rPr>
                <w:rFonts w:ascii="Times New Roman" w:hAnsi="Times New Roman"/>
              </w:rPr>
              <w:t>损毁前</w:t>
            </w:r>
          </w:p>
        </w:tc>
        <w:tc>
          <w:tcPr>
            <w:tcW w:w="913" w:type="pct"/>
            <w:vAlign w:val="center"/>
          </w:tcPr>
          <w:p w14:paraId="6259DC44">
            <w:pPr>
              <w:pStyle w:val="72"/>
              <w:rPr>
                <w:rFonts w:ascii="Times New Roman" w:hAnsi="Times New Roman"/>
              </w:rPr>
            </w:pPr>
            <w:r>
              <w:rPr>
                <w:rFonts w:ascii="Times New Roman" w:hAnsi="Times New Roman"/>
              </w:rPr>
              <w:t>复垦修复目标</w:t>
            </w:r>
          </w:p>
        </w:tc>
        <w:tc>
          <w:tcPr>
            <w:tcW w:w="748" w:type="pct"/>
            <w:vMerge w:val="restart"/>
            <w:vAlign w:val="center"/>
          </w:tcPr>
          <w:p w14:paraId="2C6413FE">
            <w:pPr>
              <w:pStyle w:val="72"/>
              <w:rPr>
                <w:rFonts w:ascii="Times New Roman" w:hAnsi="Times New Roman"/>
              </w:rPr>
            </w:pPr>
            <w:r>
              <w:rPr>
                <w:rFonts w:ascii="Times New Roman" w:hAnsi="Times New Roman"/>
              </w:rPr>
              <w:t>面积增减h</w:t>
            </w:r>
            <w:r>
              <w:rPr>
                <w:rFonts w:hint="eastAsia" w:ascii="Times New Roman" w:hAnsi="Times New Roman"/>
              </w:rPr>
              <w:t>m²</w:t>
            </w:r>
          </w:p>
        </w:tc>
      </w:tr>
      <w:tr w14:paraId="7D62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24" w:type="pct"/>
          </w:tcPr>
          <w:p w14:paraId="70234E0A">
            <w:pPr>
              <w:pStyle w:val="72"/>
              <w:rPr>
                <w:rFonts w:ascii="Times New Roman" w:hAnsi="Times New Roman"/>
              </w:rPr>
            </w:pPr>
            <w:r>
              <w:rPr>
                <w:rFonts w:ascii="Times New Roman" w:hAnsi="Times New Roman"/>
              </w:rPr>
              <w:t>编码</w:t>
            </w:r>
          </w:p>
        </w:tc>
        <w:tc>
          <w:tcPr>
            <w:tcW w:w="917" w:type="pct"/>
          </w:tcPr>
          <w:p w14:paraId="1575C401">
            <w:pPr>
              <w:pStyle w:val="72"/>
              <w:rPr>
                <w:rFonts w:ascii="Times New Roman" w:hAnsi="Times New Roman"/>
              </w:rPr>
            </w:pPr>
            <w:r>
              <w:rPr>
                <w:rFonts w:ascii="Times New Roman" w:hAnsi="Times New Roman"/>
              </w:rPr>
              <w:t>名称</w:t>
            </w:r>
          </w:p>
        </w:tc>
        <w:tc>
          <w:tcPr>
            <w:tcW w:w="477" w:type="pct"/>
          </w:tcPr>
          <w:p w14:paraId="61ED2344">
            <w:pPr>
              <w:pStyle w:val="72"/>
              <w:rPr>
                <w:rFonts w:ascii="Times New Roman" w:hAnsi="Times New Roman"/>
              </w:rPr>
            </w:pPr>
            <w:r>
              <w:rPr>
                <w:rFonts w:ascii="Times New Roman" w:hAnsi="Times New Roman"/>
              </w:rPr>
              <w:t>编码</w:t>
            </w:r>
          </w:p>
        </w:tc>
        <w:tc>
          <w:tcPr>
            <w:tcW w:w="827" w:type="pct"/>
          </w:tcPr>
          <w:p w14:paraId="616EDDCA">
            <w:pPr>
              <w:pStyle w:val="72"/>
              <w:rPr>
                <w:rFonts w:ascii="Times New Roman" w:hAnsi="Times New Roman"/>
              </w:rPr>
            </w:pPr>
            <w:r>
              <w:rPr>
                <w:rFonts w:ascii="Times New Roman" w:hAnsi="Times New Roman"/>
              </w:rPr>
              <w:t>名称</w:t>
            </w:r>
          </w:p>
        </w:tc>
        <w:tc>
          <w:tcPr>
            <w:tcW w:w="692" w:type="pct"/>
            <w:vAlign w:val="center"/>
          </w:tcPr>
          <w:p w14:paraId="753F7269">
            <w:pPr>
              <w:pStyle w:val="72"/>
              <w:rPr>
                <w:rFonts w:ascii="Times New Roman" w:hAnsi="Times New Roman"/>
              </w:rPr>
            </w:pPr>
            <w:r>
              <w:rPr>
                <w:rFonts w:ascii="Times New Roman" w:hAnsi="Times New Roman"/>
              </w:rPr>
              <w:t>面积h</w:t>
            </w:r>
            <w:r>
              <w:rPr>
                <w:rFonts w:hint="eastAsia" w:ascii="Times New Roman" w:hAnsi="Times New Roman"/>
              </w:rPr>
              <w:t>m²</w:t>
            </w:r>
          </w:p>
        </w:tc>
        <w:tc>
          <w:tcPr>
            <w:tcW w:w="913" w:type="pct"/>
            <w:vAlign w:val="center"/>
          </w:tcPr>
          <w:p w14:paraId="1E1512CB">
            <w:pPr>
              <w:pStyle w:val="72"/>
              <w:rPr>
                <w:rFonts w:ascii="Times New Roman" w:hAnsi="Times New Roman"/>
              </w:rPr>
            </w:pPr>
            <w:r>
              <w:rPr>
                <w:rFonts w:ascii="Times New Roman" w:hAnsi="Times New Roman"/>
              </w:rPr>
              <w:t>面积h</w:t>
            </w:r>
            <w:r>
              <w:rPr>
                <w:rFonts w:hint="eastAsia" w:ascii="Times New Roman" w:hAnsi="Times New Roman"/>
              </w:rPr>
              <w:t>m²</w:t>
            </w:r>
          </w:p>
        </w:tc>
        <w:tc>
          <w:tcPr>
            <w:tcW w:w="748" w:type="pct"/>
            <w:vMerge w:val="continue"/>
            <w:vAlign w:val="center"/>
          </w:tcPr>
          <w:p w14:paraId="297EB7E9">
            <w:pPr>
              <w:pStyle w:val="72"/>
              <w:rPr>
                <w:rFonts w:ascii="Times New Roman" w:hAnsi="Times New Roman"/>
              </w:rPr>
            </w:pPr>
          </w:p>
        </w:tc>
      </w:tr>
      <w:tr w14:paraId="7601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24" w:type="pct"/>
            <w:vMerge w:val="restart"/>
            <w:vAlign w:val="center"/>
          </w:tcPr>
          <w:p w14:paraId="39A69233">
            <w:pPr>
              <w:pStyle w:val="72"/>
              <w:rPr>
                <w:rFonts w:ascii="Times New Roman" w:hAnsi="Times New Roman"/>
              </w:rPr>
            </w:pPr>
            <w:r>
              <w:rPr>
                <w:rFonts w:ascii="Times New Roman" w:hAnsi="Times New Roman"/>
              </w:rPr>
              <w:t>03</w:t>
            </w:r>
          </w:p>
        </w:tc>
        <w:tc>
          <w:tcPr>
            <w:tcW w:w="917" w:type="pct"/>
            <w:vMerge w:val="restart"/>
            <w:vAlign w:val="center"/>
          </w:tcPr>
          <w:p w14:paraId="46437988">
            <w:pPr>
              <w:pStyle w:val="72"/>
              <w:rPr>
                <w:rFonts w:ascii="Times New Roman" w:hAnsi="Times New Roman"/>
              </w:rPr>
            </w:pPr>
            <w:r>
              <w:rPr>
                <w:rFonts w:ascii="Times New Roman" w:hAnsi="Times New Roman"/>
              </w:rPr>
              <w:t>林地</w:t>
            </w:r>
          </w:p>
        </w:tc>
        <w:tc>
          <w:tcPr>
            <w:tcW w:w="477" w:type="pct"/>
            <w:vAlign w:val="center"/>
          </w:tcPr>
          <w:p w14:paraId="259A296E">
            <w:pPr>
              <w:pStyle w:val="72"/>
              <w:rPr>
                <w:rFonts w:ascii="Times New Roman" w:hAnsi="Times New Roman"/>
              </w:rPr>
            </w:pPr>
            <w:r>
              <w:rPr>
                <w:rFonts w:ascii="Times New Roman" w:hAnsi="Times New Roman"/>
                <w:color w:val="000000"/>
                <w:szCs w:val="21"/>
              </w:rPr>
              <w:t>0301</w:t>
            </w:r>
          </w:p>
        </w:tc>
        <w:tc>
          <w:tcPr>
            <w:tcW w:w="827" w:type="pct"/>
            <w:vAlign w:val="center"/>
          </w:tcPr>
          <w:p w14:paraId="26341E54">
            <w:pPr>
              <w:pStyle w:val="72"/>
              <w:rPr>
                <w:rFonts w:ascii="Times New Roman" w:hAnsi="Times New Roman"/>
              </w:rPr>
            </w:pPr>
            <w:r>
              <w:rPr>
                <w:rFonts w:hint="eastAsia" w:ascii="仿宋" w:hAnsi="仿宋"/>
                <w:color w:val="000000"/>
                <w:szCs w:val="21"/>
              </w:rPr>
              <w:t>乔木林地</w:t>
            </w:r>
          </w:p>
        </w:tc>
        <w:tc>
          <w:tcPr>
            <w:tcW w:w="692" w:type="pct"/>
            <w:vAlign w:val="center"/>
          </w:tcPr>
          <w:p w14:paraId="387C4D4A">
            <w:pPr>
              <w:pStyle w:val="72"/>
              <w:rPr>
                <w:rFonts w:hint="default" w:ascii="Times New Roman" w:hAnsi="Times New Roman" w:eastAsia="仿宋"/>
                <w:lang w:val="en-US" w:eastAsia="zh-CN"/>
              </w:rPr>
            </w:pPr>
            <w:r>
              <w:rPr>
                <w:rFonts w:hint="eastAsia" w:ascii="Times New Roman" w:hAnsi="Times New Roman"/>
                <w:lang w:val="en-US" w:eastAsia="zh-CN"/>
              </w:rPr>
              <w:t>1.3488</w:t>
            </w:r>
          </w:p>
        </w:tc>
        <w:tc>
          <w:tcPr>
            <w:tcW w:w="913" w:type="pct"/>
            <w:vAlign w:val="center"/>
          </w:tcPr>
          <w:p w14:paraId="13ADE262">
            <w:pPr>
              <w:pStyle w:val="72"/>
              <w:rPr>
                <w:rFonts w:hint="eastAsia" w:ascii="Times New Roman" w:hAnsi="Times New Roman" w:eastAsia="仿宋"/>
                <w:lang w:eastAsia="zh-CN"/>
              </w:rPr>
            </w:pPr>
            <w:r>
              <w:rPr>
                <w:rFonts w:hint="eastAsia" w:ascii="Times New Roman" w:hAnsi="Times New Roman"/>
                <w:lang w:val="en-US" w:eastAsia="zh-CN"/>
              </w:rPr>
              <w:t>1.5288</w:t>
            </w:r>
          </w:p>
        </w:tc>
        <w:tc>
          <w:tcPr>
            <w:tcW w:w="748" w:type="pct"/>
            <w:vAlign w:val="center"/>
          </w:tcPr>
          <w:p w14:paraId="10D27C8E">
            <w:pPr>
              <w:pStyle w:val="72"/>
              <w:rPr>
                <w:rFonts w:hint="default" w:ascii="Times New Roman" w:hAnsi="Times New Roman" w:eastAsia="等线"/>
                <w:lang w:val="en-US" w:eastAsia="zh-CN"/>
              </w:rPr>
            </w:pPr>
            <w:r>
              <w:rPr>
                <w:rFonts w:hint="eastAsia" w:ascii="Times New Roman" w:hAnsi="Times New Roman" w:eastAsia="等线"/>
                <w:lang w:val="en-US" w:eastAsia="zh-CN"/>
              </w:rPr>
              <w:t>+0.18</w:t>
            </w:r>
          </w:p>
        </w:tc>
      </w:tr>
      <w:tr w14:paraId="18A9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4" w:type="pct"/>
            <w:vAlign w:val="center"/>
          </w:tcPr>
          <w:p w14:paraId="4987A9FA">
            <w:pPr>
              <w:pStyle w:val="72"/>
              <w:rPr>
                <w:rFonts w:ascii="Times New Roman" w:hAnsi="Times New Roman"/>
              </w:rPr>
            </w:pPr>
            <w:r>
              <w:rPr>
                <w:rFonts w:ascii="Times New Roman" w:hAnsi="Times New Roman"/>
                <w:color w:val="000000"/>
                <w:szCs w:val="21"/>
              </w:rPr>
              <w:t>06</w:t>
            </w:r>
          </w:p>
        </w:tc>
        <w:tc>
          <w:tcPr>
            <w:tcW w:w="917" w:type="pct"/>
            <w:vAlign w:val="center"/>
          </w:tcPr>
          <w:p w14:paraId="7490C577">
            <w:pPr>
              <w:pStyle w:val="72"/>
              <w:rPr>
                <w:rFonts w:ascii="Times New Roman" w:hAnsi="Times New Roman"/>
              </w:rPr>
            </w:pPr>
            <w:r>
              <w:rPr>
                <w:rFonts w:ascii="Times New Roman" w:hAnsi="Times New Roman"/>
                <w:color w:val="000000"/>
                <w:szCs w:val="21"/>
              </w:rPr>
              <w:t>工矿仓储用地</w:t>
            </w:r>
          </w:p>
        </w:tc>
        <w:tc>
          <w:tcPr>
            <w:tcW w:w="477" w:type="pct"/>
            <w:vAlign w:val="center"/>
          </w:tcPr>
          <w:p w14:paraId="54EC6FE0">
            <w:pPr>
              <w:pStyle w:val="72"/>
              <w:rPr>
                <w:rFonts w:ascii="Times New Roman" w:hAnsi="Times New Roman"/>
                <w:color w:val="000000"/>
                <w:szCs w:val="21"/>
              </w:rPr>
            </w:pPr>
            <w:r>
              <w:rPr>
                <w:rFonts w:ascii="Times New Roman" w:hAnsi="Times New Roman"/>
                <w:color w:val="000000"/>
                <w:szCs w:val="21"/>
              </w:rPr>
              <w:t>0602</w:t>
            </w:r>
          </w:p>
        </w:tc>
        <w:tc>
          <w:tcPr>
            <w:tcW w:w="827" w:type="pct"/>
            <w:vAlign w:val="center"/>
          </w:tcPr>
          <w:p w14:paraId="559E9561">
            <w:pPr>
              <w:pStyle w:val="72"/>
              <w:rPr>
                <w:rFonts w:hint="eastAsia" w:ascii="仿宋" w:hAnsi="仿宋"/>
                <w:color w:val="000000"/>
                <w:szCs w:val="21"/>
              </w:rPr>
            </w:pPr>
            <w:r>
              <w:rPr>
                <w:rFonts w:hint="eastAsia" w:ascii="仿宋" w:hAnsi="仿宋"/>
                <w:color w:val="000000"/>
                <w:szCs w:val="21"/>
              </w:rPr>
              <w:t>采矿用地</w:t>
            </w:r>
          </w:p>
        </w:tc>
        <w:tc>
          <w:tcPr>
            <w:tcW w:w="692" w:type="pct"/>
            <w:vAlign w:val="center"/>
          </w:tcPr>
          <w:p w14:paraId="4D4D67DC">
            <w:pPr>
              <w:pStyle w:val="72"/>
              <w:rPr>
                <w:rFonts w:hint="default" w:ascii="Times New Roman" w:hAnsi="Times New Roman" w:eastAsia="仿宋"/>
                <w:color w:val="000000"/>
                <w:sz w:val="22"/>
                <w:szCs w:val="22"/>
                <w:lang w:val="en-US" w:eastAsia="zh-CN"/>
              </w:rPr>
            </w:pPr>
            <w:r>
              <w:rPr>
                <w:rFonts w:hint="eastAsia" w:ascii="Times New Roman" w:hAnsi="Times New Roman"/>
                <w:color w:val="000000"/>
                <w:sz w:val="22"/>
                <w:szCs w:val="22"/>
                <w:lang w:val="en-US" w:eastAsia="zh-CN"/>
              </w:rPr>
              <w:t>0.18</w:t>
            </w:r>
          </w:p>
        </w:tc>
        <w:tc>
          <w:tcPr>
            <w:tcW w:w="913" w:type="pct"/>
            <w:vAlign w:val="center"/>
          </w:tcPr>
          <w:p w14:paraId="4524466C">
            <w:pPr>
              <w:pStyle w:val="72"/>
              <w:rPr>
                <w:rFonts w:hint="eastAsia" w:ascii="Times New Roman" w:hAnsi="Times New Roman" w:eastAsia="仿宋"/>
                <w:lang w:val="en-US" w:eastAsia="zh-CN"/>
              </w:rPr>
            </w:pPr>
            <w:r>
              <w:rPr>
                <w:rFonts w:hint="eastAsia" w:ascii="Times New Roman" w:hAnsi="Times New Roman"/>
                <w:lang w:val="en-US" w:eastAsia="zh-CN"/>
              </w:rPr>
              <w:t>0</w:t>
            </w:r>
          </w:p>
        </w:tc>
        <w:tc>
          <w:tcPr>
            <w:tcW w:w="748" w:type="pct"/>
            <w:vAlign w:val="center"/>
          </w:tcPr>
          <w:p w14:paraId="7761FB5B">
            <w:pPr>
              <w:pStyle w:val="72"/>
              <w:rPr>
                <w:rFonts w:hint="default" w:ascii="Times New Roman" w:hAnsi="Times New Roman" w:eastAsia="等线"/>
                <w:color w:val="000000"/>
                <w:szCs w:val="21"/>
                <w:lang w:val="en-US" w:eastAsia="zh-CN"/>
              </w:rPr>
            </w:pPr>
            <w:r>
              <w:rPr>
                <w:rFonts w:hint="eastAsia" w:ascii="Times New Roman" w:hAnsi="Times New Roman" w:eastAsia="等线"/>
                <w:color w:val="000000"/>
                <w:szCs w:val="21"/>
                <w:lang w:val="en-US" w:eastAsia="zh-CN"/>
              </w:rPr>
              <w:t>-0.18</w:t>
            </w:r>
          </w:p>
        </w:tc>
      </w:tr>
      <w:tr w14:paraId="7DFC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46" w:type="pct"/>
            <w:gridSpan w:val="4"/>
            <w:vAlign w:val="center"/>
          </w:tcPr>
          <w:p w14:paraId="107FA629">
            <w:pPr>
              <w:pStyle w:val="72"/>
              <w:rPr>
                <w:rFonts w:ascii="Times New Roman" w:hAnsi="Times New Roman"/>
              </w:rPr>
            </w:pPr>
            <w:r>
              <w:rPr>
                <w:rFonts w:ascii="Times New Roman" w:hAnsi="Times New Roman"/>
              </w:rPr>
              <w:t>合计</w:t>
            </w:r>
          </w:p>
        </w:tc>
        <w:tc>
          <w:tcPr>
            <w:tcW w:w="692" w:type="pct"/>
          </w:tcPr>
          <w:p w14:paraId="0C163236">
            <w:pPr>
              <w:pStyle w:val="72"/>
              <w:rPr>
                <w:rFonts w:hint="default" w:ascii="Times New Roman" w:hAnsi="Times New Roman" w:eastAsia="仿宋"/>
                <w:lang w:val="en-US" w:eastAsia="zh-CN"/>
              </w:rPr>
            </w:pPr>
            <w:r>
              <w:rPr>
                <w:rFonts w:hint="eastAsia" w:ascii="Times New Roman" w:hAnsi="Times New Roman"/>
                <w:lang w:val="en-US" w:eastAsia="zh-CN"/>
              </w:rPr>
              <w:t>1.5288</w:t>
            </w:r>
          </w:p>
        </w:tc>
        <w:tc>
          <w:tcPr>
            <w:tcW w:w="913" w:type="pct"/>
          </w:tcPr>
          <w:p w14:paraId="4A9107C0">
            <w:pPr>
              <w:pStyle w:val="72"/>
              <w:rPr>
                <w:rFonts w:hint="eastAsia" w:ascii="Times New Roman" w:hAnsi="Times New Roman" w:eastAsia="仿宋"/>
                <w:lang w:eastAsia="zh-CN"/>
              </w:rPr>
            </w:pPr>
            <w:r>
              <w:rPr>
                <w:rFonts w:hint="eastAsia" w:ascii="Times New Roman" w:hAnsi="Times New Roman"/>
                <w:lang w:val="en-US" w:eastAsia="zh-CN"/>
              </w:rPr>
              <w:t>1.5288</w:t>
            </w:r>
          </w:p>
        </w:tc>
        <w:tc>
          <w:tcPr>
            <w:tcW w:w="748" w:type="pct"/>
            <w:vAlign w:val="center"/>
          </w:tcPr>
          <w:p w14:paraId="38E32B30">
            <w:pPr>
              <w:pStyle w:val="72"/>
              <w:rPr>
                <w:rFonts w:hint="eastAsia" w:ascii="Times New Roman" w:hAnsi="Times New Roman" w:eastAsia="仿宋"/>
                <w:lang w:val="en-US" w:eastAsia="zh-CN"/>
              </w:rPr>
            </w:pPr>
            <w:r>
              <w:rPr>
                <w:rFonts w:hint="eastAsia" w:ascii="Times New Roman" w:hAnsi="Times New Roman"/>
                <w:lang w:val="en-US" w:eastAsia="zh-CN"/>
              </w:rPr>
              <w:t>0</w:t>
            </w:r>
          </w:p>
        </w:tc>
      </w:tr>
      <w:bookmarkEnd w:id="158"/>
    </w:tbl>
    <w:p w14:paraId="627EC78E">
      <w:pPr>
        <w:ind w:firstLine="560"/>
      </w:pPr>
      <w:r>
        <w:t>修复标准依据《土地复垦质量控制标准》，结合生态修复区实际情况，针对各生态修复分区修复方向</w:t>
      </w:r>
      <w:r>
        <w:rPr>
          <w:rFonts w:hint="eastAsia"/>
        </w:rPr>
        <w:t>主要</w:t>
      </w:r>
      <w:r>
        <w:t>为乔木林地</w:t>
      </w:r>
      <w:r>
        <w:rPr>
          <w:rFonts w:hint="eastAsia"/>
        </w:rPr>
        <w:t>等</w:t>
      </w:r>
      <w:r>
        <w:t>，制定以下复垦标准：</w:t>
      </w:r>
    </w:p>
    <w:p w14:paraId="34BA8A3F">
      <w:pPr>
        <w:ind w:firstLine="562"/>
        <w:rPr>
          <w:b/>
        </w:rPr>
      </w:pPr>
      <w:r>
        <w:rPr>
          <w:b/>
        </w:rPr>
        <w:t>复垦为林地的工程标准和生态恢复标准：</w:t>
      </w:r>
    </w:p>
    <w:p w14:paraId="73566FCC">
      <w:pPr>
        <w:ind w:firstLine="560"/>
      </w:pPr>
      <w:r>
        <w:t>（1）有效土层厚度≥30cm；</w:t>
      </w:r>
    </w:p>
    <w:p w14:paraId="560BC7F0">
      <w:pPr>
        <w:ind w:firstLine="560"/>
      </w:pPr>
      <w:r>
        <w:t>（2）土壤容重≤1.45g/cm³；</w:t>
      </w:r>
    </w:p>
    <w:p w14:paraId="1D023282">
      <w:pPr>
        <w:ind w:firstLine="560"/>
      </w:pPr>
      <w:r>
        <w:t>（3）土壤质地为砂土至砂质粘土；</w:t>
      </w:r>
    </w:p>
    <w:p w14:paraId="7858636A">
      <w:pPr>
        <w:ind w:firstLine="560"/>
      </w:pPr>
      <w:r>
        <w:t>（4）砾石量≤20%；</w:t>
      </w:r>
    </w:p>
    <w:p w14:paraId="71EAD091">
      <w:pPr>
        <w:ind w:firstLine="560"/>
      </w:pPr>
      <w:r>
        <w:t>（5）土壤pH值范围，一般为5.5～6.5；</w:t>
      </w:r>
    </w:p>
    <w:p w14:paraId="58503CA4">
      <w:pPr>
        <w:ind w:firstLine="560"/>
      </w:pPr>
      <w:r>
        <w:t>（6）有机质≥2%；</w:t>
      </w:r>
    </w:p>
    <w:p w14:paraId="1933440F">
      <w:pPr>
        <w:ind w:firstLine="560"/>
      </w:pPr>
      <w:r>
        <w:t>（7）三年后林木郁闭度达0.3以上，成活率应不低于85%，三年保存率应不低于80%，不应低于损毁前质量标准。</w:t>
      </w:r>
      <w:bookmarkStart w:id="159" w:name="_Toc211790767"/>
    </w:p>
    <w:p w14:paraId="5EC6BD2D">
      <w:pPr>
        <w:pStyle w:val="5"/>
        <w:ind w:firstLine="562"/>
      </w:pPr>
      <w:r>
        <w:t>（三）复垦修复安排</w:t>
      </w:r>
      <w:bookmarkEnd w:id="159"/>
    </w:p>
    <w:p w14:paraId="09545D5D">
      <w:pPr>
        <w:autoSpaceDE w:val="0"/>
        <w:autoSpaceDN w:val="0"/>
        <w:ind w:firstLine="560"/>
        <w:jc w:val="both"/>
        <w:rPr>
          <w:rFonts w:hint="default" w:ascii="Times New Roman" w:hAnsi="Times New Roman" w:cs="Times New Roman"/>
          <w:szCs w:val="28"/>
          <w:highlight w:val="none"/>
        </w:rPr>
      </w:pPr>
      <w:bookmarkStart w:id="160" w:name="_Hlk211264049"/>
      <w:r>
        <w:rPr>
          <w:rFonts w:hint="default" w:ascii="Times New Roman" w:hAnsi="Times New Roman" w:cs="Times New Roman"/>
          <w:szCs w:val="28"/>
          <w:highlight w:val="none"/>
          <w:lang w:eastAsia="zh-CN"/>
        </w:rPr>
        <w:t>二道滑石矿</w:t>
      </w:r>
      <w:r>
        <w:rPr>
          <w:rFonts w:hint="default" w:ascii="Times New Roman" w:hAnsi="Times New Roman" w:cs="Times New Roman"/>
          <w:szCs w:val="28"/>
          <w:highlight w:val="none"/>
        </w:rPr>
        <w:t>矿山剩余服务年限</w:t>
      </w:r>
      <w:r>
        <w:rPr>
          <w:rFonts w:hint="default" w:ascii="Times New Roman" w:hAnsi="Times New Roman" w:cs="Times New Roman"/>
          <w:szCs w:val="28"/>
          <w:highlight w:val="none"/>
          <w:lang w:eastAsia="zh-CN"/>
        </w:rPr>
        <w:t>8年</w:t>
      </w:r>
      <w:r>
        <w:rPr>
          <w:rFonts w:hint="default" w:ascii="Times New Roman" w:hAnsi="Times New Roman" w:cs="Times New Roman"/>
          <w:szCs w:val="28"/>
          <w:highlight w:val="none"/>
        </w:rPr>
        <w:t>，考虑采矿权到期后矿山将继续延续采矿权，故复垦修复安排按照矿山服务年限分为近期、中远期、闭坑生态修复期以及监测管护期。</w:t>
      </w:r>
    </w:p>
    <w:p w14:paraId="048E6F7D">
      <w:pPr>
        <w:autoSpaceDE w:val="0"/>
        <w:autoSpaceDN w:val="0"/>
        <w:ind w:firstLine="560"/>
        <w:jc w:val="both"/>
        <w:rPr>
          <w:rFonts w:hint="default" w:ascii="Times New Roman" w:hAnsi="Times New Roman" w:cs="Times New Roman"/>
          <w:szCs w:val="28"/>
          <w:highlight w:val="none"/>
        </w:rPr>
      </w:pPr>
      <w:r>
        <w:rPr>
          <w:rFonts w:hint="default" w:ascii="Times New Roman" w:hAnsi="Times New Roman" w:cs="Times New Roman"/>
          <w:szCs w:val="28"/>
          <w:highlight w:val="none"/>
        </w:rPr>
        <w:t>1.近期安排</w:t>
      </w:r>
      <w:r>
        <w:rPr>
          <w:rFonts w:hint="default" w:ascii="Times New Roman" w:hAnsi="Times New Roman" w:cs="Times New Roman"/>
          <w:bCs/>
          <w:szCs w:val="28"/>
          <w:highlight w:val="none"/>
        </w:rPr>
        <w:t>（近</w:t>
      </w:r>
      <w:r>
        <w:rPr>
          <w:rFonts w:hint="default" w:ascii="Times New Roman" w:hAnsi="Times New Roman" w:cs="Times New Roman"/>
          <w:bCs/>
          <w:szCs w:val="28"/>
          <w:highlight w:val="none"/>
          <w:lang w:val="en-US" w:eastAsia="zh-CN"/>
        </w:rPr>
        <w:t>3</w:t>
      </w:r>
      <w:r>
        <w:rPr>
          <w:rFonts w:hint="default" w:ascii="Times New Roman" w:hAnsi="Times New Roman" w:cs="Times New Roman"/>
          <w:bCs/>
          <w:szCs w:val="28"/>
          <w:highlight w:val="none"/>
        </w:rPr>
        <w:t>年，2026年1月—2029年</w:t>
      </w:r>
      <w:r>
        <w:rPr>
          <w:rFonts w:hint="default" w:ascii="Times New Roman" w:hAnsi="Times New Roman" w:cs="Times New Roman"/>
          <w:bCs/>
          <w:szCs w:val="28"/>
          <w:highlight w:val="none"/>
          <w:lang w:val="en-US" w:eastAsia="zh-CN"/>
        </w:rPr>
        <w:t>1</w:t>
      </w:r>
      <w:r>
        <w:rPr>
          <w:rFonts w:hint="default" w:ascii="Times New Roman" w:hAnsi="Times New Roman" w:cs="Times New Roman"/>
          <w:bCs/>
          <w:szCs w:val="28"/>
          <w:highlight w:val="none"/>
        </w:rPr>
        <w:t>月）：对采区内区域进行综合治理，并对治理区进行监测和</w:t>
      </w:r>
      <w:r>
        <w:rPr>
          <w:rFonts w:hint="default" w:ascii="Times New Roman" w:hAnsi="Times New Roman" w:cs="Times New Roman"/>
          <w:bCs/>
          <w:szCs w:val="28"/>
          <w:highlight w:val="none"/>
          <w:lang w:val="en-US" w:eastAsia="zh-CN"/>
        </w:rPr>
        <w:t>治理</w:t>
      </w:r>
      <w:r>
        <w:rPr>
          <w:rFonts w:hint="default" w:ascii="Times New Roman" w:hAnsi="Times New Roman" w:cs="Times New Roman"/>
          <w:bCs/>
          <w:szCs w:val="28"/>
          <w:highlight w:val="none"/>
        </w:rPr>
        <w:t>管护。生产期间，</w:t>
      </w:r>
      <w:r>
        <w:rPr>
          <w:rFonts w:hint="default" w:ascii="Times New Roman" w:hAnsi="Times New Roman" w:cs="Times New Roman"/>
          <w:szCs w:val="28"/>
          <w:highlight w:val="none"/>
          <w:lang w:val="en-US" w:eastAsia="zh-CN"/>
        </w:rPr>
        <w:t>进行地质</w:t>
      </w:r>
      <w:r>
        <w:rPr>
          <w:rFonts w:hint="default" w:ascii="Times New Roman" w:hAnsi="Times New Roman" w:cs="Times New Roman"/>
          <w:szCs w:val="28"/>
          <w:highlight w:val="none"/>
        </w:rPr>
        <w:t>灾害进行综合治理，</w:t>
      </w:r>
      <w:r>
        <w:rPr>
          <w:rFonts w:hint="default" w:ascii="Times New Roman" w:hAnsi="Times New Roman" w:cs="Times New Roman"/>
          <w:szCs w:val="28"/>
          <w:highlight w:val="none"/>
          <w:lang w:val="en-US" w:eastAsia="zh-CN"/>
        </w:rPr>
        <w:t>进行表土剥离、表土堆场挡墙工程、表土堆场撒播紫花苜蓿养护和封堵原来三处废弃平硐，</w:t>
      </w:r>
      <w:r>
        <w:rPr>
          <w:rFonts w:hint="default" w:ascii="Times New Roman" w:hAnsi="Times New Roman" w:cs="Times New Roman"/>
          <w:szCs w:val="28"/>
          <w:highlight w:val="none"/>
        </w:rPr>
        <w:t>矿山地质环境监测</w:t>
      </w:r>
      <w:r>
        <w:rPr>
          <w:rFonts w:hint="default" w:ascii="Times New Roman" w:hAnsi="Times New Roman" w:cs="Times New Roman"/>
          <w:szCs w:val="28"/>
          <w:highlight w:val="none"/>
          <w:lang w:val="en-US" w:eastAsia="zh-CN"/>
        </w:rPr>
        <w:t>45</w:t>
      </w:r>
      <w:r>
        <w:rPr>
          <w:rFonts w:hint="default" w:ascii="Times New Roman" w:hAnsi="Times New Roman" w:cs="Times New Roman"/>
          <w:szCs w:val="28"/>
          <w:highlight w:val="none"/>
        </w:rPr>
        <w:t>次，土地资源生态监测</w:t>
      </w:r>
      <w:r>
        <w:rPr>
          <w:rFonts w:hint="default" w:ascii="Times New Roman" w:hAnsi="Times New Roman" w:cs="Times New Roman"/>
          <w:szCs w:val="28"/>
          <w:highlight w:val="none"/>
          <w:lang w:val="en-US" w:eastAsia="zh-CN"/>
        </w:rPr>
        <w:t>6</w:t>
      </w:r>
      <w:r>
        <w:rPr>
          <w:rFonts w:hint="default" w:ascii="Times New Roman" w:hAnsi="Times New Roman" w:cs="Times New Roman"/>
          <w:szCs w:val="28"/>
          <w:highlight w:val="none"/>
        </w:rPr>
        <w:t>次，</w:t>
      </w:r>
      <w:r>
        <w:rPr>
          <w:rFonts w:hint="default" w:ascii="Times New Roman" w:hAnsi="Times New Roman" w:cs="Times New Roman"/>
          <w:szCs w:val="28"/>
          <w:highlight w:val="none"/>
          <w:lang w:eastAsia="zh-CN"/>
        </w:rPr>
        <w:t>矿山</w:t>
      </w:r>
      <w:r>
        <w:rPr>
          <w:rFonts w:hint="default" w:ascii="Times New Roman" w:hAnsi="Times New Roman" w:cs="Times New Roman"/>
          <w:szCs w:val="28"/>
          <w:highlight w:val="none"/>
        </w:rPr>
        <w:t>涌水水质监测</w:t>
      </w:r>
      <w:r>
        <w:rPr>
          <w:rFonts w:hint="default" w:ascii="Times New Roman" w:hAnsi="Times New Roman" w:cs="Times New Roman"/>
          <w:szCs w:val="28"/>
          <w:highlight w:val="none"/>
          <w:lang w:val="en-US" w:eastAsia="zh-CN"/>
        </w:rPr>
        <w:t>6</w:t>
      </w:r>
      <w:r>
        <w:rPr>
          <w:rFonts w:hint="default" w:ascii="Times New Roman" w:hAnsi="Times New Roman" w:cs="Times New Roman"/>
          <w:szCs w:val="28"/>
          <w:highlight w:val="none"/>
        </w:rPr>
        <w:t>次，</w:t>
      </w:r>
      <w:r>
        <w:rPr>
          <w:rFonts w:hint="default" w:ascii="Times New Roman" w:hAnsi="Times New Roman" w:cs="Times New Roman"/>
          <w:szCs w:val="28"/>
          <w:highlight w:val="none"/>
          <w:lang w:eastAsia="zh-CN"/>
        </w:rPr>
        <w:t>矿山</w:t>
      </w:r>
      <w:r>
        <w:rPr>
          <w:rFonts w:hint="default" w:ascii="Times New Roman" w:hAnsi="Times New Roman" w:cs="Times New Roman"/>
          <w:szCs w:val="28"/>
          <w:highlight w:val="none"/>
        </w:rPr>
        <w:t>涌水水量监测</w:t>
      </w:r>
      <w:r>
        <w:rPr>
          <w:rFonts w:hint="default" w:ascii="Times New Roman" w:hAnsi="Times New Roman" w:cs="Times New Roman"/>
          <w:szCs w:val="28"/>
          <w:highlight w:val="none"/>
          <w:lang w:val="en-US" w:eastAsia="zh-CN"/>
        </w:rPr>
        <w:t>36</w:t>
      </w:r>
      <w:r>
        <w:rPr>
          <w:rFonts w:hint="default" w:ascii="Times New Roman" w:hAnsi="Times New Roman" w:cs="Times New Roman"/>
          <w:szCs w:val="28"/>
          <w:highlight w:val="none"/>
        </w:rPr>
        <w:t>次。</w:t>
      </w:r>
    </w:p>
    <w:p w14:paraId="484E3CD1">
      <w:pPr>
        <w:autoSpaceDE w:val="0"/>
        <w:autoSpaceDN w:val="0"/>
        <w:ind w:firstLine="560"/>
        <w:jc w:val="both"/>
        <w:rPr>
          <w:rFonts w:hint="default" w:ascii="Times New Roman" w:hAnsi="Times New Roman" w:cs="Times New Roman"/>
          <w:szCs w:val="28"/>
          <w:highlight w:val="none"/>
        </w:rPr>
      </w:pPr>
      <w:r>
        <w:rPr>
          <w:rFonts w:hint="default" w:ascii="Times New Roman" w:hAnsi="Times New Roman" w:cs="Times New Roman"/>
          <w:szCs w:val="28"/>
          <w:highlight w:val="none"/>
        </w:rPr>
        <w:t>2.中远期（</w:t>
      </w:r>
      <w:r>
        <w:rPr>
          <w:rFonts w:hint="default" w:ascii="Times New Roman" w:hAnsi="Times New Roman" w:cs="Times New Roman"/>
          <w:bCs/>
          <w:szCs w:val="28"/>
          <w:highlight w:val="none"/>
          <w:lang w:val="en-US" w:eastAsia="zh-CN"/>
        </w:rPr>
        <w:t>5</w:t>
      </w:r>
      <w:r>
        <w:rPr>
          <w:rFonts w:hint="default" w:ascii="Times New Roman" w:hAnsi="Times New Roman" w:cs="Times New Roman"/>
          <w:bCs/>
          <w:szCs w:val="28"/>
          <w:highlight w:val="none"/>
        </w:rPr>
        <w:t>年，2029年</w:t>
      </w:r>
      <w:r>
        <w:rPr>
          <w:rFonts w:hint="default" w:ascii="Times New Roman" w:hAnsi="Times New Roman" w:cs="Times New Roman"/>
          <w:bCs/>
          <w:szCs w:val="28"/>
          <w:highlight w:val="none"/>
          <w:lang w:val="en-US" w:eastAsia="zh-CN"/>
        </w:rPr>
        <w:t>1</w:t>
      </w:r>
      <w:r>
        <w:rPr>
          <w:rFonts w:hint="default" w:ascii="Times New Roman" w:hAnsi="Times New Roman" w:cs="Times New Roman"/>
          <w:bCs/>
          <w:szCs w:val="28"/>
          <w:highlight w:val="none"/>
        </w:rPr>
        <w:t>月—20</w:t>
      </w:r>
      <w:r>
        <w:rPr>
          <w:rFonts w:hint="default" w:ascii="Times New Roman" w:hAnsi="Times New Roman" w:cs="Times New Roman"/>
          <w:bCs/>
          <w:szCs w:val="28"/>
          <w:highlight w:val="none"/>
          <w:lang w:val="en-US" w:eastAsia="zh-CN"/>
        </w:rPr>
        <w:t>34</w:t>
      </w:r>
      <w:r>
        <w:rPr>
          <w:rFonts w:hint="default" w:ascii="Times New Roman" w:hAnsi="Times New Roman" w:cs="Times New Roman"/>
          <w:bCs/>
          <w:szCs w:val="28"/>
          <w:highlight w:val="none"/>
        </w:rPr>
        <w:t>年</w:t>
      </w:r>
      <w:r>
        <w:rPr>
          <w:rFonts w:hint="default" w:ascii="Times New Roman" w:hAnsi="Times New Roman" w:cs="Times New Roman"/>
          <w:bCs/>
          <w:szCs w:val="28"/>
          <w:highlight w:val="none"/>
          <w:lang w:val="en-US" w:eastAsia="zh-CN"/>
        </w:rPr>
        <w:t>1</w:t>
      </w:r>
      <w:r>
        <w:rPr>
          <w:rFonts w:hint="default" w:ascii="Times New Roman" w:hAnsi="Times New Roman" w:cs="Times New Roman"/>
          <w:bCs/>
          <w:szCs w:val="28"/>
          <w:highlight w:val="none"/>
        </w:rPr>
        <w:t>月</w:t>
      </w:r>
      <w:r>
        <w:rPr>
          <w:rFonts w:hint="default" w:ascii="Times New Roman" w:hAnsi="Times New Roman" w:cs="Times New Roman"/>
          <w:szCs w:val="28"/>
          <w:highlight w:val="none"/>
        </w:rPr>
        <w:t>）</w:t>
      </w:r>
      <w:r>
        <w:rPr>
          <w:rFonts w:hint="default" w:ascii="Times New Roman" w:hAnsi="Times New Roman" w:cs="Times New Roman"/>
          <w:bCs/>
          <w:szCs w:val="28"/>
          <w:highlight w:val="none"/>
        </w:rPr>
        <w:t>：治理区进行监测和管护，</w:t>
      </w:r>
      <w:r>
        <w:rPr>
          <w:rFonts w:hint="default" w:ascii="Times New Roman" w:hAnsi="Times New Roman" w:cs="Times New Roman"/>
          <w:bCs/>
          <w:szCs w:val="28"/>
          <w:highlight w:val="none"/>
          <w:lang w:val="en-US" w:eastAsia="zh-CN"/>
        </w:rPr>
        <w:t>平硐封堵后</w:t>
      </w:r>
      <w:r>
        <w:rPr>
          <w:rFonts w:hint="default" w:ascii="Times New Roman" w:hAnsi="Times New Roman" w:cs="Times New Roman"/>
          <w:bCs/>
          <w:szCs w:val="28"/>
          <w:highlight w:val="none"/>
        </w:rPr>
        <w:t>管护期3年。生产期间，</w:t>
      </w:r>
      <w:r>
        <w:rPr>
          <w:rFonts w:hint="default" w:ascii="Times New Roman" w:hAnsi="Times New Roman" w:cs="Times New Roman"/>
          <w:szCs w:val="28"/>
          <w:highlight w:val="none"/>
        </w:rPr>
        <w:t>对</w:t>
      </w:r>
      <w:r>
        <w:rPr>
          <w:rFonts w:hint="default" w:ascii="Times New Roman" w:hAnsi="Times New Roman" w:cs="Times New Roman"/>
          <w:szCs w:val="28"/>
          <w:highlight w:val="none"/>
          <w:lang w:eastAsia="zh-CN"/>
        </w:rPr>
        <w:t>地裂缝</w:t>
      </w:r>
      <w:r>
        <w:rPr>
          <w:rFonts w:hint="default" w:ascii="Times New Roman" w:hAnsi="Times New Roman" w:cs="Times New Roman"/>
          <w:szCs w:val="28"/>
          <w:highlight w:val="none"/>
        </w:rPr>
        <w:t>地质灾害进行</w:t>
      </w:r>
      <w:r>
        <w:rPr>
          <w:rFonts w:hint="default" w:ascii="Times New Roman" w:hAnsi="Times New Roman" w:cs="Times New Roman"/>
          <w:szCs w:val="28"/>
          <w:highlight w:val="none"/>
          <w:lang w:val="en-US" w:eastAsia="zh-CN"/>
        </w:rPr>
        <w:t>监测</w:t>
      </w:r>
      <w:r>
        <w:rPr>
          <w:rFonts w:hint="default" w:ascii="Times New Roman" w:hAnsi="Times New Roman" w:cs="Times New Roman"/>
          <w:szCs w:val="28"/>
          <w:highlight w:val="none"/>
        </w:rPr>
        <w:t>，</w:t>
      </w:r>
      <w:r>
        <w:rPr>
          <w:rFonts w:hint="default" w:ascii="Times New Roman" w:hAnsi="Times New Roman" w:cs="Times New Roman"/>
          <w:szCs w:val="28"/>
          <w:highlight w:val="none"/>
          <w:lang w:val="en-US" w:eastAsia="zh-CN"/>
        </w:rPr>
        <w:t>表土堆场撒播紫花苜蓿养护，</w:t>
      </w:r>
      <w:r>
        <w:rPr>
          <w:rFonts w:hint="default" w:ascii="Times New Roman" w:hAnsi="Times New Roman" w:cs="Times New Roman"/>
          <w:szCs w:val="28"/>
          <w:highlight w:val="none"/>
        </w:rPr>
        <w:t>矿山地质环境监测</w:t>
      </w:r>
      <w:r>
        <w:rPr>
          <w:rFonts w:hint="default" w:ascii="Times New Roman" w:hAnsi="Times New Roman" w:cs="Times New Roman"/>
          <w:szCs w:val="28"/>
          <w:highlight w:val="none"/>
          <w:lang w:val="en-US" w:eastAsia="zh-CN"/>
        </w:rPr>
        <w:t>75</w:t>
      </w:r>
      <w:r>
        <w:rPr>
          <w:rFonts w:hint="default" w:ascii="Times New Roman" w:hAnsi="Times New Roman" w:cs="Times New Roman"/>
          <w:szCs w:val="28"/>
          <w:highlight w:val="none"/>
        </w:rPr>
        <w:t>次，土地资源生态监测</w:t>
      </w:r>
      <w:r>
        <w:rPr>
          <w:rFonts w:hint="default" w:ascii="Times New Roman" w:hAnsi="Times New Roman" w:cs="Times New Roman"/>
          <w:szCs w:val="28"/>
          <w:highlight w:val="none"/>
          <w:lang w:val="en-US" w:eastAsia="zh-CN"/>
        </w:rPr>
        <w:t>10</w:t>
      </w:r>
      <w:r>
        <w:rPr>
          <w:rFonts w:hint="default" w:ascii="Times New Roman" w:hAnsi="Times New Roman" w:cs="Times New Roman"/>
          <w:szCs w:val="28"/>
          <w:highlight w:val="none"/>
        </w:rPr>
        <w:t>次，</w:t>
      </w:r>
      <w:r>
        <w:rPr>
          <w:rFonts w:hint="default" w:ascii="Times New Roman" w:hAnsi="Times New Roman" w:cs="Times New Roman"/>
          <w:szCs w:val="28"/>
          <w:highlight w:val="none"/>
          <w:lang w:eastAsia="zh-CN"/>
        </w:rPr>
        <w:t>矿山</w:t>
      </w:r>
      <w:r>
        <w:rPr>
          <w:rFonts w:hint="default" w:ascii="Times New Roman" w:hAnsi="Times New Roman" w:cs="Times New Roman"/>
          <w:szCs w:val="28"/>
          <w:highlight w:val="none"/>
        </w:rPr>
        <w:t>涌水水质监测</w:t>
      </w:r>
      <w:r>
        <w:rPr>
          <w:rFonts w:hint="default" w:ascii="Times New Roman" w:hAnsi="Times New Roman" w:cs="Times New Roman"/>
          <w:szCs w:val="28"/>
          <w:highlight w:val="none"/>
          <w:lang w:val="en-US" w:eastAsia="zh-CN"/>
        </w:rPr>
        <w:t>10</w:t>
      </w:r>
      <w:r>
        <w:rPr>
          <w:rFonts w:hint="default" w:ascii="Times New Roman" w:hAnsi="Times New Roman" w:cs="Times New Roman"/>
          <w:szCs w:val="28"/>
          <w:highlight w:val="none"/>
        </w:rPr>
        <w:t>次，</w:t>
      </w:r>
      <w:r>
        <w:rPr>
          <w:rFonts w:hint="default" w:ascii="Times New Roman" w:hAnsi="Times New Roman" w:cs="Times New Roman"/>
          <w:szCs w:val="28"/>
          <w:highlight w:val="none"/>
          <w:lang w:eastAsia="zh-CN"/>
        </w:rPr>
        <w:t>矿山</w:t>
      </w:r>
      <w:r>
        <w:rPr>
          <w:rFonts w:hint="default" w:ascii="Times New Roman" w:hAnsi="Times New Roman" w:cs="Times New Roman"/>
          <w:szCs w:val="28"/>
          <w:highlight w:val="none"/>
        </w:rPr>
        <w:t>涌水水量监测</w:t>
      </w:r>
      <w:r>
        <w:rPr>
          <w:rFonts w:hint="default" w:ascii="Times New Roman" w:hAnsi="Times New Roman" w:cs="Times New Roman"/>
          <w:szCs w:val="28"/>
          <w:highlight w:val="none"/>
          <w:lang w:val="en-US" w:eastAsia="zh-CN"/>
        </w:rPr>
        <w:t>60</w:t>
      </w:r>
      <w:r>
        <w:rPr>
          <w:rFonts w:hint="default" w:ascii="Times New Roman" w:hAnsi="Times New Roman" w:cs="Times New Roman"/>
          <w:szCs w:val="28"/>
          <w:highlight w:val="none"/>
        </w:rPr>
        <w:t>次。</w:t>
      </w:r>
    </w:p>
    <w:p w14:paraId="1E9429A1">
      <w:pPr>
        <w:ind w:left="560" w:leftChars="200" w:firstLine="0" w:firstLineChars="0"/>
        <w:rPr>
          <w:rFonts w:hint="default" w:ascii="Times New Roman" w:hAnsi="Times New Roman" w:cs="Times New Roman"/>
          <w:szCs w:val="28"/>
          <w:highlight w:val="none"/>
        </w:rPr>
      </w:pPr>
      <w:r>
        <w:rPr>
          <w:rFonts w:hint="default" w:ascii="Times New Roman" w:hAnsi="Times New Roman" w:cs="Times New Roman"/>
          <w:szCs w:val="28"/>
          <w:highlight w:val="none"/>
        </w:rPr>
        <w:t>3.闭坑生态修复期（</w:t>
      </w:r>
      <w:r>
        <w:rPr>
          <w:rFonts w:hint="default" w:ascii="Times New Roman" w:hAnsi="Times New Roman" w:cs="Times New Roman"/>
          <w:szCs w:val="28"/>
          <w:highlight w:val="none"/>
          <w:lang w:val="en-US" w:eastAsia="zh-CN"/>
        </w:rPr>
        <w:t>1年，2034</w:t>
      </w:r>
      <w:r>
        <w:rPr>
          <w:rFonts w:hint="default" w:ascii="Times New Roman" w:hAnsi="Times New Roman" w:cs="Times New Roman"/>
          <w:szCs w:val="28"/>
          <w:highlight w:val="none"/>
        </w:rPr>
        <w:t>年</w:t>
      </w:r>
      <w:r>
        <w:rPr>
          <w:rFonts w:hint="default" w:ascii="Times New Roman" w:hAnsi="Times New Roman" w:cs="Times New Roman"/>
          <w:szCs w:val="28"/>
          <w:highlight w:val="none"/>
          <w:lang w:val="en-US" w:eastAsia="zh-CN"/>
        </w:rPr>
        <w:t>1</w:t>
      </w:r>
      <w:r>
        <w:rPr>
          <w:rFonts w:hint="default" w:ascii="Times New Roman" w:hAnsi="Times New Roman" w:cs="Times New Roman"/>
          <w:szCs w:val="28"/>
          <w:highlight w:val="none"/>
        </w:rPr>
        <w:t>月-20</w:t>
      </w:r>
      <w:r>
        <w:rPr>
          <w:rFonts w:hint="default" w:ascii="Times New Roman" w:hAnsi="Times New Roman" w:cs="Times New Roman"/>
          <w:szCs w:val="28"/>
          <w:highlight w:val="none"/>
          <w:lang w:val="en-US" w:eastAsia="zh-CN"/>
        </w:rPr>
        <w:t>35</w:t>
      </w:r>
      <w:r>
        <w:rPr>
          <w:rFonts w:hint="default" w:ascii="Times New Roman" w:hAnsi="Times New Roman" w:cs="Times New Roman"/>
          <w:szCs w:val="28"/>
          <w:highlight w:val="none"/>
        </w:rPr>
        <w:t>年</w:t>
      </w:r>
      <w:r>
        <w:rPr>
          <w:rFonts w:hint="default" w:ascii="Times New Roman" w:hAnsi="Times New Roman" w:cs="Times New Roman"/>
          <w:szCs w:val="28"/>
          <w:highlight w:val="none"/>
          <w:lang w:val="en-US" w:eastAsia="zh-CN"/>
        </w:rPr>
        <w:t>1</w:t>
      </w:r>
      <w:r>
        <w:rPr>
          <w:rFonts w:hint="default" w:ascii="Times New Roman" w:hAnsi="Times New Roman" w:cs="Times New Roman"/>
          <w:szCs w:val="28"/>
          <w:highlight w:val="none"/>
        </w:rPr>
        <w:t>月）</w:t>
      </w:r>
    </w:p>
    <w:p w14:paraId="47D08E9B">
      <w:pPr>
        <w:ind w:firstLine="560"/>
        <w:rPr>
          <w:rFonts w:hint="default" w:ascii="Times New Roman" w:hAnsi="Times New Roman" w:eastAsia="宋体" w:cs="Times New Roman"/>
          <w:szCs w:val="28"/>
          <w:highlight w:val="none"/>
          <w:lang w:val="en-US" w:eastAsia="zh-CN"/>
        </w:rPr>
      </w:pPr>
      <w:r>
        <w:rPr>
          <w:rFonts w:hint="default" w:ascii="Times New Roman" w:hAnsi="Times New Roman" w:cs="Times New Roman"/>
          <w:szCs w:val="28"/>
          <w:highlight w:val="none"/>
        </w:rPr>
        <w:t>采矿权到期，矿山全区进行整体生态修复工作，涉及拆除建筑物工程、</w:t>
      </w:r>
      <w:r>
        <w:rPr>
          <w:rFonts w:hint="default" w:ascii="Times New Roman" w:hAnsi="Times New Roman" w:cs="Times New Roman"/>
          <w:szCs w:val="28"/>
          <w:highlight w:val="none"/>
          <w:lang w:val="en-US" w:eastAsia="zh-CN"/>
        </w:rPr>
        <w:t>清理硬盖层、建筑垃圾及硬盖层回填、平硐口封堵、场地平整、表土回填、土壤培肥、栽植乔木、</w:t>
      </w:r>
      <w:r>
        <w:rPr>
          <w:rFonts w:hint="default" w:ascii="Times New Roman" w:hAnsi="Times New Roman" w:cs="Times New Roman"/>
          <w:szCs w:val="28"/>
          <w:highlight w:val="none"/>
        </w:rPr>
        <w:t>矿山地质环境监测</w:t>
      </w:r>
      <w:r>
        <w:rPr>
          <w:rFonts w:hint="default" w:ascii="Times New Roman" w:hAnsi="Times New Roman" w:cs="Times New Roman"/>
          <w:szCs w:val="28"/>
          <w:highlight w:val="none"/>
          <w:lang w:val="en-US" w:eastAsia="zh-CN"/>
        </w:rPr>
        <w:t>15</w:t>
      </w:r>
      <w:r>
        <w:rPr>
          <w:rFonts w:hint="default" w:ascii="Times New Roman" w:hAnsi="Times New Roman" w:cs="Times New Roman"/>
          <w:szCs w:val="28"/>
          <w:highlight w:val="none"/>
        </w:rPr>
        <w:t>次，土地资源生态监测</w:t>
      </w:r>
      <w:r>
        <w:rPr>
          <w:rFonts w:hint="default" w:ascii="Times New Roman" w:hAnsi="Times New Roman" w:cs="Times New Roman"/>
          <w:szCs w:val="28"/>
          <w:highlight w:val="none"/>
          <w:lang w:val="en-US" w:eastAsia="zh-CN"/>
        </w:rPr>
        <w:t>2</w:t>
      </w:r>
      <w:r>
        <w:rPr>
          <w:rFonts w:hint="default" w:ascii="Times New Roman" w:hAnsi="Times New Roman" w:cs="Times New Roman"/>
          <w:szCs w:val="28"/>
          <w:highlight w:val="none"/>
        </w:rPr>
        <w:t>次，</w:t>
      </w:r>
      <w:r>
        <w:rPr>
          <w:rFonts w:hint="default" w:ascii="Times New Roman" w:hAnsi="Times New Roman" w:cs="Times New Roman"/>
          <w:szCs w:val="28"/>
          <w:highlight w:val="none"/>
          <w:lang w:eastAsia="zh-CN"/>
        </w:rPr>
        <w:t>矿山</w:t>
      </w:r>
      <w:r>
        <w:rPr>
          <w:rFonts w:hint="default" w:ascii="Times New Roman" w:hAnsi="Times New Roman" w:cs="Times New Roman"/>
          <w:szCs w:val="28"/>
          <w:highlight w:val="none"/>
        </w:rPr>
        <w:t>涌水水质监测</w:t>
      </w:r>
      <w:r>
        <w:rPr>
          <w:rFonts w:hint="default" w:ascii="Times New Roman" w:hAnsi="Times New Roman" w:cs="Times New Roman"/>
          <w:szCs w:val="28"/>
          <w:highlight w:val="none"/>
          <w:lang w:val="en-US" w:eastAsia="zh-CN"/>
        </w:rPr>
        <w:t>2</w:t>
      </w:r>
      <w:r>
        <w:rPr>
          <w:rFonts w:hint="default" w:ascii="Times New Roman" w:hAnsi="Times New Roman" w:cs="Times New Roman"/>
          <w:szCs w:val="28"/>
          <w:highlight w:val="none"/>
        </w:rPr>
        <w:t>次，</w:t>
      </w:r>
      <w:r>
        <w:rPr>
          <w:rFonts w:hint="default" w:ascii="Times New Roman" w:hAnsi="Times New Roman" w:cs="Times New Roman"/>
          <w:szCs w:val="28"/>
          <w:highlight w:val="none"/>
          <w:lang w:eastAsia="zh-CN"/>
        </w:rPr>
        <w:t>矿山</w:t>
      </w:r>
      <w:r>
        <w:rPr>
          <w:rFonts w:hint="default" w:ascii="Times New Roman" w:hAnsi="Times New Roman" w:cs="Times New Roman"/>
          <w:szCs w:val="28"/>
          <w:highlight w:val="none"/>
        </w:rPr>
        <w:t>涌水水量监测</w:t>
      </w:r>
      <w:r>
        <w:rPr>
          <w:rFonts w:hint="default" w:ascii="Times New Roman" w:hAnsi="Times New Roman" w:cs="Times New Roman"/>
          <w:szCs w:val="28"/>
          <w:highlight w:val="none"/>
          <w:lang w:val="en-US" w:eastAsia="zh-CN"/>
        </w:rPr>
        <w:t>12</w:t>
      </w:r>
      <w:r>
        <w:rPr>
          <w:rFonts w:hint="default" w:ascii="Times New Roman" w:hAnsi="Times New Roman" w:cs="Times New Roman"/>
          <w:szCs w:val="28"/>
          <w:highlight w:val="none"/>
        </w:rPr>
        <w:t>次</w:t>
      </w:r>
      <w:r>
        <w:rPr>
          <w:rFonts w:hint="default" w:ascii="Times New Roman" w:hAnsi="Times New Roman" w:cs="Times New Roman"/>
          <w:szCs w:val="28"/>
          <w:highlight w:val="none"/>
          <w:lang w:eastAsia="zh-CN"/>
        </w:rPr>
        <w:t>，</w:t>
      </w:r>
      <w:r>
        <w:rPr>
          <w:rFonts w:hint="default" w:ascii="Times New Roman" w:hAnsi="Times New Roman" w:cs="Times New Roman"/>
          <w:szCs w:val="28"/>
          <w:highlight w:val="none"/>
        </w:rPr>
        <w:t>完成后申请自然资源主管部门验收。</w:t>
      </w:r>
    </w:p>
    <w:p w14:paraId="7D990FF1">
      <w:pPr>
        <w:ind w:left="560" w:leftChars="200" w:firstLine="0" w:firstLineChars="0"/>
        <w:rPr>
          <w:rFonts w:hint="default" w:ascii="Times New Roman" w:hAnsi="Times New Roman" w:cs="Times New Roman"/>
          <w:szCs w:val="28"/>
          <w:highlight w:val="none"/>
        </w:rPr>
      </w:pPr>
      <w:r>
        <w:rPr>
          <w:rFonts w:hint="default" w:ascii="Times New Roman" w:hAnsi="Times New Roman" w:cs="Times New Roman"/>
          <w:szCs w:val="28"/>
          <w:highlight w:val="none"/>
        </w:rPr>
        <w:t>4.管护期（</w:t>
      </w:r>
      <w:r>
        <w:rPr>
          <w:rFonts w:hint="default" w:ascii="Times New Roman" w:hAnsi="Times New Roman" w:cs="Times New Roman"/>
          <w:szCs w:val="28"/>
          <w:highlight w:val="none"/>
          <w:lang w:val="en-US" w:eastAsia="zh-CN"/>
        </w:rPr>
        <w:t>3年，</w:t>
      </w:r>
      <w:r>
        <w:rPr>
          <w:rFonts w:hint="default" w:ascii="Times New Roman" w:hAnsi="Times New Roman" w:cs="Times New Roman"/>
          <w:szCs w:val="28"/>
          <w:highlight w:val="none"/>
        </w:rPr>
        <w:t>20</w:t>
      </w:r>
      <w:r>
        <w:rPr>
          <w:rFonts w:hint="default" w:ascii="Times New Roman" w:hAnsi="Times New Roman" w:cs="Times New Roman"/>
          <w:szCs w:val="28"/>
          <w:highlight w:val="none"/>
          <w:lang w:val="en-US" w:eastAsia="zh-CN"/>
        </w:rPr>
        <w:t>35</w:t>
      </w:r>
      <w:r>
        <w:rPr>
          <w:rFonts w:hint="default" w:ascii="Times New Roman" w:hAnsi="Times New Roman" w:cs="Times New Roman"/>
          <w:szCs w:val="28"/>
          <w:highlight w:val="none"/>
        </w:rPr>
        <w:t>年</w:t>
      </w:r>
      <w:r>
        <w:rPr>
          <w:rFonts w:hint="default" w:ascii="Times New Roman" w:hAnsi="Times New Roman" w:cs="Times New Roman"/>
          <w:szCs w:val="28"/>
          <w:highlight w:val="none"/>
          <w:lang w:val="en-US" w:eastAsia="zh-CN"/>
        </w:rPr>
        <w:t>1</w:t>
      </w:r>
      <w:r>
        <w:rPr>
          <w:rFonts w:hint="default" w:ascii="Times New Roman" w:hAnsi="Times New Roman" w:cs="Times New Roman"/>
          <w:szCs w:val="28"/>
          <w:highlight w:val="none"/>
        </w:rPr>
        <w:t>月-</w:t>
      </w:r>
      <w:r>
        <w:rPr>
          <w:rFonts w:hint="default" w:ascii="Times New Roman" w:hAnsi="Times New Roman" w:cs="Times New Roman"/>
          <w:szCs w:val="28"/>
          <w:highlight w:val="none"/>
          <w:lang w:eastAsia="zh-CN"/>
        </w:rPr>
        <w:t>2038年1月</w:t>
      </w:r>
      <w:r>
        <w:rPr>
          <w:rFonts w:hint="default" w:ascii="Times New Roman" w:hAnsi="Times New Roman" w:cs="Times New Roman"/>
          <w:szCs w:val="28"/>
          <w:highlight w:val="none"/>
        </w:rPr>
        <w:t>）</w:t>
      </w:r>
    </w:p>
    <w:p w14:paraId="74059E2A">
      <w:pPr>
        <w:ind w:firstLine="560"/>
        <w:rPr>
          <w:rFonts w:hint="default" w:ascii="Times New Roman" w:hAnsi="Times New Roman" w:cs="Times New Roman"/>
          <w:szCs w:val="28"/>
        </w:rPr>
      </w:pPr>
      <w:r>
        <w:rPr>
          <w:rFonts w:hint="default" w:ascii="Times New Roman" w:hAnsi="Times New Roman" w:cs="Times New Roman"/>
          <w:bCs/>
          <w:szCs w:val="28"/>
          <w:highlight w:val="none"/>
        </w:rPr>
        <w:t>对复垦林地进行管护，继续对</w:t>
      </w:r>
      <w:r>
        <w:rPr>
          <w:rFonts w:hint="default" w:ascii="Times New Roman" w:hAnsi="Times New Roman" w:cs="Times New Roman"/>
          <w:bCs/>
          <w:szCs w:val="28"/>
          <w:highlight w:val="none"/>
          <w:lang w:eastAsia="zh-CN"/>
        </w:rPr>
        <w:t>地裂缝</w:t>
      </w:r>
      <w:r>
        <w:rPr>
          <w:rFonts w:hint="default" w:ascii="Times New Roman" w:hAnsi="Times New Roman" w:cs="Times New Roman"/>
          <w:bCs/>
          <w:szCs w:val="28"/>
          <w:highlight w:val="none"/>
        </w:rPr>
        <w:t>进行</w:t>
      </w:r>
      <w:r>
        <w:rPr>
          <w:rFonts w:hint="default" w:ascii="Times New Roman" w:hAnsi="Times New Roman" w:cs="Times New Roman"/>
          <w:szCs w:val="28"/>
          <w:highlight w:val="none"/>
        </w:rPr>
        <w:t>矿山</w:t>
      </w:r>
      <w:r>
        <w:rPr>
          <w:rFonts w:hint="default" w:ascii="Times New Roman" w:hAnsi="Times New Roman" w:cs="Times New Roman"/>
          <w:szCs w:val="28"/>
        </w:rPr>
        <w:t>地质环境监测</w:t>
      </w:r>
      <w:r>
        <w:rPr>
          <w:rFonts w:hint="default" w:ascii="Times New Roman" w:hAnsi="Times New Roman" w:cs="Times New Roman"/>
          <w:szCs w:val="28"/>
          <w:lang w:val="en-US" w:eastAsia="zh-CN"/>
        </w:rPr>
        <w:t>45</w:t>
      </w:r>
      <w:r>
        <w:rPr>
          <w:rFonts w:hint="default" w:ascii="Times New Roman" w:hAnsi="Times New Roman" w:cs="Times New Roman"/>
          <w:szCs w:val="28"/>
        </w:rPr>
        <w:t>次，对矿区进行土地资源生态监测</w:t>
      </w:r>
      <w:r>
        <w:rPr>
          <w:rFonts w:hint="default" w:ascii="Times New Roman" w:hAnsi="Times New Roman" w:cs="Times New Roman"/>
          <w:szCs w:val="28"/>
          <w:lang w:val="en-US" w:eastAsia="zh-CN"/>
        </w:rPr>
        <w:t>6</w:t>
      </w:r>
      <w:r>
        <w:rPr>
          <w:rFonts w:hint="default" w:ascii="Times New Roman" w:hAnsi="Times New Roman" w:cs="Times New Roman"/>
          <w:szCs w:val="28"/>
        </w:rPr>
        <w:t>次。</w:t>
      </w:r>
    </w:p>
    <w:p w14:paraId="2529C799">
      <w:pPr>
        <w:pStyle w:val="57"/>
        <w:rPr>
          <w:rFonts w:ascii="Times New Roman" w:hAnsi="Times New Roman"/>
        </w:rPr>
      </w:pPr>
      <w:r>
        <w:rPr>
          <w:rFonts w:ascii="Times New Roman" w:hAnsi="Times New Roman"/>
        </w:rPr>
        <w:t>表3-</w:t>
      </w:r>
      <w:r>
        <w:rPr>
          <w:rFonts w:hint="eastAsia" w:ascii="Times New Roman" w:hAnsi="Times New Roman"/>
          <w:lang w:val="en-US" w:eastAsia="zh-CN"/>
        </w:rPr>
        <w:t>28</w:t>
      </w:r>
      <w:r>
        <w:rPr>
          <w:rFonts w:ascii="Times New Roman" w:hAnsi="Times New Roman"/>
        </w:rPr>
        <w:t>矿区用地与复垦修复计划</w:t>
      </w:r>
      <w:bookmarkEnd w:id="160"/>
      <w:r>
        <w:rPr>
          <w:rFonts w:ascii="Times New Roman" w:hAnsi="Times New Roman"/>
        </w:rPr>
        <w:t>表单位：h</w:t>
      </w:r>
      <w:r>
        <w:rPr>
          <w:rFonts w:hint="eastAsia" w:ascii="Times New Roman" w:hAnsi="Times New Roman"/>
        </w:rPr>
        <w:t>m²</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062"/>
        <w:gridCol w:w="1686"/>
        <w:gridCol w:w="980"/>
        <w:gridCol w:w="882"/>
        <w:gridCol w:w="1169"/>
        <w:gridCol w:w="1099"/>
        <w:gridCol w:w="946"/>
        <w:gridCol w:w="1133"/>
      </w:tblGrid>
      <w:tr w14:paraId="2E39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339" w:type="pct"/>
            <w:gridSpan w:val="6"/>
            <w:vAlign w:val="center"/>
          </w:tcPr>
          <w:p w14:paraId="4EDAFBDE">
            <w:pPr>
              <w:pStyle w:val="72"/>
              <w:rPr>
                <w:rFonts w:ascii="Times New Roman" w:hAnsi="Times New Roman"/>
                <w:lang w:bidi="ar"/>
              </w:rPr>
            </w:pPr>
            <w:r>
              <w:rPr>
                <w:rFonts w:ascii="Times New Roman" w:hAnsi="Times New Roman"/>
                <w:lang w:bidi="ar"/>
              </w:rPr>
              <w:t>用地信息</w:t>
            </w:r>
          </w:p>
        </w:tc>
        <w:tc>
          <w:tcPr>
            <w:tcW w:w="1660" w:type="pct"/>
            <w:gridSpan w:val="3"/>
            <w:vAlign w:val="center"/>
          </w:tcPr>
          <w:p w14:paraId="41FD51D5">
            <w:pPr>
              <w:pStyle w:val="72"/>
              <w:rPr>
                <w:rFonts w:ascii="Times New Roman" w:hAnsi="Times New Roman"/>
              </w:rPr>
            </w:pPr>
            <w:r>
              <w:rPr>
                <w:rFonts w:ascii="Times New Roman" w:hAnsi="Times New Roman"/>
              </w:rPr>
              <w:t>复垦修复计划</w:t>
            </w:r>
          </w:p>
        </w:tc>
      </w:tr>
      <w:tr w14:paraId="3531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320" w:type="pct"/>
            <w:vAlign w:val="center"/>
          </w:tcPr>
          <w:p w14:paraId="6522AAAD">
            <w:pPr>
              <w:pStyle w:val="72"/>
              <w:rPr>
                <w:rFonts w:ascii="Times New Roman" w:hAnsi="Times New Roman"/>
              </w:rPr>
            </w:pPr>
            <w:r>
              <w:rPr>
                <w:rFonts w:ascii="Times New Roman" w:hAnsi="Times New Roman"/>
              </w:rPr>
              <w:t>序号</w:t>
            </w:r>
          </w:p>
        </w:tc>
        <w:tc>
          <w:tcPr>
            <w:tcW w:w="554" w:type="pct"/>
            <w:vAlign w:val="center"/>
          </w:tcPr>
          <w:p w14:paraId="7DFA92CC">
            <w:pPr>
              <w:pStyle w:val="72"/>
              <w:rPr>
                <w:rFonts w:ascii="Times New Roman" w:hAnsi="Times New Roman"/>
              </w:rPr>
            </w:pPr>
            <w:r>
              <w:rPr>
                <w:rFonts w:ascii="Times New Roman" w:hAnsi="Times New Roman"/>
              </w:rPr>
              <w:t>原地类</w:t>
            </w:r>
          </w:p>
        </w:tc>
        <w:tc>
          <w:tcPr>
            <w:tcW w:w="880" w:type="pct"/>
            <w:vAlign w:val="center"/>
          </w:tcPr>
          <w:p w14:paraId="10DEA827">
            <w:pPr>
              <w:pStyle w:val="72"/>
              <w:rPr>
                <w:rFonts w:ascii="Times New Roman" w:hAnsi="Times New Roman"/>
              </w:rPr>
            </w:pPr>
            <w:r>
              <w:rPr>
                <w:rFonts w:ascii="Times New Roman" w:hAnsi="Times New Roman"/>
              </w:rPr>
              <w:t>位置</w:t>
            </w:r>
          </w:p>
        </w:tc>
        <w:tc>
          <w:tcPr>
            <w:tcW w:w="512" w:type="pct"/>
            <w:vAlign w:val="center"/>
          </w:tcPr>
          <w:p w14:paraId="591D44F6">
            <w:pPr>
              <w:pStyle w:val="72"/>
              <w:rPr>
                <w:rFonts w:ascii="Times New Roman" w:hAnsi="Times New Roman"/>
              </w:rPr>
            </w:pPr>
            <w:r>
              <w:rPr>
                <w:rFonts w:ascii="Times New Roman" w:hAnsi="Times New Roman"/>
              </w:rPr>
              <w:t>面积</w:t>
            </w:r>
          </w:p>
          <w:p w14:paraId="48E5A660">
            <w:pPr>
              <w:pStyle w:val="72"/>
              <w:rPr>
                <w:rFonts w:ascii="Times New Roman" w:hAnsi="Times New Roman"/>
              </w:rPr>
            </w:pPr>
            <w:r>
              <w:rPr>
                <w:rFonts w:hint="eastAsia" w:ascii="Times New Roman" w:hAnsi="Times New Roman"/>
              </w:rPr>
              <w:t>（hm</w:t>
            </w:r>
            <w:r>
              <w:rPr>
                <w:rFonts w:hint="eastAsia" w:ascii="Times New Roman" w:hAnsi="Times New Roman"/>
                <w:vertAlign w:val="superscript"/>
              </w:rPr>
              <w:t>2</w:t>
            </w:r>
            <w:r>
              <w:rPr>
                <w:rFonts w:hint="eastAsia" w:ascii="Times New Roman" w:hAnsi="Times New Roman"/>
              </w:rPr>
              <w:t>）</w:t>
            </w:r>
          </w:p>
        </w:tc>
        <w:tc>
          <w:tcPr>
            <w:tcW w:w="460" w:type="pct"/>
            <w:vAlign w:val="center"/>
          </w:tcPr>
          <w:p w14:paraId="2D2C9249">
            <w:pPr>
              <w:pStyle w:val="72"/>
              <w:rPr>
                <w:rFonts w:ascii="Times New Roman" w:hAnsi="Times New Roman"/>
              </w:rPr>
            </w:pPr>
            <w:r>
              <w:rPr>
                <w:rFonts w:ascii="Times New Roman" w:hAnsi="Times New Roman"/>
              </w:rPr>
              <w:t>是否为临时用地</w:t>
            </w:r>
          </w:p>
        </w:tc>
        <w:tc>
          <w:tcPr>
            <w:tcW w:w="610" w:type="pct"/>
            <w:vAlign w:val="center"/>
          </w:tcPr>
          <w:p w14:paraId="21F4B318">
            <w:pPr>
              <w:pStyle w:val="72"/>
              <w:rPr>
                <w:rFonts w:ascii="Times New Roman" w:hAnsi="Times New Roman"/>
              </w:rPr>
            </w:pPr>
            <w:r>
              <w:rPr>
                <w:rFonts w:ascii="Times New Roman" w:hAnsi="Times New Roman"/>
              </w:rPr>
              <w:t>使用期限</w:t>
            </w:r>
          </w:p>
        </w:tc>
        <w:tc>
          <w:tcPr>
            <w:tcW w:w="574" w:type="pct"/>
            <w:vAlign w:val="center"/>
          </w:tcPr>
          <w:p w14:paraId="43875884">
            <w:pPr>
              <w:pStyle w:val="72"/>
              <w:rPr>
                <w:rFonts w:ascii="Times New Roman" w:hAnsi="Times New Roman"/>
              </w:rPr>
            </w:pPr>
            <w:r>
              <w:rPr>
                <w:rFonts w:ascii="Times New Roman" w:hAnsi="Times New Roman"/>
              </w:rPr>
              <w:t>目标地类</w:t>
            </w:r>
          </w:p>
        </w:tc>
        <w:tc>
          <w:tcPr>
            <w:tcW w:w="494" w:type="pct"/>
            <w:vAlign w:val="center"/>
          </w:tcPr>
          <w:p w14:paraId="1C486398">
            <w:pPr>
              <w:pStyle w:val="72"/>
              <w:rPr>
                <w:rFonts w:ascii="Times New Roman" w:hAnsi="Times New Roman"/>
              </w:rPr>
            </w:pPr>
            <w:r>
              <w:rPr>
                <w:rFonts w:ascii="Times New Roman" w:hAnsi="Times New Roman"/>
              </w:rPr>
              <w:t>面积</w:t>
            </w:r>
          </w:p>
          <w:p w14:paraId="3A5B8DA8">
            <w:pPr>
              <w:pStyle w:val="72"/>
              <w:rPr>
                <w:rFonts w:ascii="Times New Roman" w:hAnsi="Times New Roman"/>
              </w:rPr>
            </w:pPr>
            <w:r>
              <w:rPr>
                <w:rFonts w:hint="eastAsia" w:ascii="Times New Roman" w:hAnsi="Times New Roman"/>
              </w:rPr>
              <w:t>（hm</w:t>
            </w:r>
            <w:r>
              <w:rPr>
                <w:rFonts w:hint="eastAsia" w:ascii="Times New Roman" w:hAnsi="Times New Roman"/>
                <w:vertAlign w:val="superscript"/>
              </w:rPr>
              <w:t>2</w:t>
            </w:r>
            <w:r>
              <w:rPr>
                <w:rFonts w:hint="eastAsia" w:ascii="Times New Roman" w:hAnsi="Times New Roman"/>
              </w:rPr>
              <w:t>）</w:t>
            </w:r>
          </w:p>
        </w:tc>
        <w:tc>
          <w:tcPr>
            <w:tcW w:w="591" w:type="pct"/>
            <w:vAlign w:val="center"/>
          </w:tcPr>
          <w:p w14:paraId="6556275E">
            <w:pPr>
              <w:pStyle w:val="72"/>
              <w:rPr>
                <w:rFonts w:ascii="Times New Roman" w:hAnsi="Times New Roman"/>
              </w:rPr>
            </w:pPr>
            <w:r>
              <w:rPr>
                <w:rFonts w:ascii="Times New Roman" w:hAnsi="Times New Roman"/>
              </w:rPr>
              <w:t>复垦修复期限</w:t>
            </w:r>
          </w:p>
        </w:tc>
      </w:tr>
      <w:tr w14:paraId="1421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20" w:type="pct"/>
            <w:vAlign w:val="center"/>
          </w:tcPr>
          <w:p w14:paraId="3A2413B8">
            <w:pPr>
              <w:pStyle w:val="72"/>
              <w:rPr>
                <w:rFonts w:ascii="Times New Roman" w:hAnsi="Times New Roman"/>
              </w:rPr>
            </w:pPr>
            <w:r>
              <w:rPr>
                <w:rFonts w:ascii="Times New Roman" w:hAnsi="Times New Roman"/>
              </w:rPr>
              <w:t>1</w:t>
            </w:r>
          </w:p>
        </w:tc>
        <w:tc>
          <w:tcPr>
            <w:tcW w:w="554" w:type="pct"/>
            <w:vAlign w:val="center"/>
          </w:tcPr>
          <w:p w14:paraId="151540A7">
            <w:pPr>
              <w:pStyle w:val="72"/>
              <w:rPr>
                <w:rFonts w:ascii="Times New Roman" w:hAnsi="Times New Roman"/>
              </w:rPr>
            </w:pPr>
            <w:r>
              <w:rPr>
                <w:rFonts w:hint="eastAsia"/>
              </w:rPr>
              <w:t>乔木林地</w:t>
            </w:r>
          </w:p>
        </w:tc>
        <w:tc>
          <w:tcPr>
            <w:tcW w:w="880" w:type="pct"/>
            <w:vAlign w:val="center"/>
          </w:tcPr>
          <w:p w14:paraId="6B5E1318">
            <w:pPr>
              <w:pStyle w:val="72"/>
              <w:rPr>
                <w:rFonts w:hint="default" w:ascii="Times New Roman" w:hAnsi="Times New Roman" w:eastAsia="仿宋"/>
                <w:lang w:val="en-US" w:eastAsia="zh-CN"/>
              </w:rPr>
            </w:pPr>
            <w:r>
              <w:rPr>
                <w:rFonts w:hint="eastAsia" w:ascii="Times New Roman" w:hAnsi="Times New Roman"/>
              </w:rPr>
              <w:t>工业广场</w:t>
            </w:r>
            <w:r>
              <w:rPr>
                <w:rFonts w:hint="eastAsia" w:ascii="Times New Roman" w:hAnsi="Times New Roman"/>
                <w:lang w:eastAsia="zh-CN"/>
              </w:rPr>
              <w:t>、</w:t>
            </w:r>
            <w:r>
              <w:rPr>
                <w:rFonts w:hint="eastAsia" w:ascii="Times New Roman" w:hAnsi="Times New Roman"/>
                <w:lang w:val="en-US" w:eastAsia="zh-CN"/>
              </w:rPr>
              <w:t>490m平硐广场、520m平硐广场、548m平硐广场</w:t>
            </w:r>
          </w:p>
        </w:tc>
        <w:tc>
          <w:tcPr>
            <w:tcW w:w="512" w:type="pct"/>
            <w:vAlign w:val="center"/>
          </w:tcPr>
          <w:p w14:paraId="130F640D">
            <w:pPr>
              <w:pStyle w:val="72"/>
              <w:rPr>
                <w:rFonts w:hint="default" w:ascii="Times New Roman" w:hAnsi="Times New Roman" w:eastAsia="仿宋"/>
                <w:lang w:val="en-US" w:eastAsia="zh-CN"/>
              </w:rPr>
            </w:pPr>
            <w:r>
              <w:rPr>
                <w:rFonts w:hint="eastAsia" w:ascii="Times New Roman" w:hAnsi="Times New Roman"/>
                <w:lang w:val="en-US" w:eastAsia="zh-CN"/>
              </w:rPr>
              <w:t>1.3488</w:t>
            </w:r>
          </w:p>
        </w:tc>
        <w:tc>
          <w:tcPr>
            <w:tcW w:w="460" w:type="pct"/>
            <w:vAlign w:val="center"/>
          </w:tcPr>
          <w:p w14:paraId="507E0297">
            <w:pPr>
              <w:pStyle w:val="72"/>
              <w:rPr>
                <w:rFonts w:ascii="Times New Roman" w:hAnsi="Times New Roman"/>
              </w:rPr>
            </w:pPr>
            <w:r>
              <w:rPr>
                <w:rFonts w:ascii="Times New Roman" w:hAnsi="Times New Roman"/>
              </w:rPr>
              <w:t>是</w:t>
            </w:r>
          </w:p>
        </w:tc>
        <w:tc>
          <w:tcPr>
            <w:tcW w:w="610" w:type="pct"/>
            <w:vAlign w:val="center"/>
          </w:tcPr>
          <w:p w14:paraId="0D3639B8">
            <w:pPr>
              <w:pStyle w:val="72"/>
              <w:rPr>
                <w:rFonts w:ascii="Times New Roman" w:hAnsi="Times New Roman"/>
              </w:rPr>
            </w:pPr>
            <w:r>
              <w:rPr>
                <w:rFonts w:hint="eastAsia" w:ascii="Times New Roman" w:hAnsi="Times New Roman"/>
              </w:rPr>
              <w:t>20</w:t>
            </w:r>
            <w:r>
              <w:rPr>
                <w:rFonts w:hint="eastAsia" w:ascii="Times New Roman" w:hAnsi="Times New Roman"/>
                <w:lang w:val="en-US" w:eastAsia="zh-CN"/>
              </w:rPr>
              <w:t>35</w:t>
            </w:r>
            <w:r>
              <w:rPr>
                <w:rFonts w:hint="eastAsia" w:ascii="Times New Roman" w:hAnsi="Times New Roman"/>
              </w:rPr>
              <w:t>年</w:t>
            </w:r>
            <w:r>
              <w:rPr>
                <w:rFonts w:hint="eastAsia" w:ascii="Times New Roman" w:hAnsi="Times New Roman"/>
                <w:lang w:val="en-US" w:eastAsia="zh-CN"/>
              </w:rPr>
              <w:t>1</w:t>
            </w:r>
            <w:r>
              <w:rPr>
                <w:rFonts w:hint="eastAsia" w:ascii="Times New Roman" w:hAnsi="Times New Roman"/>
              </w:rPr>
              <w:t>月</w:t>
            </w:r>
          </w:p>
        </w:tc>
        <w:tc>
          <w:tcPr>
            <w:tcW w:w="574" w:type="pct"/>
            <w:vAlign w:val="center"/>
          </w:tcPr>
          <w:p w14:paraId="7450F9AB">
            <w:pPr>
              <w:pStyle w:val="72"/>
              <w:rPr>
                <w:rFonts w:ascii="Times New Roman" w:hAnsi="Times New Roman"/>
              </w:rPr>
            </w:pPr>
            <w:r>
              <w:rPr>
                <w:rFonts w:hint="eastAsia" w:ascii="Times New Roman" w:hAnsi="Times New Roman"/>
              </w:rPr>
              <w:t>乔木林地</w:t>
            </w:r>
          </w:p>
        </w:tc>
        <w:tc>
          <w:tcPr>
            <w:tcW w:w="946" w:type="dxa"/>
            <w:vAlign w:val="center"/>
          </w:tcPr>
          <w:p w14:paraId="61870D4E">
            <w:pPr>
              <w:pStyle w:val="72"/>
              <w:ind w:firstLine="0" w:firstLineChars="0"/>
              <w:rPr>
                <w:rFonts w:hint="eastAsia" w:ascii="Times New Roman" w:hAnsi="Times New Roman" w:eastAsia="仿宋"/>
                <w:lang w:eastAsia="zh-CN"/>
              </w:rPr>
            </w:pPr>
            <w:r>
              <w:rPr>
                <w:rFonts w:hint="eastAsia" w:ascii="Times New Roman" w:hAnsi="Times New Roman"/>
                <w:lang w:val="en-US" w:eastAsia="zh-CN"/>
              </w:rPr>
              <w:t>1.3488</w:t>
            </w:r>
          </w:p>
        </w:tc>
        <w:tc>
          <w:tcPr>
            <w:tcW w:w="1133" w:type="dxa"/>
            <w:vAlign w:val="center"/>
          </w:tcPr>
          <w:p w14:paraId="151650AA">
            <w:pPr>
              <w:pStyle w:val="72"/>
              <w:ind w:firstLine="0" w:firstLineChars="0"/>
              <w:rPr>
                <w:rFonts w:ascii="Times New Roman" w:hAnsi="Times New Roman"/>
              </w:rPr>
            </w:pPr>
            <w:r>
              <w:rPr>
                <w:rFonts w:hint="eastAsia" w:ascii="Times New Roman" w:hAnsi="Times New Roman"/>
              </w:rPr>
              <w:t>20</w:t>
            </w:r>
            <w:r>
              <w:rPr>
                <w:rFonts w:hint="eastAsia" w:ascii="Times New Roman" w:hAnsi="Times New Roman"/>
                <w:lang w:val="en-US" w:eastAsia="zh-CN"/>
              </w:rPr>
              <w:t>35</w:t>
            </w:r>
            <w:r>
              <w:rPr>
                <w:rFonts w:hint="eastAsia" w:ascii="Times New Roman" w:hAnsi="Times New Roman"/>
              </w:rPr>
              <w:t>年</w:t>
            </w:r>
            <w:r>
              <w:rPr>
                <w:rFonts w:hint="eastAsia" w:ascii="Times New Roman" w:hAnsi="Times New Roman"/>
                <w:lang w:val="en-US" w:eastAsia="zh-CN"/>
              </w:rPr>
              <w:t>1</w:t>
            </w:r>
            <w:r>
              <w:rPr>
                <w:rFonts w:hint="eastAsia" w:ascii="Times New Roman" w:hAnsi="Times New Roman"/>
              </w:rPr>
              <w:t>月</w:t>
            </w:r>
          </w:p>
        </w:tc>
      </w:tr>
      <w:tr w14:paraId="1AD5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20" w:type="pct"/>
            <w:vAlign w:val="center"/>
          </w:tcPr>
          <w:p w14:paraId="5CFCF886">
            <w:pPr>
              <w:pStyle w:val="72"/>
              <w:rPr>
                <w:rFonts w:ascii="Times New Roman" w:hAnsi="Times New Roman"/>
              </w:rPr>
            </w:pPr>
            <w:r>
              <w:rPr>
                <w:rFonts w:ascii="Times New Roman" w:hAnsi="Times New Roman"/>
              </w:rPr>
              <w:t>2</w:t>
            </w:r>
          </w:p>
        </w:tc>
        <w:tc>
          <w:tcPr>
            <w:tcW w:w="554" w:type="pct"/>
            <w:vAlign w:val="center"/>
          </w:tcPr>
          <w:p w14:paraId="6FD717F9">
            <w:pPr>
              <w:pStyle w:val="72"/>
              <w:rPr>
                <w:rFonts w:ascii="Times New Roman" w:hAnsi="Times New Roman"/>
              </w:rPr>
            </w:pPr>
            <w:r>
              <w:rPr>
                <w:rFonts w:hint="eastAsia"/>
              </w:rPr>
              <w:t>采矿用地</w:t>
            </w:r>
          </w:p>
        </w:tc>
        <w:tc>
          <w:tcPr>
            <w:tcW w:w="880" w:type="pct"/>
            <w:vAlign w:val="center"/>
          </w:tcPr>
          <w:p w14:paraId="29BFAFDB">
            <w:pPr>
              <w:pStyle w:val="72"/>
              <w:rPr>
                <w:rFonts w:ascii="Times New Roman" w:hAnsi="Times New Roman"/>
              </w:rPr>
            </w:pPr>
            <w:r>
              <w:rPr>
                <w:rFonts w:hint="eastAsia" w:ascii="Times New Roman" w:hAnsi="Times New Roman"/>
                <w:lang w:val="en-US" w:eastAsia="zh-CN"/>
              </w:rPr>
              <w:t>520m平硐广场</w:t>
            </w:r>
          </w:p>
        </w:tc>
        <w:tc>
          <w:tcPr>
            <w:tcW w:w="512" w:type="pct"/>
            <w:vAlign w:val="center"/>
          </w:tcPr>
          <w:p w14:paraId="39CA3CE6">
            <w:pPr>
              <w:pStyle w:val="72"/>
              <w:rPr>
                <w:rFonts w:hint="default" w:ascii="Times New Roman" w:hAnsi="Times New Roman" w:eastAsia="仿宋"/>
                <w:lang w:val="en-US" w:eastAsia="zh-CN"/>
              </w:rPr>
            </w:pPr>
            <w:r>
              <w:rPr>
                <w:rFonts w:hint="eastAsia" w:ascii="Times New Roman" w:hAnsi="Times New Roman"/>
                <w:lang w:val="en-US" w:eastAsia="zh-CN"/>
              </w:rPr>
              <w:t>0.18</w:t>
            </w:r>
          </w:p>
        </w:tc>
        <w:tc>
          <w:tcPr>
            <w:tcW w:w="460" w:type="pct"/>
            <w:vAlign w:val="center"/>
          </w:tcPr>
          <w:p w14:paraId="1E8F2351">
            <w:pPr>
              <w:pStyle w:val="72"/>
              <w:rPr>
                <w:rFonts w:ascii="Times New Roman" w:hAnsi="Times New Roman"/>
              </w:rPr>
            </w:pPr>
            <w:r>
              <w:rPr>
                <w:rFonts w:ascii="Times New Roman" w:hAnsi="Times New Roman"/>
              </w:rPr>
              <w:t>是</w:t>
            </w:r>
          </w:p>
        </w:tc>
        <w:tc>
          <w:tcPr>
            <w:tcW w:w="610" w:type="pct"/>
          </w:tcPr>
          <w:p w14:paraId="6BFBDF89">
            <w:pPr>
              <w:pStyle w:val="72"/>
              <w:rPr>
                <w:rFonts w:ascii="Times New Roman" w:hAnsi="Times New Roman"/>
              </w:rPr>
            </w:pPr>
            <w:r>
              <w:rPr>
                <w:rFonts w:hint="eastAsia" w:ascii="Times New Roman" w:hAnsi="Times New Roman"/>
              </w:rPr>
              <w:t>20</w:t>
            </w:r>
            <w:r>
              <w:rPr>
                <w:rFonts w:hint="eastAsia" w:ascii="Times New Roman" w:hAnsi="Times New Roman"/>
                <w:lang w:val="en-US" w:eastAsia="zh-CN"/>
              </w:rPr>
              <w:t>35</w:t>
            </w:r>
            <w:r>
              <w:rPr>
                <w:rFonts w:hint="eastAsia" w:ascii="Times New Roman" w:hAnsi="Times New Roman"/>
              </w:rPr>
              <w:t>年</w:t>
            </w:r>
            <w:r>
              <w:rPr>
                <w:rFonts w:hint="eastAsia" w:ascii="Times New Roman" w:hAnsi="Times New Roman"/>
                <w:lang w:val="en-US" w:eastAsia="zh-CN"/>
              </w:rPr>
              <w:t>1</w:t>
            </w:r>
            <w:r>
              <w:rPr>
                <w:rFonts w:hint="eastAsia" w:ascii="Times New Roman" w:hAnsi="Times New Roman"/>
              </w:rPr>
              <w:t>月</w:t>
            </w:r>
          </w:p>
        </w:tc>
        <w:tc>
          <w:tcPr>
            <w:tcW w:w="574" w:type="pct"/>
            <w:vAlign w:val="center"/>
          </w:tcPr>
          <w:p w14:paraId="38BB7698">
            <w:pPr>
              <w:pStyle w:val="72"/>
              <w:rPr>
                <w:rFonts w:ascii="Times New Roman" w:hAnsi="Times New Roman"/>
              </w:rPr>
            </w:pPr>
            <w:r>
              <w:rPr>
                <w:rFonts w:hint="eastAsia" w:ascii="Times New Roman" w:hAnsi="Times New Roman"/>
              </w:rPr>
              <w:t>乔木林地</w:t>
            </w:r>
          </w:p>
        </w:tc>
        <w:tc>
          <w:tcPr>
            <w:tcW w:w="946" w:type="dxa"/>
            <w:vAlign w:val="center"/>
          </w:tcPr>
          <w:p w14:paraId="0AC16762">
            <w:pPr>
              <w:pStyle w:val="72"/>
              <w:ind w:firstLine="0" w:firstLineChars="0"/>
              <w:rPr>
                <w:rFonts w:ascii="Times New Roman" w:hAnsi="Times New Roman"/>
              </w:rPr>
            </w:pPr>
            <w:r>
              <w:rPr>
                <w:rFonts w:hint="eastAsia" w:ascii="Times New Roman" w:hAnsi="Times New Roman"/>
                <w:lang w:val="en-US" w:eastAsia="zh-CN"/>
              </w:rPr>
              <w:t>0.18</w:t>
            </w:r>
          </w:p>
        </w:tc>
        <w:tc>
          <w:tcPr>
            <w:tcW w:w="1133" w:type="dxa"/>
            <w:vAlign w:val="top"/>
          </w:tcPr>
          <w:p w14:paraId="38A7DCFD">
            <w:pPr>
              <w:pStyle w:val="72"/>
              <w:ind w:firstLine="0" w:firstLineChars="0"/>
              <w:rPr>
                <w:rFonts w:ascii="Times New Roman" w:hAnsi="Times New Roman"/>
                <w:lang w:bidi="ar"/>
              </w:rPr>
            </w:pPr>
            <w:r>
              <w:rPr>
                <w:rFonts w:hint="eastAsia" w:ascii="Times New Roman" w:hAnsi="Times New Roman"/>
              </w:rPr>
              <w:t>20</w:t>
            </w:r>
            <w:r>
              <w:rPr>
                <w:rFonts w:hint="eastAsia" w:ascii="Times New Roman" w:hAnsi="Times New Roman"/>
                <w:lang w:val="en-US" w:eastAsia="zh-CN"/>
              </w:rPr>
              <w:t>35</w:t>
            </w:r>
            <w:r>
              <w:rPr>
                <w:rFonts w:hint="eastAsia" w:ascii="Times New Roman" w:hAnsi="Times New Roman"/>
              </w:rPr>
              <w:t>年</w:t>
            </w:r>
            <w:r>
              <w:rPr>
                <w:rFonts w:hint="eastAsia" w:ascii="Times New Roman" w:hAnsi="Times New Roman"/>
                <w:lang w:val="en-US" w:eastAsia="zh-CN"/>
              </w:rPr>
              <w:t>1</w:t>
            </w:r>
            <w:r>
              <w:rPr>
                <w:rFonts w:hint="eastAsia" w:ascii="Times New Roman" w:hAnsi="Times New Roman"/>
              </w:rPr>
              <w:t>月</w:t>
            </w:r>
          </w:p>
        </w:tc>
      </w:tr>
    </w:tbl>
    <w:p w14:paraId="7385B199">
      <w:pPr>
        <w:spacing w:line="380" w:lineRule="exact"/>
        <w:ind w:firstLine="560"/>
        <w:jc w:val="center"/>
        <w:rPr>
          <w:highlight w:val="yellow"/>
        </w:rPr>
      </w:pPr>
    </w:p>
    <w:p w14:paraId="5C531F7D">
      <w:pPr>
        <w:pStyle w:val="3"/>
      </w:pPr>
      <w:bookmarkStart w:id="161" w:name="_Toc20226"/>
      <w:bookmarkStart w:id="162" w:name="_Toc215692449"/>
      <w:bookmarkStart w:id="163" w:name="_Toc23849"/>
      <w:bookmarkStart w:id="164" w:name="_Toc219050288"/>
      <w:r>
        <w:t>第四章</w:t>
      </w:r>
      <w:bookmarkEnd w:id="161"/>
      <w:r>
        <w:t>生态修复措施与工程内容</w:t>
      </w:r>
      <w:bookmarkEnd w:id="162"/>
      <w:bookmarkEnd w:id="163"/>
      <w:bookmarkEnd w:id="164"/>
    </w:p>
    <w:p w14:paraId="7BEBE44F">
      <w:pPr>
        <w:pStyle w:val="4"/>
        <w:ind w:firstLine="602"/>
        <w:rPr>
          <w:rFonts w:ascii="Times New Roman" w:hAnsi="Times New Roman"/>
        </w:rPr>
      </w:pPr>
      <w:bookmarkStart w:id="165" w:name="_Toc3238"/>
      <w:bookmarkStart w:id="166" w:name="_Toc15743"/>
      <w:bookmarkStart w:id="167" w:name="_Toc219050289"/>
      <w:bookmarkStart w:id="168" w:name="_Toc19815"/>
      <w:bookmarkStart w:id="169" w:name="_Toc4740"/>
      <w:r>
        <w:rPr>
          <w:rFonts w:ascii="Times New Roman" w:hAnsi="Times New Roman"/>
        </w:rPr>
        <w:t>一、保护与预防</w:t>
      </w:r>
      <w:bookmarkEnd w:id="165"/>
      <w:r>
        <w:rPr>
          <w:rFonts w:ascii="Times New Roman" w:hAnsi="Times New Roman"/>
        </w:rPr>
        <w:t>控制措施</w:t>
      </w:r>
      <w:bookmarkEnd w:id="166"/>
      <w:bookmarkEnd w:id="167"/>
      <w:bookmarkEnd w:id="168"/>
    </w:p>
    <w:p w14:paraId="23A2AC1A">
      <w:pPr>
        <w:ind w:firstLine="560"/>
      </w:pPr>
      <w:r>
        <w:t>根据本项目实际情况，可以在矿山企业生产期采取一些预防措施，主要遵循原则“预防为主，保护先行”，为从源头上保护生态环境，按照“统一规划、源头控制、防复结合”的原则。结合项目区的特点、生产方式和工艺，对</w:t>
      </w:r>
      <w:r>
        <w:rPr>
          <w:rFonts w:hint="eastAsia"/>
          <w:lang w:eastAsia="zh-CN"/>
        </w:rPr>
        <w:t>二道滑石矿</w:t>
      </w:r>
      <w:r>
        <w:t>采取下列预防控制措施。</w:t>
      </w:r>
    </w:p>
    <w:p w14:paraId="32B12F99">
      <w:pPr>
        <w:pStyle w:val="5"/>
        <w:ind w:firstLine="562"/>
      </w:pPr>
      <w:bookmarkStart w:id="170" w:name="_Toc9949"/>
      <w:r>
        <w:t>（一）</w:t>
      </w:r>
      <w:bookmarkEnd w:id="170"/>
      <w:r>
        <w:t>敏感目标保护</w:t>
      </w:r>
    </w:p>
    <w:p w14:paraId="527BC55E">
      <w:pPr>
        <w:ind w:firstLine="560"/>
        <w:rPr>
          <w:szCs w:val="28"/>
        </w:rPr>
      </w:pPr>
      <w:r>
        <w:rPr>
          <w:szCs w:val="28"/>
        </w:rPr>
        <w:t>经调查、查询，矿区不在“三区三线”范围内，周边无需要保护的耕地、永久基本农田、基本草原、公益林、自然保护区、生态保护红线、珍贵物种、人文景观、文物、重要基础设施等敏感目标。</w:t>
      </w:r>
    </w:p>
    <w:p w14:paraId="714F773E">
      <w:pPr>
        <w:pStyle w:val="5"/>
        <w:ind w:firstLine="562"/>
      </w:pPr>
      <w:bookmarkStart w:id="171" w:name="_Toc7616"/>
      <w:r>
        <w:t>（二）</w:t>
      </w:r>
      <w:bookmarkEnd w:id="171"/>
      <w:r>
        <w:t>表土剥离与植被移植利用</w:t>
      </w:r>
    </w:p>
    <w:p w14:paraId="2D7CD6BC">
      <w:pPr>
        <w:ind w:firstLine="560"/>
        <w:rPr>
          <w:szCs w:val="28"/>
        </w:rPr>
      </w:pPr>
      <w:r>
        <w:rPr>
          <w:rFonts w:hint="eastAsia"/>
          <w:szCs w:val="28"/>
        </w:rPr>
        <w:t>依前述</w:t>
      </w:r>
      <w:r>
        <w:rPr>
          <w:szCs w:val="28"/>
        </w:rPr>
        <w:t>，</w:t>
      </w:r>
      <w:r>
        <w:rPr>
          <w:rFonts w:hint="eastAsia"/>
          <w:szCs w:val="28"/>
          <w:lang w:val="en-US" w:eastAsia="zh-CN"/>
        </w:rPr>
        <w:t>矿山基建后续破坏</w:t>
      </w:r>
      <w:r>
        <w:rPr>
          <w:szCs w:val="28"/>
        </w:rPr>
        <w:t>面积为</w:t>
      </w:r>
      <w:r>
        <w:rPr>
          <w:rFonts w:hint="eastAsia"/>
          <w:szCs w:val="28"/>
          <w:lang w:eastAsia="zh-CN"/>
        </w:rPr>
        <w:t>1.168</w:t>
      </w:r>
      <w:r>
        <w:rPr>
          <w:szCs w:val="28"/>
        </w:rPr>
        <w:t>h</w:t>
      </w:r>
      <w:r>
        <w:rPr>
          <w:rFonts w:hint="eastAsia"/>
          <w:szCs w:val="28"/>
        </w:rPr>
        <w:t>m²</w:t>
      </w:r>
      <w:r>
        <w:rPr>
          <w:szCs w:val="28"/>
        </w:rPr>
        <w:t>，</w:t>
      </w:r>
      <w:r>
        <w:rPr>
          <w:rFonts w:hint="eastAsia"/>
          <w:szCs w:val="28"/>
        </w:rPr>
        <w:t>其中</w:t>
      </w:r>
      <w:r>
        <w:rPr>
          <w:rFonts w:hint="eastAsia"/>
          <w:szCs w:val="28"/>
          <w:lang w:val="en-US" w:eastAsia="zh-CN"/>
        </w:rPr>
        <w:t>乔木林地</w:t>
      </w:r>
      <w:r>
        <w:rPr>
          <w:rFonts w:hint="eastAsia"/>
          <w:szCs w:val="28"/>
        </w:rPr>
        <w:t>面积</w:t>
      </w:r>
      <w:r>
        <w:rPr>
          <w:rFonts w:hint="eastAsia"/>
          <w:szCs w:val="28"/>
          <w:lang w:val="en-US" w:eastAsia="zh-CN"/>
        </w:rPr>
        <w:t>1.1457</w:t>
      </w:r>
      <w:r>
        <w:rPr>
          <w:szCs w:val="28"/>
        </w:rPr>
        <w:t>h</w:t>
      </w:r>
      <w:r>
        <w:rPr>
          <w:rFonts w:hint="eastAsia"/>
          <w:szCs w:val="28"/>
        </w:rPr>
        <w:t>m²</w:t>
      </w:r>
      <w:r>
        <w:rPr>
          <w:szCs w:val="28"/>
        </w:rPr>
        <w:t>。对</w:t>
      </w:r>
      <w:r>
        <w:rPr>
          <w:rFonts w:hint="eastAsia"/>
          <w:szCs w:val="28"/>
          <w:lang w:val="en-US" w:eastAsia="zh-CN"/>
        </w:rPr>
        <w:t>乔木林地</w:t>
      </w:r>
      <w:r>
        <w:rPr>
          <w:rFonts w:hint="eastAsia"/>
          <w:szCs w:val="28"/>
        </w:rPr>
        <w:t>需要</w:t>
      </w:r>
      <w:r>
        <w:rPr>
          <w:szCs w:val="28"/>
        </w:rPr>
        <w:t>剥离表土，</w:t>
      </w:r>
      <w:r>
        <w:rPr>
          <w:rFonts w:hint="eastAsia"/>
          <w:szCs w:val="28"/>
        </w:rPr>
        <w:t>当地</w:t>
      </w:r>
      <w:r>
        <w:rPr>
          <w:rFonts w:hint="eastAsia"/>
          <w:szCs w:val="28"/>
          <w:lang w:val="en-US" w:eastAsia="zh-CN"/>
        </w:rPr>
        <w:t>林地</w:t>
      </w:r>
      <w:r>
        <w:rPr>
          <w:rFonts w:hint="eastAsia"/>
          <w:szCs w:val="28"/>
        </w:rPr>
        <w:t>土层厚度约0.</w:t>
      </w:r>
      <w:r>
        <w:rPr>
          <w:rFonts w:hint="eastAsia"/>
          <w:szCs w:val="28"/>
          <w:lang w:val="en-US" w:eastAsia="zh-CN"/>
        </w:rPr>
        <w:t>3</w:t>
      </w:r>
      <w:r>
        <w:rPr>
          <w:rFonts w:hint="eastAsia"/>
          <w:szCs w:val="28"/>
        </w:rPr>
        <w:t>m</w:t>
      </w:r>
      <w:r>
        <w:rPr>
          <w:szCs w:val="28"/>
        </w:rPr>
        <w:t>，</w:t>
      </w:r>
      <w:r>
        <w:rPr>
          <w:rFonts w:hint="eastAsia"/>
          <w:szCs w:val="28"/>
        </w:rPr>
        <w:t>设计</w:t>
      </w:r>
      <w:r>
        <w:rPr>
          <w:szCs w:val="28"/>
        </w:rPr>
        <w:t>剥离厚度0.</w:t>
      </w:r>
      <w:r>
        <w:rPr>
          <w:rFonts w:hint="eastAsia"/>
          <w:szCs w:val="28"/>
          <w:lang w:val="en-US" w:eastAsia="zh-CN"/>
        </w:rPr>
        <w:t>3</w:t>
      </w:r>
      <w:r>
        <w:rPr>
          <w:szCs w:val="28"/>
        </w:rPr>
        <w:t>m，剥离土方量</w:t>
      </w:r>
      <w:r>
        <w:rPr>
          <w:rFonts w:hint="eastAsia"/>
          <w:szCs w:val="28"/>
          <w:lang w:eastAsia="zh-CN"/>
        </w:rPr>
        <w:t>3504</w:t>
      </w:r>
      <w:r>
        <w:rPr>
          <w:rFonts w:hint="eastAsia"/>
          <w:szCs w:val="28"/>
        </w:rPr>
        <w:t>m</w:t>
      </w:r>
      <w:r>
        <w:rPr>
          <w:rFonts w:hint="default" w:ascii="Times New Roman" w:hAnsi="Times New Roman" w:cs="Times New Roman"/>
          <w:szCs w:val="28"/>
        </w:rPr>
        <w:t>³</w:t>
      </w:r>
      <w:r>
        <w:rPr>
          <w:szCs w:val="28"/>
        </w:rPr>
        <w:t>，</w:t>
      </w:r>
      <w:r>
        <w:rPr>
          <w:rFonts w:hint="eastAsia"/>
          <w:szCs w:val="28"/>
        </w:rPr>
        <w:t>剥离表土堆放</w:t>
      </w:r>
      <w:r>
        <w:rPr>
          <w:rFonts w:hint="eastAsia"/>
          <w:szCs w:val="28"/>
          <w:lang w:val="en-US" w:eastAsia="zh-CN"/>
        </w:rPr>
        <w:t>在表土490m平硐广场内的表土堆场</w:t>
      </w:r>
      <w:r>
        <w:rPr>
          <w:rFonts w:hint="eastAsia"/>
          <w:szCs w:val="28"/>
        </w:rPr>
        <w:t>，待对</w:t>
      </w:r>
      <w:r>
        <w:rPr>
          <w:rFonts w:hint="eastAsia"/>
          <w:szCs w:val="28"/>
          <w:lang w:val="en-US" w:eastAsia="zh-CN"/>
        </w:rPr>
        <w:t>开采结束后</w:t>
      </w:r>
      <w:r>
        <w:rPr>
          <w:rFonts w:hint="eastAsia"/>
          <w:szCs w:val="28"/>
        </w:rPr>
        <w:t>进行平整后回填使用，</w:t>
      </w:r>
      <w:r>
        <w:rPr>
          <w:rFonts w:hint="eastAsia"/>
          <w:szCs w:val="28"/>
          <w:lang w:val="en-US" w:eastAsia="zh-CN"/>
        </w:rPr>
        <w:t>复垦</w:t>
      </w:r>
      <w:r>
        <w:rPr>
          <w:rFonts w:hint="eastAsia"/>
          <w:szCs w:val="28"/>
        </w:rPr>
        <w:t>回填</w:t>
      </w:r>
      <w:r>
        <w:rPr>
          <w:rFonts w:hint="eastAsia"/>
          <w:szCs w:val="28"/>
          <w:lang w:val="en-US" w:eastAsia="zh-CN"/>
        </w:rPr>
        <w:t>面积1.5288</w:t>
      </w:r>
      <w:r>
        <w:rPr>
          <w:szCs w:val="28"/>
        </w:rPr>
        <w:t>h</w:t>
      </w:r>
      <w:r>
        <w:rPr>
          <w:rFonts w:hint="eastAsia"/>
          <w:szCs w:val="28"/>
        </w:rPr>
        <w:t>m²</w:t>
      </w:r>
      <w:r>
        <w:rPr>
          <w:rFonts w:hint="eastAsia"/>
          <w:szCs w:val="28"/>
          <w:lang w:eastAsia="zh-CN"/>
        </w:rPr>
        <w:t>，</w:t>
      </w:r>
      <w:r>
        <w:rPr>
          <w:rFonts w:hint="eastAsia"/>
          <w:szCs w:val="28"/>
          <w:lang w:val="en-US" w:eastAsia="zh-CN"/>
        </w:rPr>
        <w:t>需</w:t>
      </w:r>
      <w:r>
        <w:rPr>
          <w:rFonts w:hint="eastAsia"/>
          <w:szCs w:val="28"/>
        </w:rPr>
        <w:t>土方</w:t>
      </w:r>
      <w:r>
        <w:rPr>
          <w:szCs w:val="28"/>
        </w:rPr>
        <w:t>量</w:t>
      </w:r>
      <w:r>
        <w:rPr>
          <w:rFonts w:hint="eastAsia"/>
          <w:szCs w:val="28"/>
          <w:lang w:val="en-US" w:eastAsia="zh-CN"/>
        </w:rPr>
        <w:t>4586.4</w:t>
      </w:r>
      <w:r>
        <w:rPr>
          <w:rFonts w:hint="eastAsia"/>
          <w:szCs w:val="28"/>
        </w:rPr>
        <w:t>m³。</w:t>
      </w:r>
    </w:p>
    <w:p w14:paraId="2946AE2F">
      <w:pPr>
        <w:pStyle w:val="57"/>
        <w:rPr>
          <w:rFonts w:hint="eastAsia"/>
        </w:rPr>
      </w:pPr>
      <w:r>
        <w:t>表4-1表土资源平衡分析统计表</w:t>
      </w:r>
    </w:p>
    <w:tbl>
      <w:tblPr>
        <w:tblStyle w:val="42"/>
        <w:tblW w:w="5000" w:type="pct"/>
        <w:tblInd w:w="0" w:type="dxa"/>
        <w:tblLayout w:type="autofit"/>
        <w:tblCellMar>
          <w:top w:w="0" w:type="dxa"/>
          <w:left w:w="108" w:type="dxa"/>
          <w:bottom w:w="0" w:type="dxa"/>
          <w:right w:w="108" w:type="dxa"/>
        </w:tblCellMar>
      </w:tblPr>
      <w:tblGrid>
        <w:gridCol w:w="1521"/>
        <w:gridCol w:w="998"/>
        <w:gridCol w:w="1775"/>
        <w:gridCol w:w="1783"/>
        <w:gridCol w:w="1888"/>
        <w:gridCol w:w="1605"/>
      </w:tblGrid>
      <w:tr w14:paraId="23A69D35">
        <w:tblPrEx>
          <w:tblCellMar>
            <w:top w:w="0" w:type="dxa"/>
            <w:left w:w="108" w:type="dxa"/>
            <w:bottom w:w="0" w:type="dxa"/>
            <w:right w:w="108" w:type="dxa"/>
          </w:tblCellMar>
        </w:tblPrEx>
        <w:trPr>
          <w:trHeight w:val="555" w:hRule="atLeast"/>
        </w:trPr>
        <w:tc>
          <w:tcPr>
            <w:tcW w:w="794" w:type="pct"/>
            <w:tcBorders>
              <w:top w:val="single" w:color="000000" w:sz="4" w:space="0"/>
              <w:left w:val="single" w:color="000000" w:sz="4" w:space="0"/>
              <w:bottom w:val="single" w:color="000000" w:sz="4" w:space="0"/>
              <w:right w:val="single" w:color="000000" w:sz="4" w:space="0"/>
            </w:tcBorders>
            <w:vAlign w:val="center"/>
          </w:tcPr>
          <w:p w14:paraId="17950A48">
            <w:pPr>
              <w:pStyle w:val="72"/>
              <w:rPr>
                <w:rFonts w:ascii="Times New Roman" w:hAnsi="Times New Roman"/>
              </w:rPr>
            </w:pPr>
            <w:r>
              <w:rPr>
                <w:rFonts w:ascii="Times New Roman" w:hAnsi="Times New Roman"/>
                <w:lang w:bidi="ar"/>
              </w:rPr>
              <w:t>项目名称</w:t>
            </w:r>
          </w:p>
        </w:tc>
        <w:tc>
          <w:tcPr>
            <w:tcW w:w="521" w:type="pct"/>
            <w:tcBorders>
              <w:top w:val="single" w:color="000000" w:sz="4" w:space="0"/>
              <w:left w:val="single" w:color="000000" w:sz="4" w:space="0"/>
              <w:bottom w:val="single" w:color="000000" w:sz="4" w:space="0"/>
              <w:right w:val="single" w:color="000000" w:sz="4" w:space="0"/>
            </w:tcBorders>
            <w:vAlign w:val="center"/>
          </w:tcPr>
          <w:p w14:paraId="4BB83164">
            <w:pPr>
              <w:pStyle w:val="72"/>
              <w:rPr>
                <w:rFonts w:ascii="Times New Roman" w:hAnsi="Times New Roman"/>
                <w:lang w:bidi="ar"/>
              </w:rPr>
            </w:pPr>
            <w:r>
              <w:rPr>
                <w:rFonts w:ascii="Times New Roman" w:hAnsi="Times New Roman"/>
                <w:lang w:bidi="ar"/>
              </w:rPr>
              <w:t>破坏面积</w:t>
            </w:r>
          </w:p>
          <w:p w14:paraId="744B9CDF">
            <w:pPr>
              <w:pStyle w:val="72"/>
              <w:rPr>
                <w:rFonts w:ascii="Times New Roman" w:hAnsi="Times New Roman"/>
              </w:rPr>
            </w:pPr>
            <w:r>
              <w:rPr>
                <w:rFonts w:ascii="Times New Roman" w:hAnsi="Times New Roman"/>
                <w:lang w:bidi="ar"/>
              </w:rPr>
              <w:t>h</w:t>
            </w:r>
            <w:r>
              <w:rPr>
                <w:rFonts w:hint="eastAsia" w:ascii="Times New Roman" w:hAnsi="Times New Roman"/>
                <w:lang w:bidi="ar"/>
              </w:rPr>
              <w:t>m²</w:t>
            </w:r>
          </w:p>
        </w:tc>
        <w:tc>
          <w:tcPr>
            <w:tcW w:w="927" w:type="pct"/>
            <w:tcBorders>
              <w:top w:val="single" w:color="000000" w:sz="4" w:space="0"/>
              <w:left w:val="single" w:color="000000" w:sz="4" w:space="0"/>
              <w:bottom w:val="single" w:color="000000" w:sz="4" w:space="0"/>
              <w:right w:val="single" w:color="000000" w:sz="4" w:space="0"/>
            </w:tcBorders>
            <w:vAlign w:val="center"/>
          </w:tcPr>
          <w:p w14:paraId="1E8D7227">
            <w:pPr>
              <w:pStyle w:val="72"/>
              <w:rPr>
                <w:rFonts w:ascii="Times New Roman" w:hAnsi="Times New Roman"/>
              </w:rPr>
            </w:pPr>
            <w:r>
              <w:rPr>
                <w:rFonts w:ascii="Times New Roman" w:hAnsi="Times New Roman"/>
                <w:lang w:bidi="ar"/>
              </w:rPr>
              <w:t>剥离表土(</w:t>
            </w:r>
            <w:r>
              <w:rPr>
                <w:rFonts w:hint="eastAsia" w:ascii="Times New Roman" w:hAnsi="Times New Roman"/>
                <w:lang w:bidi="ar"/>
              </w:rPr>
              <w:t>m</w:t>
            </w:r>
            <w:r>
              <w:rPr>
                <w:rFonts w:ascii="Calibri" w:hAnsi="Calibri" w:cs="Calibri"/>
                <w:lang w:bidi="ar"/>
              </w:rPr>
              <w:t>³</w:t>
            </w:r>
            <w:r>
              <w:rPr>
                <w:rFonts w:ascii="Times New Roman" w:hAnsi="Times New Roman"/>
                <w:lang w:bidi="ar"/>
              </w:rPr>
              <w:t>)</w:t>
            </w:r>
          </w:p>
        </w:tc>
        <w:tc>
          <w:tcPr>
            <w:tcW w:w="931" w:type="pct"/>
            <w:tcBorders>
              <w:top w:val="single" w:color="000000" w:sz="4" w:space="0"/>
              <w:left w:val="single" w:color="000000" w:sz="4" w:space="0"/>
              <w:bottom w:val="single" w:color="000000" w:sz="4" w:space="0"/>
              <w:right w:val="single" w:color="000000" w:sz="4" w:space="0"/>
            </w:tcBorders>
            <w:vAlign w:val="center"/>
          </w:tcPr>
          <w:p w14:paraId="3360FA97">
            <w:pPr>
              <w:pStyle w:val="72"/>
              <w:rPr>
                <w:rFonts w:ascii="Times New Roman" w:hAnsi="Times New Roman"/>
              </w:rPr>
            </w:pPr>
            <w:r>
              <w:rPr>
                <w:rFonts w:ascii="Times New Roman" w:hAnsi="Times New Roman"/>
                <w:lang w:bidi="ar"/>
              </w:rPr>
              <w:t>覆土厚度（m）</w:t>
            </w:r>
          </w:p>
        </w:tc>
        <w:tc>
          <w:tcPr>
            <w:tcW w:w="986" w:type="pct"/>
            <w:tcBorders>
              <w:top w:val="single" w:color="000000" w:sz="4" w:space="0"/>
              <w:left w:val="single" w:color="000000" w:sz="4" w:space="0"/>
              <w:bottom w:val="single" w:color="000000" w:sz="4" w:space="0"/>
              <w:right w:val="single" w:color="000000" w:sz="4" w:space="0"/>
            </w:tcBorders>
            <w:vAlign w:val="center"/>
          </w:tcPr>
          <w:p w14:paraId="2A7A4414">
            <w:pPr>
              <w:pStyle w:val="72"/>
              <w:rPr>
                <w:rFonts w:ascii="Times New Roman" w:hAnsi="Times New Roman"/>
              </w:rPr>
            </w:pPr>
            <w:r>
              <w:rPr>
                <w:rFonts w:ascii="Times New Roman" w:hAnsi="Times New Roman"/>
                <w:lang w:bidi="ar"/>
              </w:rPr>
              <w:t>需土量（</w:t>
            </w:r>
            <w:r>
              <w:rPr>
                <w:rFonts w:hint="eastAsia" w:ascii="Times New Roman" w:hAnsi="Times New Roman"/>
                <w:lang w:bidi="ar"/>
              </w:rPr>
              <w:t>m³</w:t>
            </w:r>
            <w:r>
              <w:rPr>
                <w:rFonts w:ascii="Times New Roman" w:hAnsi="Times New Roman"/>
                <w:lang w:bidi="ar"/>
              </w:rPr>
              <w:t>）</w:t>
            </w:r>
          </w:p>
        </w:tc>
        <w:tc>
          <w:tcPr>
            <w:tcW w:w="838" w:type="pct"/>
            <w:tcBorders>
              <w:top w:val="single" w:color="000000" w:sz="4" w:space="0"/>
              <w:left w:val="single" w:color="000000" w:sz="4" w:space="0"/>
              <w:bottom w:val="single" w:color="000000" w:sz="4" w:space="0"/>
              <w:right w:val="single" w:color="000000" w:sz="4" w:space="0"/>
            </w:tcBorders>
            <w:vAlign w:val="center"/>
          </w:tcPr>
          <w:p w14:paraId="2F928936">
            <w:pPr>
              <w:pStyle w:val="72"/>
              <w:rPr>
                <w:rFonts w:ascii="Times New Roman" w:hAnsi="Times New Roman"/>
              </w:rPr>
            </w:pPr>
            <w:r>
              <w:rPr>
                <w:rFonts w:ascii="Times New Roman" w:hAnsi="Times New Roman"/>
                <w:lang w:bidi="ar"/>
              </w:rPr>
              <w:t>备注</w:t>
            </w:r>
          </w:p>
        </w:tc>
      </w:tr>
      <w:tr w14:paraId="0B38BA24">
        <w:tblPrEx>
          <w:tblCellMar>
            <w:top w:w="0" w:type="dxa"/>
            <w:left w:w="108" w:type="dxa"/>
            <w:bottom w:w="0" w:type="dxa"/>
            <w:right w:w="108" w:type="dxa"/>
          </w:tblCellMar>
        </w:tblPrEx>
        <w:trPr>
          <w:trHeight w:val="285" w:hRule="atLeast"/>
        </w:trPr>
        <w:tc>
          <w:tcPr>
            <w:tcW w:w="794" w:type="pct"/>
            <w:tcBorders>
              <w:top w:val="single" w:color="000000" w:sz="4" w:space="0"/>
              <w:left w:val="single" w:color="000000" w:sz="4" w:space="0"/>
              <w:bottom w:val="single" w:color="000000" w:sz="4" w:space="0"/>
              <w:right w:val="single" w:color="000000" w:sz="4" w:space="0"/>
            </w:tcBorders>
            <w:vAlign w:val="center"/>
          </w:tcPr>
          <w:p w14:paraId="2807CA96">
            <w:pPr>
              <w:pStyle w:val="72"/>
              <w:rPr>
                <w:rFonts w:hint="eastAsia" w:ascii="Times New Roman" w:hAnsi="Times New Roman" w:eastAsia="仿宋"/>
                <w:sz w:val="20"/>
                <w:szCs w:val="20"/>
                <w:lang w:eastAsia="zh-CN"/>
              </w:rPr>
            </w:pPr>
            <w:r>
              <w:rPr>
                <w:rFonts w:hint="eastAsia" w:ascii="Times New Roman" w:hAnsi="Times New Roman"/>
                <w:sz w:val="20"/>
                <w:szCs w:val="20"/>
                <w:lang w:val="en-US" w:eastAsia="zh-CN" w:bidi="ar"/>
              </w:rPr>
              <w:t>工业广场</w:t>
            </w:r>
          </w:p>
        </w:tc>
        <w:tc>
          <w:tcPr>
            <w:tcW w:w="521" w:type="pct"/>
            <w:tcBorders>
              <w:top w:val="single" w:color="000000" w:sz="4" w:space="0"/>
              <w:left w:val="single" w:color="000000" w:sz="4" w:space="0"/>
              <w:bottom w:val="single" w:color="000000" w:sz="4" w:space="0"/>
              <w:right w:val="single" w:color="000000" w:sz="4" w:space="0"/>
            </w:tcBorders>
            <w:vAlign w:val="center"/>
          </w:tcPr>
          <w:p w14:paraId="4DF39F8D">
            <w:pPr>
              <w:pStyle w:val="72"/>
              <w:rPr>
                <w:rFonts w:hint="default" w:ascii="Times New Roman" w:hAnsi="Times New Roman"/>
                <w:sz w:val="20"/>
                <w:szCs w:val="20"/>
                <w:lang w:val="en-US" w:eastAsia="zh-CN"/>
              </w:rPr>
            </w:pPr>
            <w:r>
              <w:rPr>
                <w:rFonts w:hint="eastAsia" w:ascii="Times New Roman" w:hAnsi="Times New Roman"/>
                <w:sz w:val="20"/>
                <w:szCs w:val="20"/>
                <w:lang w:val="en-US" w:eastAsia="zh-CN"/>
              </w:rPr>
              <w:t>0.3608</w:t>
            </w:r>
          </w:p>
        </w:tc>
        <w:tc>
          <w:tcPr>
            <w:tcW w:w="927" w:type="pct"/>
            <w:tcBorders>
              <w:top w:val="single" w:color="000000" w:sz="4" w:space="0"/>
              <w:left w:val="single" w:color="000000" w:sz="4" w:space="0"/>
              <w:bottom w:val="nil"/>
              <w:right w:val="single" w:color="000000" w:sz="4" w:space="0"/>
            </w:tcBorders>
            <w:vAlign w:val="center"/>
          </w:tcPr>
          <w:p w14:paraId="163CD3DE">
            <w:pPr>
              <w:pStyle w:val="72"/>
              <w:rPr>
                <w:rFonts w:hint="default" w:ascii="Times New Roman" w:hAnsi="Times New Roman"/>
                <w:sz w:val="20"/>
                <w:szCs w:val="20"/>
                <w:lang w:val="en-US" w:eastAsia="zh-CN"/>
              </w:rPr>
            </w:pPr>
            <w:r>
              <w:rPr>
                <w:rFonts w:hint="default" w:ascii="Times New Roman" w:hAnsi="Times New Roman"/>
                <w:sz w:val="20"/>
                <w:szCs w:val="20"/>
                <w:lang w:val="en-US" w:eastAsia="zh-CN"/>
              </w:rPr>
              <w:t>0</w:t>
            </w:r>
          </w:p>
        </w:tc>
        <w:tc>
          <w:tcPr>
            <w:tcW w:w="931" w:type="pct"/>
            <w:tcBorders>
              <w:top w:val="single" w:color="000000" w:sz="4" w:space="0"/>
              <w:left w:val="single" w:color="000000" w:sz="4" w:space="0"/>
              <w:bottom w:val="single" w:color="000000" w:sz="4" w:space="0"/>
              <w:right w:val="single" w:color="000000" w:sz="4" w:space="0"/>
            </w:tcBorders>
            <w:vAlign w:val="center"/>
          </w:tcPr>
          <w:p w14:paraId="3698B7DA">
            <w:pPr>
              <w:pStyle w:val="72"/>
              <w:rPr>
                <w:rFonts w:hint="eastAsia" w:ascii="Times New Roman" w:hAnsi="Times New Roman"/>
                <w:sz w:val="20"/>
                <w:szCs w:val="20"/>
                <w:lang w:val="en-US" w:eastAsia="zh-CN"/>
              </w:rPr>
            </w:pPr>
            <w:r>
              <w:rPr>
                <w:rFonts w:hint="default" w:ascii="Times New Roman" w:hAnsi="Times New Roman"/>
                <w:sz w:val="20"/>
                <w:szCs w:val="20"/>
                <w:lang w:val="en-US" w:eastAsia="zh-CN"/>
              </w:rPr>
              <w:t>0.3</w:t>
            </w:r>
          </w:p>
        </w:tc>
        <w:tc>
          <w:tcPr>
            <w:tcW w:w="986" w:type="pct"/>
            <w:tcBorders>
              <w:top w:val="single" w:color="000000" w:sz="4" w:space="0"/>
              <w:left w:val="single" w:color="000000" w:sz="4" w:space="0"/>
              <w:bottom w:val="single" w:color="000000" w:sz="4" w:space="0"/>
              <w:right w:val="single" w:color="000000" w:sz="4" w:space="0"/>
            </w:tcBorders>
            <w:vAlign w:val="center"/>
          </w:tcPr>
          <w:p w14:paraId="1BD1F59F">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1082.4</w:t>
            </w:r>
          </w:p>
        </w:tc>
        <w:tc>
          <w:tcPr>
            <w:tcW w:w="838" w:type="pct"/>
            <w:tcBorders>
              <w:top w:val="single" w:color="000000" w:sz="4" w:space="0"/>
              <w:left w:val="single" w:color="000000" w:sz="4" w:space="0"/>
              <w:bottom w:val="single" w:color="000000" w:sz="4" w:space="0"/>
              <w:right w:val="single" w:color="000000" w:sz="4" w:space="0"/>
            </w:tcBorders>
            <w:noWrap/>
            <w:vAlign w:val="center"/>
          </w:tcPr>
          <w:p w14:paraId="60C89CEA">
            <w:pPr>
              <w:pStyle w:val="72"/>
              <w:rPr>
                <w:rFonts w:ascii="Times New Roman" w:hAnsi="Times New Roman"/>
                <w:sz w:val="20"/>
                <w:szCs w:val="20"/>
              </w:rPr>
            </w:pPr>
          </w:p>
        </w:tc>
      </w:tr>
      <w:tr w14:paraId="1B21EEFD">
        <w:tblPrEx>
          <w:tblCellMar>
            <w:top w:w="0" w:type="dxa"/>
            <w:left w:w="108" w:type="dxa"/>
            <w:bottom w:w="0" w:type="dxa"/>
            <w:right w:w="108" w:type="dxa"/>
          </w:tblCellMar>
        </w:tblPrEx>
        <w:trPr>
          <w:trHeight w:val="285" w:hRule="atLeast"/>
        </w:trPr>
        <w:tc>
          <w:tcPr>
            <w:tcW w:w="794" w:type="pct"/>
            <w:tcBorders>
              <w:top w:val="single" w:color="000000" w:sz="4" w:space="0"/>
              <w:left w:val="single" w:color="000000" w:sz="4" w:space="0"/>
              <w:bottom w:val="single" w:color="000000" w:sz="4" w:space="0"/>
              <w:right w:val="single" w:color="000000" w:sz="4" w:space="0"/>
            </w:tcBorders>
            <w:vAlign w:val="center"/>
          </w:tcPr>
          <w:p w14:paraId="458A668A">
            <w:pPr>
              <w:pStyle w:val="72"/>
              <w:jc w:val="both"/>
              <w:rPr>
                <w:rFonts w:hint="default" w:ascii="Times New Roman" w:hAnsi="Times New Roman"/>
                <w:sz w:val="20"/>
                <w:szCs w:val="20"/>
                <w:lang w:val="en-US" w:eastAsia="zh-CN" w:bidi="ar"/>
              </w:rPr>
            </w:pPr>
            <w:r>
              <w:rPr>
                <w:rFonts w:hint="eastAsia" w:ascii="Times New Roman" w:hAnsi="Times New Roman"/>
                <w:sz w:val="20"/>
                <w:szCs w:val="20"/>
                <w:lang w:val="en-US" w:eastAsia="zh-CN" w:bidi="ar"/>
              </w:rPr>
              <w:t>三处废弃平硐</w:t>
            </w:r>
          </w:p>
        </w:tc>
        <w:tc>
          <w:tcPr>
            <w:tcW w:w="521" w:type="pct"/>
            <w:tcBorders>
              <w:top w:val="single" w:color="000000" w:sz="4" w:space="0"/>
              <w:left w:val="single" w:color="000000" w:sz="4" w:space="0"/>
              <w:bottom w:val="single" w:color="000000" w:sz="4" w:space="0"/>
              <w:right w:val="single" w:color="000000" w:sz="4" w:space="0"/>
            </w:tcBorders>
            <w:vAlign w:val="center"/>
          </w:tcPr>
          <w:p w14:paraId="09683D79">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0</w:t>
            </w:r>
          </w:p>
        </w:tc>
        <w:tc>
          <w:tcPr>
            <w:tcW w:w="927" w:type="pct"/>
            <w:tcBorders>
              <w:top w:val="single" w:color="000000" w:sz="4" w:space="0"/>
              <w:left w:val="single" w:color="000000" w:sz="4" w:space="0"/>
              <w:bottom w:val="nil"/>
              <w:right w:val="single" w:color="000000" w:sz="4" w:space="0"/>
            </w:tcBorders>
            <w:vAlign w:val="center"/>
          </w:tcPr>
          <w:p w14:paraId="04212FD4">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0</w:t>
            </w:r>
          </w:p>
        </w:tc>
        <w:tc>
          <w:tcPr>
            <w:tcW w:w="931" w:type="pct"/>
            <w:tcBorders>
              <w:top w:val="single" w:color="000000" w:sz="4" w:space="0"/>
              <w:left w:val="single" w:color="000000" w:sz="4" w:space="0"/>
              <w:bottom w:val="single" w:color="000000" w:sz="4" w:space="0"/>
              <w:right w:val="single" w:color="000000" w:sz="4" w:space="0"/>
            </w:tcBorders>
            <w:vAlign w:val="center"/>
          </w:tcPr>
          <w:p w14:paraId="773DDCBB">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0</w:t>
            </w:r>
          </w:p>
        </w:tc>
        <w:tc>
          <w:tcPr>
            <w:tcW w:w="986" w:type="pct"/>
            <w:tcBorders>
              <w:top w:val="single" w:color="000000" w:sz="4" w:space="0"/>
              <w:left w:val="single" w:color="000000" w:sz="4" w:space="0"/>
              <w:bottom w:val="single" w:color="000000" w:sz="4" w:space="0"/>
              <w:right w:val="single" w:color="000000" w:sz="4" w:space="0"/>
            </w:tcBorders>
            <w:vAlign w:val="center"/>
          </w:tcPr>
          <w:p w14:paraId="16D9A5A4">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0</w:t>
            </w:r>
          </w:p>
        </w:tc>
        <w:tc>
          <w:tcPr>
            <w:tcW w:w="838" w:type="pct"/>
            <w:tcBorders>
              <w:top w:val="single" w:color="000000" w:sz="4" w:space="0"/>
              <w:left w:val="single" w:color="000000" w:sz="4" w:space="0"/>
              <w:bottom w:val="single" w:color="000000" w:sz="4" w:space="0"/>
              <w:right w:val="single" w:color="000000" w:sz="4" w:space="0"/>
            </w:tcBorders>
            <w:noWrap/>
            <w:vAlign w:val="center"/>
          </w:tcPr>
          <w:p w14:paraId="74185D6D">
            <w:pPr>
              <w:pStyle w:val="72"/>
              <w:rPr>
                <w:rFonts w:hint="eastAsia" w:ascii="Times New Roman" w:hAnsi="Times New Roman"/>
                <w:sz w:val="20"/>
                <w:szCs w:val="20"/>
                <w:lang w:bidi="ar"/>
              </w:rPr>
            </w:pPr>
          </w:p>
        </w:tc>
      </w:tr>
      <w:tr w14:paraId="74964668">
        <w:tblPrEx>
          <w:tblCellMar>
            <w:top w:w="0" w:type="dxa"/>
            <w:left w:w="108" w:type="dxa"/>
            <w:bottom w:w="0" w:type="dxa"/>
            <w:right w:w="108" w:type="dxa"/>
          </w:tblCellMar>
        </w:tblPrEx>
        <w:trPr>
          <w:trHeight w:val="285" w:hRule="atLeast"/>
        </w:trPr>
        <w:tc>
          <w:tcPr>
            <w:tcW w:w="794" w:type="pct"/>
            <w:tcBorders>
              <w:top w:val="single" w:color="000000" w:sz="4" w:space="0"/>
              <w:left w:val="single" w:color="000000" w:sz="4" w:space="0"/>
              <w:bottom w:val="single" w:color="000000" w:sz="4" w:space="0"/>
              <w:right w:val="single" w:color="000000" w:sz="4" w:space="0"/>
            </w:tcBorders>
            <w:vAlign w:val="center"/>
          </w:tcPr>
          <w:p w14:paraId="5967A433">
            <w:pPr>
              <w:pStyle w:val="72"/>
              <w:rPr>
                <w:rFonts w:hint="default" w:ascii="Times New Roman" w:hAnsi="Times New Roman"/>
                <w:sz w:val="20"/>
                <w:szCs w:val="20"/>
                <w:lang w:val="en-US" w:eastAsia="zh-CN" w:bidi="ar"/>
              </w:rPr>
            </w:pPr>
            <w:r>
              <w:rPr>
                <w:rFonts w:hint="eastAsia" w:ascii="Times New Roman" w:hAnsi="Times New Roman"/>
                <w:sz w:val="20"/>
                <w:szCs w:val="20"/>
                <w:lang w:val="en-US" w:eastAsia="zh-CN" w:bidi="ar"/>
              </w:rPr>
              <w:t>490m平硐工业广场</w:t>
            </w:r>
          </w:p>
        </w:tc>
        <w:tc>
          <w:tcPr>
            <w:tcW w:w="521" w:type="pct"/>
            <w:tcBorders>
              <w:top w:val="single" w:color="000000" w:sz="4" w:space="0"/>
              <w:left w:val="single" w:color="000000" w:sz="4" w:space="0"/>
              <w:bottom w:val="single" w:color="000000" w:sz="4" w:space="0"/>
              <w:right w:val="single" w:color="000000" w:sz="4" w:space="0"/>
            </w:tcBorders>
            <w:vAlign w:val="center"/>
          </w:tcPr>
          <w:p w14:paraId="63AF5C94">
            <w:pPr>
              <w:pStyle w:val="72"/>
              <w:rPr>
                <w:rFonts w:hint="default" w:ascii="Times New Roman" w:hAnsi="Times New Roman"/>
                <w:sz w:val="20"/>
                <w:szCs w:val="20"/>
                <w:lang w:val="en-US" w:eastAsia="zh-CN"/>
              </w:rPr>
            </w:pPr>
            <w:r>
              <w:rPr>
                <w:rFonts w:hint="eastAsia" w:ascii="Times New Roman" w:hAnsi="Times New Roman"/>
                <w:sz w:val="20"/>
                <w:szCs w:val="20"/>
                <w:lang w:val="en-US" w:eastAsia="zh-CN"/>
              </w:rPr>
              <w:t>0.69</w:t>
            </w:r>
          </w:p>
        </w:tc>
        <w:tc>
          <w:tcPr>
            <w:tcW w:w="927" w:type="pct"/>
            <w:tcBorders>
              <w:top w:val="single" w:color="000000" w:sz="4" w:space="0"/>
              <w:left w:val="single" w:color="000000" w:sz="4" w:space="0"/>
              <w:bottom w:val="nil"/>
              <w:right w:val="single" w:color="000000" w:sz="4" w:space="0"/>
            </w:tcBorders>
            <w:vAlign w:val="center"/>
          </w:tcPr>
          <w:p w14:paraId="433C3947">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2070</w:t>
            </w:r>
          </w:p>
        </w:tc>
        <w:tc>
          <w:tcPr>
            <w:tcW w:w="931" w:type="pct"/>
            <w:tcBorders>
              <w:top w:val="single" w:color="000000" w:sz="4" w:space="0"/>
              <w:left w:val="single" w:color="000000" w:sz="4" w:space="0"/>
              <w:bottom w:val="single" w:color="000000" w:sz="4" w:space="0"/>
              <w:right w:val="single" w:color="000000" w:sz="4" w:space="0"/>
            </w:tcBorders>
            <w:vAlign w:val="center"/>
          </w:tcPr>
          <w:p w14:paraId="6B3C395B">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0.3</w:t>
            </w:r>
          </w:p>
        </w:tc>
        <w:tc>
          <w:tcPr>
            <w:tcW w:w="986" w:type="pct"/>
            <w:tcBorders>
              <w:top w:val="single" w:color="000000" w:sz="4" w:space="0"/>
              <w:left w:val="single" w:color="000000" w:sz="4" w:space="0"/>
              <w:bottom w:val="single" w:color="000000" w:sz="4" w:space="0"/>
              <w:right w:val="single" w:color="000000" w:sz="4" w:space="0"/>
            </w:tcBorders>
            <w:vAlign w:val="center"/>
          </w:tcPr>
          <w:p w14:paraId="0E2C21F3">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2070</w:t>
            </w:r>
          </w:p>
        </w:tc>
        <w:tc>
          <w:tcPr>
            <w:tcW w:w="838" w:type="pct"/>
            <w:tcBorders>
              <w:top w:val="single" w:color="000000" w:sz="4" w:space="0"/>
              <w:left w:val="single" w:color="000000" w:sz="4" w:space="0"/>
              <w:bottom w:val="single" w:color="000000" w:sz="4" w:space="0"/>
              <w:right w:val="single" w:color="000000" w:sz="4" w:space="0"/>
            </w:tcBorders>
            <w:noWrap/>
            <w:vAlign w:val="center"/>
          </w:tcPr>
          <w:p w14:paraId="13E69564">
            <w:pPr>
              <w:pStyle w:val="72"/>
              <w:rPr>
                <w:rFonts w:hint="eastAsia" w:ascii="Times New Roman" w:hAnsi="Times New Roman"/>
                <w:sz w:val="20"/>
                <w:szCs w:val="20"/>
                <w:lang w:bidi="ar"/>
              </w:rPr>
            </w:pPr>
          </w:p>
        </w:tc>
      </w:tr>
      <w:tr w14:paraId="00EF8234">
        <w:tblPrEx>
          <w:tblCellMar>
            <w:top w:w="0" w:type="dxa"/>
            <w:left w:w="108" w:type="dxa"/>
            <w:bottom w:w="0" w:type="dxa"/>
            <w:right w:w="108" w:type="dxa"/>
          </w:tblCellMar>
        </w:tblPrEx>
        <w:trPr>
          <w:trHeight w:val="285" w:hRule="atLeast"/>
        </w:trPr>
        <w:tc>
          <w:tcPr>
            <w:tcW w:w="794" w:type="pct"/>
            <w:tcBorders>
              <w:top w:val="single" w:color="000000" w:sz="4" w:space="0"/>
              <w:left w:val="single" w:color="000000" w:sz="4" w:space="0"/>
              <w:bottom w:val="single" w:color="000000" w:sz="4" w:space="0"/>
              <w:right w:val="single" w:color="000000" w:sz="4" w:space="0"/>
            </w:tcBorders>
            <w:vAlign w:val="center"/>
          </w:tcPr>
          <w:p w14:paraId="1BD76781">
            <w:pPr>
              <w:pStyle w:val="72"/>
              <w:rPr>
                <w:rFonts w:hint="eastAsia" w:ascii="Times New Roman" w:hAnsi="Times New Roman"/>
                <w:sz w:val="20"/>
                <w:szCs w:val="20"/>
                <w:lang w:eastAsia="zh-CN" w:bidi="ar"/>
              </w:rPr>
            </w:pPr>
            <w:r>
              <w:rPr>
                <w:rFonts w:hint="eastAsia" w:ascii="Times New Roman" w:hAnsi="Times New Roman"/>
                <w:sz w:val="20"/>
                <w:szCs w:val="20"/>
                <w:lang w:val="en-US" w:eastAsia="zh-CN" w:bidi="ar"/>
              </w:rPr>
              <w:t>520m平硐工业广场</w:t>
            </w:r>
          </w:p>
        </w:tc>
        <w:tc>
          <w:tcPr>
            <w:tcW w:w="521" w:type="pct"/>
            <w:tcBorders>
              <w:top w:val="single" w:color="000000" w:sz="4" w:space="0"/>
              <w:left w:val="single" w:color="000000" w:sz="4" w:space="0"/>
              <w:bottom w:val="single" w:color="000000" w:sz="4" w:space="0"/>
              <w:right w:val="single" w:color="000000" w:sz="4" w:space="0"/>
            </w:tcBorders>
            <w:vAlign w:val="center"/>
          </w:tcPr>
          <w:p w14:paraId="0B5D542F">
            <w:pPr>
              <w:pStyle w:val="72"/>
              <w:rPr>
                <w:rFonts w:hint="default" w:ascii="Times New Roman" w:hAnsi="Times New Roman"/>
                <w:sz w:val="20"/>
                <w:szCs w:val="20"/>
                <w:lang w:val="en-US" w:eastAsia="zh-CN"/>
              </w:rPr>
            </w:pPr>
            <w:r>
              <w:rPr>
                <w:rFonts w:hint="eastAsia" w:ascii="Times New Roman" w:hAnsi="Times New Roman"/>
                <w:sz w:val="20"/>
                <w:szCs w:val="20"/>
                <w:lang w:val="en-US" w:eastAsia="zh-CN"/>
              </w:rPr>
              <w:t>0.3</w:t>
            </w:r>
          </w:p>
        </w:tc>
        <w:tc>
          <w:tcPr>
            <w:tcW w:w="927" w:type="pct"/>
            <w:tcBorders>
              <w:top w:val="single" w:color="000000" w:sz="4" w:space="0"/>
              <w:left w:val="single" w:color="000000" w:sz="4" w:space="0"/>
              <w:bottom w:val="nil"/>
              <w:right w:val="single" w:color="000000" w:sz="4" w:space="0"/>
            </w:tcBorders>
            <w:vAlign w:val="center"/>
          </w:tcPr>
          <w:p w14:paraId="6D73ECD1">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900</w:t>
            </w:r>
          </w:p>
        </w:tc>
        <w:tc>
          <w:tcPr>
            <w:tcW w:w="931" w:type="pct"/>
            <w:tcBorders>
              <w:top w:val="single" w:color="000000" w:sz="4" w:space="0"/>
              <w:left w:val="single" w:color="000000" w:sz="4" w:space="0"/>
              <w:bottom w:val="single" w:color="000000" w:sz="4" w:space="0"/>
              <w:right w:val="single" w:color="000000" w:sz="4" w:space="0"/>
            </w:tcBorders>
            <w:vAlign w:val="center"/>
          </w:tcPr>
          <w:p w14:paraId="099A7F2C">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0.3</w:t>
            </w:r>
          </w:p>
        </w:tc>
        <w:tc>
          <w:tcPr>
            <w:tcW w:w="986" w:type="pct"/>
            <w:tcBorders>
              <w:top w:val="single" w:color="000000" w:sz="4" w:space="0"/>
              <w:left w:val="single" w:color="000000" w:sz="4" w:space="0"/>
              <w:bottom w:val="single" w:color="000000" w:sz="4" w:space="0"/>
              <w:right w:val="single" w:color="000000" w:sz="4" w:space="0"/>
            </w:tcBorders>
            <w:vAlign w:val="center"/>
          </w:tcPr>
          <w:p w14:paraId="3105E90C">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900</w:t>
            </w:r>
          </w:p>
        </w:tc>
        <w:tc>
          <w:tcPr>
            <w:tcW w:w="838" w:type="pct"/>
            <w:tcBorders>
              <w:top w:val="single" w:color="000000" w:sz="4" w:space="0"/>
              <w:left w:val="single" w:color="000000" w:sz="4" w:space="0"/>
              <w:bottom w:val="single" w:color="000000" w:sz="4" w:space="0"/>
              <w:right w:val="single" w:color="000000" w:sz="4" w:space="0"/>
            </w:tcBorders>
            <w:noWrap/>
            <w:vAlign w:val="center"/>
          </w:tcPr>
          <w:p w14:paraId="121E281A">
            <w:pPr>
              <w:pStyle w:val="72"/>
              <w:rPr>
                <w:rFonts w:hint="eastAsia" w:ascii="Times New Roman" w:hAnsi="Times New Roman"/>
                <w:sz w:val="20"/>
                <w:szCs w:val="20"/>
                <w:lang w:bidi="ar"/>
              </w:rPr>
            </w:pPr>
          </w:p>
        </w:tc>
      </w:tr>
      <w:tr w14:paraId="607E2D0C">
        <w:tblPrEx>
          <w:tblCellMar>
            <w:top w:w="0" w:type="dxa"/>
            <w:left w:w="108" w:type="dxa"/>
            <w:bottom w:w="0" w:type="dxa"/>
            <w:right w:w="108" w:type="dxa"/>
          </w:tblCellMar>
        </w:tblPrEx>
        <w:trPr>
          <w:trHeight w:val="285" w:hRule="atLeast"/>
        </w:trPr>
        <w:tc>
          <w:tcPr>
            <w:tcW w:w="794" w:type="pct"/>
            <w:tcBorders>
              <w:top w:val="single" w:color="000000" w:sz="4" w:space="0"/>
              <w:left w:val="single" w:color="000000" w:sz="4" w:space="0"/>
              <w:bottom w:val="single" w:color="000000" w:sz="4" w:space="0"/>
              <w:right w:val="single" w:color="000000" w:sz="4" w:space="0"/>
            </w:tcBorders>
            <w:vAlign w:val="center"/>
          </w:tcPr>
          <w:p w14:paraId="0AD13D7C">
            <w:pPr>
              <w:pStyle w:val="72"/>
              <w:rPr>
                <w:rFonts w:hint="eastAsia" w:ascii="Times New Roman" w:hAnsi="Times New Roman"/>
                <w:sz w:val="20"/>
                <w:szCs w:val="20"/>
                <w:lang w:eastAsia="zh-CN" w:bidi="ar"/>
              </w:rPr>
            </w:pPr>
            <w:r>
              <w:rPr>
                <w:rFonts w:hint="eastAsia" w:ascii="Times New Roman" w:hAnsi="Times New Roman"/>
                <w:sz w:val="20"/>
                <w:szCs w:val="20"/>
                <w:lang w:val="en-US" w:eastAsia="zh-CN" w:bidi="ar"/>
              </w:rPr>
              <w:t>548m平硐工业广场</w:t>
            </w:r>
          </w:p>
        </w:tc>
        <w:tc>
          <w:tcPr>
            <w:tcW w:w="521" w:type="pct"/>
            <w:tcBorders>
              <w:top w:val="single" w:color="000000" w:sz="4" w:space="0"/>
              <w:left w:val="single" w:color="000000" w:sz="4" w:space="0"/>
              <w:bottom w:val="single" w:color="000000" w:sz="4" w:space="0"/>
              <w:right w:val="single" w:color="000000" w:sz="4" w:space="0"/>
            </w:tcBorders>
            <w:vAlign w:val="center"/>
          </w:tcPr>
          <w:p w14:paraId="1CB8C2A5">
            <w:pPr>
              <w:pStyle w:val="72"/>
              <w:rPr>
                <w:rFonts w:hint="default" w:ascii="Times New Roman" w:hAnsi="Times New Roman"/>
                <w:sz w:val="20"/>
                <w:szCs w:val="20"/>
                <w:lang w:val="en-US" w:eastAsia="zh-CN"/>
              </w:rPr>
            </w:pPr>
            <w:r>
              <w:rPr>
                <w:rFonts w:hint="eastAsia" w:ascii="Times New Roman" w:hAnsi="Times New Roman"/>
                <w:sz w:val="20"/>
                <w:szCs w:val="20"/>
                <w:lang w:val="en-US" w:eastAsia="zh-CN"/>
              </w:rPr>
              <w:t>0.178</w:t>
            </w:r>
          </w:p>
        </w:tc>
        <w:tc>
          <w:tcPr>
            <w:tcW w:w="927" w:type="pct"/>
            <w:tcBorders>
              <w:top w:val="single" w:color="000000" w:sz="4" w:space="0"/>
              <w:left w:val="single" w:color="000000" w:sz="4" w:space="0"/>
              <w:bottom w:val="nil"/>
              <w:right w:val="single" w:color="000000" w:sz="4" w:space="0"/>
            </w:tcBorders>
            <w:vAlign w:val="center"/>
          </w:tcPr>
          <w:p w14:paraId="0287E0D9">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534</w:t>
            </w:r>
          </w:p>
        </w:tc>
        <w:tc>
          <w:tcPr>
            <w:tcW w:w="931" w:type="pct"/>
            <w:tcBorders>
              <w:top w:val="single" w:color="000000" w:sz="4" w:space="0"/>
              <w:left w:val="single" w:color="000000" w:sz="4" w:space="0"/>
              <w:bottom w:val="single" w:color="000000" w:sz="4" w:space="0"/>
              <w:right w:val="single" w:color="000000" w:sz="4" w:space="0"/>
            </w:tcBorders>
            <w:vAlign w:val="center"/>
          </w:tcPr>
          <w:p w14:paraId="0E3EE7BC">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0.3</w:t>
            </w:r>
          </w:p>
        </w:tc>
        <w:tc>
          <w:tcPr>
            <w:tcW w:w="986" w:type="pct"/>
            <w:tcBorders>
              <w:top w:val="single" w:color="000000" w:sz="4" w:space="0"/>
              <w:left w:val="single" w:color="000000" w:sz="4" w:space="0"/>
              <w:bottom w:val="single" w:color="000000" w:sz="4" w:space="0"/>
              <w:right w:val="single" w:color="000000" w:sz="4" w:space="0"/>
            </w:tcBorders>
            <w:vAlign w:val="center"/>
          </w:tcPr>
          <w:p w14:paraId="6EDE7168">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534</w:t>
            </w:r>
          </w:p>
        </w:tc>
        <w:tc>
          <w:tcPr>
            <w:tcW w:w="838" w:type="pct"/>
            <w:tcBorders>
              <w:top w:val="single" w:color="000000" w:sz="4" w:space="0"/>
              <w:left w:val="single" w:color="000000" w:sz="4" w:space="0"/>
              <w:bottom w:val="single" w:color="000000" w:sz="4" w:space="0"/>
              <w:right w:val="single" w:color="000000" w:sz="4" w:space="0"/>
            </w:tcBorders>
            <w:noWrap/>
            <w:vAlign w:val="center"/>
          </w:tcPr>
          <w:p w14:paraId="38C5800F">
            <w:pPr>
              <w:pStyle w:val="72"/>
              <w:rPr>
                <w:rFonts w:hint="eastAsia" w:ascii="Times New Roman" w:hAnsi="Times New Roman"/>
                <w:sz w:val="20"/>
                <w:szCs w:val="20"/>
                <w:lang w:bidi="ar"/>
              </w:rPr>
            </w:pPr>
          </w:p>
        </w:tc>
      </w:tr>
      <w:tr w14:paraId="1AD39007">
        <w:tblPrEx>
          <w:tblCellMar>
            <w:top w:w="0" w:type="dxa"/>
            <w:left w:w="108" w:type="dxa"/>
            <w:bottom w:w="0" w:type="dxa"/>
            <w:right w:w="108" w:type="dxa"/>
          </w:tblCellMar>
        </w:tblPrEx>
        <w:trPr>
          <w:trHeight w:val="285" w:hRule="atLeast"/>
        </w:trPr>
        <w:tc>
          <w:tcPr>
            <w:tcW w:w="794" w:type="pct"/>
            <w:tcBorders>
              <w:top w:val="single" w:color="000000" w:sz="4" w:space="0"/>
              <w:left w:val="single" w:color="000000" w:sz="4" w:space="0"/>
              <w:bottom w:val="single" w:color="000000" w:sz="4" w:space="0"/>
              <w:right w:val="single" w:color="000000" w:sz="4" w:space="0"/>
            </w:tcBorders>
            <w:vAlign w:val="center"/>
          </w:tcPr>
          <w:p w14:paraId="0731EB24">
            <w:pPr>
              <w:pStyle w:val="72"/>
              <w:rPr>
                <w:rFonts w:hint="default" w:ascii="Times New Roman" w:hAnsi="Times New Roman"/>
                <w:sz w:val="20"/>
                <w:szCs w:val="20"/>
                <w:lang w:val="en-US" w:eastAsia="zh-CN" w:bidi="ar"/>
              </w:rPr>
            </w:pPr>
            <w:r>
              <w:rPr>
                <w:rFonts w:hint="eastAsia" w:ascii="Times New Roman" w:hAnsi="Times New Roman"/>
                <w:sz w:val="20"/>
                <w:szCs w:val="20"/>
                <w:lang w:val="en-US" w:eastAsia="zh-CN" w:bidi="ar"/>
              </w:rPr>
              <w:t>地裂缝</w:t>
            </w:r>
          </w:p>
        </w:tc>
        <w:tc>
          <w:tcPr>
            <w:tcW w:w="521" w:type="pct"/>
            <w:tcBorders>
              <w:top w:val="single" w:color="000000" w:sz="4" w:space="0"/>
              <w:left w:val="single" w:color="000000" w:sz="4" w:space="0"/>
              <w:bottom w:val="single" w:color="000000" w:sz="4" w:space="0"/>
              <w:right w:val="single" w:color="000000" w:sz="4" w:space="0"/>
            </w:tcBorders>
            <w:vAlign w:val="center"/>
          </w:tcPr>
          <w:p w14:paraId="75D5687A">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0</w:t>
            </w:r>
          </w:p>
        </w:tc>
        <w:tc>
          <w:tcPr>
            <w:tcW w:w="927" w:type="pct"/>
            <w:tcBorders>
              <w:top w:val="single" w:color="000000" w:sz="4" w:space="0"/>
              <w:left w:val="single" w:color="000000" w:sz="4" w:space="0"/>
              <w:bottom w:val="nil"/>
              <w:right w:val="single" w:color="000000" w:sz="4" w:space="0"/>
            </w:tcBorders>
            <w:vAlign w:val="center"/>
          </w:tcPr>
          <w:p w14:paraId="470AD3B2">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0</w:t>
            </w:r>
          </w:p>
        </w:tc>
        <w:tc>
          <w:tcPr>
            <w:tcW w:w="931" w:type="pct"/>
            <w:tcBorders>
              <w:top w:val="single" w:color="000000" w:sz="4" w:space="0"/>
              <w:left w:val="single" w:color="000000" w:sz="4" w:space="0"/>
              <w:bottom w:val="single" w:color="000000" w:sz="4" w:space="0"/>
              <w:right w:val="single" w:color="000000" w:sz="4" w:space="0"/>
            </w:tcBorders>
            <w:vAlign w:val="center"/>
          </w:tcPr>
          <w:p w14:paraId="33FD73E0">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0</w:t>
            </w:r>
          </w:p>
        </w:tc>
        <w:tc>
          <w:tcPr>
            <w:tcW w:w="986" w:type="pct"/>
            <w:tcBorders>
              <w:top w:val="single" w:color="000000" w:sz="4" w:space="0"/>
              <w:left w:val="single" w:color="000000" w:sz="4" w:space="0"/>
              <w:bottom w:val="single" w:color="000000" w:sz="4" w:space="0"/>
              <w:right w:val="single" w:color="000000" w:sz="4" w:space="0"/>
            </w:tcBorders>
            <w:vAlign w:val="center"/>
          </w:tcPr>
          <w:p w14:paraId="0D6AD01F">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0</w:t>
            </w:r>
          </w:p>
        </w:tc>
        <w:tc>
          <w:tcPr>
            <w:tcW w:w="838" w:type="pct"/>
            <w:tcBorders>
              <w:top w:val="single" w:color="000000" w:sz="4" w:space="0"/>
              <w:left w:val="single" w:color="000000" w:sz="4" w:space="0"/>
              <w:bottom w:val="single" w:color="000000" w:sz="4" w:space="0"/>
              <w:right w:val="single" w:color="000000" w:sz="4" w:space="0"/>
            </w:tcBorders>
            <w:noWrap/>
            <w:vAlign w:val="center"/>
          </w:tcPr>
          <w:p w14:paraId="7CFDBB6C">
            <w:pPr>
              <w:pStyle w:val="72"/>
              <w:rPr>
                <w:rFonts w:hint="eastAsia" w:ascii="Times New Roman" w:hAnsi="Times New Roman"/>
                <w:sz w:val="20"/>
                <w:szCs w:val="20"/>
                <w:lang w:bidi="ar"/>
              </w:rPr>
            </w:pPr>
          </w:p>
        </w:tc>
      </w:tr>
      <w:tr w14:paraId="7753ECDD">
        <w:tblPrEx>
          <w:tblCellMar>
            <w:top w:w="0" w:type="dxa"/>
            <w:left w:w="108" w:type="dxa"/>
            <w:bottom w:w="0" w:type="dxa"/>
            <w:right w:w="108" w:type="dxa"/>
          </w:tblCellMar>
        </w:tblPrEx>
        <w:trPr>
          <w:trHeight w:val="77" w:hRule="atLeast"/>
        </w:trPr>
        <w:tc>
          <w:tcPr>
            <w:tcW w:w="794" w:type="pct"/>
            <w:tcBorders>
              <w:top w:val="single" w:color="000000" w:sz="4" w:space="0"/>
              <w:left w:val="single" w:color="000000" w:sz="4" w:space="0"/>
              <w:bottom w:val="single" w:color="000000" w:sz="4" w:space="0"/>
              <w:right w:val="single" w:color="auto" w:sz="4" w:space="0"/>
            </w:tcBorders>
            <w:vAlign w:val="center"/>
          </w:tcPr>
          <w:p w14:paraId="13E14174">
            <w:pPr>
              <w:pStyle w:val="72"/>
              <w:rPr>
                <w:rFonts w:ascii="Times New Roman" w:hAnsi="Times New Roman"/>
                <w:sz w:val="20"/>
                <w:szCs w:val="20"/>
              </w:rPr>
            </w:pPr>
            <w:r>
              <w:rPr>
                <w:rFonts w:ascii="Times New Roman" w:hAnsi="Times New Roman"/>
                <w:sz w:val="20"/>
                <w:szCs w:val="20"/>
                <w:lang w:bidi="ar"/>
              </w:rPr>
              <w:t>合计</w:t>
            </w:r>
          </w:p>
        </w:tc>
        <w:tc>
          <w:tcPr>
            <w:tcW w:w="521" w:type="pct"/>
            <w:tcBorders>
              <w:top w:val="single" w:color="auto" w:sz="4" w:space="0"/>
              <w:left w:val="single" w:color="auto" w:sz="4" w:space="0"/>
              <w:bottom w:val="single" w:color="auto" w:sz="4" w:space="0"/>
              <w:right w:val="single" w:color="auto" w:sz="4" w:space="0"/>
            </w:tcBorders>
            <w:vAlign w:val="center"/>
          </w:tcPr>
          <w:p w14:paraId="4398C892">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1.5288</w:t>
            </w:r>
          </w:p>
        </w:tc>
        <w:tc>
          <w:tcPr>
            <w:tcW w:w="927" w:type="pct"/>
            <w:tcBorders>
              <w:top w:val="single" w:color="auto" w:sz="4" w:space="0"/>
              <w:left w:val="single" w:color="auto" w:sz="4" w:space="0"/>
              <w:bottom w:val="single" w:color="auto" w:sz="4" w:space="0"/>
              <w:right w:val="single" w:color="auto" w:sz="4" w:space="0"/>
            </w:tcBorders>
            <w:vAlign w:val="center"/>
          </w:tcPr>
          <w:p w14:paraId="5753632D">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3504</w:t>
            </w:r>
          </w:p>
        </w:tc>
        <w:tc>
          <w:tcPr>
            <w:tcW w:w="931" w:type="pct"/>
            <w:tcBorders>
              <w:top w:val="single" w:color="auto" w:sz="4" w:space="0"/>
              <w:left w:val="single" w:color="auto" w:sz="4" w:space="0"/>
              <w:bottom w:val="single" w:color="auto" w:sz="4" w:space="0"/>
              <w:right w:val="single" w:color="auto" w:sz="4" w:space="0"/>
            </w:tcBorders>
            <w:vAlign w:val="center"/>
          </w:tcPr>
          <w:p w14:paraId="3510A2E5">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1.2</w:t>
            </w:r>
          </w:p>
        </w:tc>
        <w:tc>
          <w:tcPr>
            <w:tcW w:w="986" w:type="pct"/>
            <w:tcBorders>
              <w:top w:val="single" w:color="000000" w:sz="4" w:space="0"/>
              <w:left w:val="single" w:color="auto" w:sz="4" w:space="0"/>
              <w:bottom w:val="single" w:color="000000" w:sz="4" w:space="0"/>
              <w:right w:val="single" w:color="000000" w:sz="4" w:space="0"/>
            </w:tcBorders>
            <w:noWrap/>
            <w:vAlign w:val="center"/>
          </w:tcPr>
          <w:p w14:paraId="5A45F418">
            <w:pPr>
              <w:pStyle w:val="72"/>
              <w:rPr>
                <w:rFonts w:hint="eastAsia" w:ascii="Times New Roman" w:hAnsi="Times New Roman"/>
                <w:sz w:val="20"/>
                <w:szCs w:val="20"/>
                <w:lang w:val="en-US" w:eastAsia="zh-CN"/>
              </w:rPr>
            </w:pPr>
            <w:r>
              <w:rPr>
                <w:rFonts w:hint="eastAsia" w:ascii="Times New Roman" w:hAnsi="Times New Roman"/>
                <w:sz w:val="20"/>
                <w:szCs w:val="20"/>
                <w:lang w:val="en-US" w:eastAsia="zh-CN"/>
              </w:rPr>
              <w:t>4586.4</w:t>
            </w:r>
          </w:p>
        </w:tc>
        <w:tc>
          <w:tcPr>
            <w:tcW w:w="838" w:type="pct"/>
            <w:tcBorders>
              <w:top w:val="single" w:color="000000" w:sz="4" w:space="0"/>
              <w:left w:val="single" w:color="000000" w:sz="4" w:space="0"/>
              <w:bottom w:val="single" w:color="000000" w:sz="4" w:space="0"/>
              <w:right w:val="single" w:color="000000" w:sz="4" w:space="0"/>
            </w:tcBorders>
            <w:vAlign w:val="center"/>
          </w:tcPr>
          <w:p w14:paraId="48B232CE">
            <w:pPr>
              <w:pStyle w:val="72"/>
              <w:rPr>
                <w:rFonts w:hint="default" w:ascii="Times New Roman" w:hAnsi="Times New Roman" w:eastAsia="仿宋"/>
                <w:sz w:val="20"/>
                <w:szCs w:val="20"/>
                <w:highlight w:val="yellow"/>
                <w:lang w:val="en-US" w:eastAsia="zh-CN"/>
              </w:rPr>
            </w:pPr>
            <w:r>
              <w:rPr>
                <w:rFonts w:hint="eastAsia" w:ascii="Times New Roman" w:hAnsi="Times New Roman"/>
                <w:sz w:val="20"/>
                <w:szCs w:val="20"/>
                <w:highlight w:val="none"/>
                <w:lang w:val="en-US" w:eastAsia="zh-CN"/>
              </w:rPr>
              <w:t>需外部协调耕植土1082.4</w:t>
            </w:r>
            <w:r>
              <w:rPr>
                <w:rFonts w:hint="eastAsia"/>
                <w:szCs w:val="28"/>
                <w:highlight w:val="none"/>
              </w:rPr>
              <w:t>m</w:t>
            </w:r>
            <w:r>
              <w:rPr>
                <w:rFonts w:hint="default" w:ascii="Times New Roman" w:hAnsi="Times New Roman" w:cs="Times New Roman"/>
                <w:szCs w:val="28"/>
                <w:highlight w:val="none"/>
              </w:rPr>
              <w:t>³</w:t>
            </w:r>
          </w:p>
        </w:tc>
      </w:tr>
    </w:tbl>
    <w:p w14:paraId="03FDE772">
      <w:pPr>
        <w:pStyle w:val="57"/>
      </w:pPr>
    </w:p>
    <w:p w14:paraId="4BE69DE2">
      <w:pPr>
        <w:pStyle w:val="57"/>
      </w:pPr>
    </w:p>
    <w:p w14:paraId="0CE3E753">
      <w:pPr>
        <w:pStyle w:val="57"/>
      </w:pPr>
    </w:p>
    <w:p w14:paraId="69B2C6EE">
      <w:pPr>
        <w:pStyle w:val="57"/>
        <w:rPr>
          <w:rFonts w:hint="eastAsia"/>
        </w:rPr>
      </w:pPr>
      <w:r>
        <w:t>表4-2表土处置工程汇总表</w:t>
      </w:r>
    </w:p>
    <w:tbl>
      <w:tblPr>
        <w:tblStyle w:val="42"/>
        <w:tblW w:w="5000" w:type="pct"/>
        <w:jc w:val="center"/>
        <w:tblLayout w:type="autofit"/>
        <w:tblCellMar>
          <w:top w:w="0" w:type="dxa"/>
          <w:left w:w="108" w:type="dxa"/>
          <w:bottom w:w="0" w:type="dxa"/>
          <w:right w:w="108" w:type="dxa"/>
        </w:tblCellMar>
      </w:tblPr>
      <w:tblGrid>
        <w:gridCol w:w="500"/>
        <w:gridCol w:w="617"/>
        <w:gridCol w:w="812"/>
        <w:gridCol w:w="952"/>
        <w:gridCol w:w="992"/>
        <w:gridCol w:w="724"/>
        <w:gridCol w:w="885"/>
        <w:gridCol w:w="592"/>
        <w:gridCol w:w="866"/>
        <w:gridCol w:w="847"/>
        <w:gridCol w:w="866"/>
        <w:gridCol w:w="917"/>
      </w:tblGrid>
      <w:tr w14:paraId="373ADF6E">
        <w:tblPrEx>
          <w:tblCellMar>
            <w:top w:w="0" w:type="dxa"/>
            <w:left w:w="108" w:type="dxa"/>
            <w:bottom w:w="0" w:type="dxa"/>
            <w:right w:w="108" w:type="dxa"/>
          </w:tblCellMar>
        </w:tblPrEx>
        <w:trPr>
          <w:trHeight w:val="283" w:hRule="atLeast"/>
          <w:jc w:val="center"/>
        </w:trPr>
        <w:tc>
          <w:tcPr>
            <w:tcW w:w="261" w:type="pct"/>
            <w:vMerge w:val="restart"/>
            <w:tcBorders>
              <w:top w:val="single" w:color="000000" w:sz="4" w:space="0"/>
              <w:left w:val="single" w:color="000000" w:sz="4" w:space="0"/>
              <w:bottom w:val="single" w:color="000000" w:sz="4" w:space="0"/>
              <w:right w:val="single" w:color="000000" w:sz="4" w:space="0"/>
            </w:tcBorders>
            <w:vAlign w:val="center"/>
          </w:tcPr>
          <w:p w14:paraId="0A8680FD">
            <w:pPr>
              <w:pStyle w:val="72"/>
              <w:rPr>
                <w:rFonts w:ascii="Times New Roman" w:hAnsi="Times New Roman"/>
              </w:rPr>
            </w:pPr>
            <w:r>
              <w:rPr>
                <w:rFonts w:ascii="Times New Roman" w:hAnsi="Times New Roman"/>
                <w:lang w:bidi="ar"/>
              </w:rPr>
              <w:t>序号</w:t>
            </w:r>
          </w:p>
        </w:tc>
        <w:tc>
          <w:tcPr>
            <w:tcW w:w="322" w:type="pct"/>
            <w:vMerge w:val="restart"/>
            <w:tcBorders>
              <w:top w:val="single" w:color="000000" w:sz="4" w:space="0"/>
              <w:left w:val="single" w:color="000000" w:sz="4" w:space="0"/>
              <w:bottom w:val="single" w:color="000000" w:sz="4" w:space="0"/>
              <w:right w:val="single" w:color="000000" w:sz="4" w:space="0"/>
            </w:tcBorders>
            <w:vAlign w:val="center"/>
          </w:tcPr>
          <w:p w14:paraId="650F2C4B">
            <w:pPr>
              <w:pStyle w:val="72"/>
              <w:rPr>
                <w:rFonts w:ascii="Times New Roman" w:hAnsi="Times New Roman"/>
              </w:rPr>
            </w:pPr>
            <w:r>
              <w:rPr>
                <w:rFonts w:ascii="Times New Roman" w:hAnsi="Times New Roman"/>
                <w:lang w:bidi="ar"/>
              </w:rPr>
              <w:t>原地类</w:t>
            </w:r>
          </w:p>
        </w:tc>
        <w:tc>
          <w:tcPr>
            <w:tcW w:w="424" w:type="pct"/>
            <w:vMerge w:val="restart"/>
            <w:tcBorders>
              <w:top w:val="single" w:color="000000" w:sz="4" w:space="0"/>
              <w:left w:val="single" w:color="000000" w:sz="4" w:space="0"/>
              <w:bottom w:val="single" w:color="000000" w:sz="4" w:space="0"/>
              <w:right w:val="single" w:color="000000" w:sz="4" w:space="0"/>
            </w:tcBorders>
            <w:vAlign w:val="center"/>
          </w:tcPr>
          <w:p w14:paraId="122336E7">
            <w:pPr>
              <w:pStyle w:val="72"/>
              <w:rPr>
                <w:rFonts w:ascii="Times New Roman" w:hAnsi="Times New Roman"/>
              </w:rPr>
            </w:pPr>
            <w:r>
              <w:rPr>
                <w:rFonts w:ascii="Times New Roman" w:hAnsi="Times New Roman"/>
                <w:lang w:bidi="ar"/>
              </w:rPr>
              <w:t>范围</w:t>
            </w:r>
          </w:p>
        </w:tc>
        <w:tc>
          <w:tcPr>
            <w:tcW w:w="497" w:type="pct"/>
            <w:vMerge w:val="restart"/>
            <w:tcBorders>
              <w:top w:val="single" w:color="000000" w:sz="4" w:space="0"/>
              <w:left w:val="single" w:color="000000" w:sz="4" w:space="0"/>
              <w:right w:val="single" w:color="000000" w:sz="4" w:space="0"/>
            </w:tcBorders>
            <w:vAlign w:val="center"/>
          </w:tcPr>
          <w:p w14:paraId="774D5C89">
            <w:pPr>
              <w:pStyle w:val="72"/>
              <w:rPr>
                <w:rFonts w:ascii="Times New Roman" w:hAnsi="Times New Roman"/>
              </w:rPr>
            </w:pPr>
            <w:r>
              <w:rPr>
                <w:rFonts w:ascii="Times New Roman" w:hAnsi="Times New Roman"/>
                <w:lang w:bidi="ar"/>
              </w:rPr>
              <w:t>面积</w:t>
            </w:r>
          </w:p>
          <w:p w14:paraId="6BFE06D8">
            <w:pPr>
              <w:pStyle w:val="72"/>
              <w:rPr>
                <w:rFonts w:ascii="Times New Roman" w:hAnsi="Times New Roman"/>
              </w:rPr>
            </w:pPr>
            <w:r>
              <w:rPr>
                <w:rFonts w:ascii="Times New Roman" w:hAnsi="Times New Roman"/>
                <w:lang w:bidi="ar"/>
              </w:rPr>
              <w:t>hm²</w:t>
            </w:r>
          </w:p>
        </w:tc>
        <w:tc>
          <w:tcPr>
            <w:tcW w:w="1358" w:type="pct"/>
            <w:gridSpan w:val="3"/>
            <w:tcBorders>
              <w:top w:val="single" w:color="000000" w:sz="4" w:space="0"/>
              <w:left w:val="single" w:color="000000" w:sz="4" w:space="0"/>
              <w:bottom w:val="single" w:color="000000" w:sz="4" w:space="0"/>
              <w:right w:val="single" w:color="000000" w:sz="4" w:space="0"/>
            </w:tcBorders>
            <w:vAlign w:val="center"/>
          </w:tcPr>
          <w:p w14:paraId="0B597EE3">
            <w:pPr>
              <w:pStyle w:val="72"/>
              <w:rPr>
                <w:rFonts w:ascii="Times New Roman" w:hAnsi="Times New Roman"/>
              </w:rPr>
            </w:pPr>
            <w:r>
              <w:rPr>
                <w:rFonts w:ascii="Times New Roman" w:hAnsi="Times New Roman"/>
                <w:lang w:bidi="ar"/>
              </w:rPr>
              <w:t>表土剥离</w:t>
            </w:r>
          </w:p>
        </w:tc>
        <w:tc>
          <w:tcPr>
            <w:tcW w:w="761" w:type="pct"/>
            <w:gridSpan w:val="2"/>
            <w:tcBorders>
              <w:top w:val="single" w:color="000000" w:sz="4" w:space="0"/>
              <w:left w:val="single" w:color="000000" w:sz="4" w:space="0"/>
              <w:bottom w:val="single" w:color="000000" w:sz="4" w:space="0"/>
              <w:right w:val="single" w:color="000000" w:sz="4" w:space="0"/>
            </w:tcBorders>
            <w:vAlign w:val="center"/>
          </w:tcPr>
          <w:p w14:paraId="03658C08">
            <w:pPr>
              <w:pStyle w:val="72"/>
              <w:rPr>
                <w:rFonts w:ascii="Times New Roman" w:hAnsi="Times New Roman"/>
              </w:rPr>
            </w:pPr>
            <w:r>
              <w:rPr>
                <w:rFonts w:ascii="Times New Roman" w:hAnsi="Times New Roman"/>
                <w:lang w:bidi="ar"/>
              </w:rPr>
              <w:t>表土储存</w:t>
            </w:r>
          </w:p>
        </w:tc>
        <w:tc>
          <w:tcPr>
            <w:tcW w:w="1372" w:type="pct"/>
            <w:gridSpan w:val="3"/>
            <w:tcBorders>
              <w:top w:val="single" w:color="000000" w:sz="4" w:space="0"/>
              <w:left w:val="single" w:color="000000" w:sz="4" w:space="0"/>
              <w:bottom w:val="single" w:color="000000" w:sz="4" w:space="0"/>
              <w:right w:val="single" w:color="000000" w:sz="4" w:space="0"/>
            </w:tcBorders>
            <w:vAlign w:val="center"/>
          </w:tcPr>
          <w:p w14:paraId="16041F8B">
            <w:pPr>
              <w:pStyle w:val="72"/>
              <w:rPr>
                <w:rFonts w:ascii="Times New Roman" w:hAnsi="Times New Roman"/>
                <w:lang w:bidi="ar"/>
              </w:rPr>
            </w:pPr>
            <w:r>
              <w:rPr>
                <w:rFonts w:ascii="Times New Roman" w:hAnsi="Times New Roman"/>
                <w:lang w:bidi="ar"/>
              </w:rPr>
              <w:t>表土利用</w:t>
            </w:r>
          </w:p>
        </w:tc>
      </w:tr>
      <w:tr w14:paraId="46CFF1D0">
        <w:tblPrEx>
          <w:tblCellMar>
            <w:top w:w="0" w:type="dxa"/>
            <w:left w:w="108" w:type="dxa"/>
            <w:bottom w:w="0" w:type="dxa"/>
            <w:right w:w="108" w:type="dxa"/>
          </w:tblCellMar>
        </w:tblPrEx>
        <w:trPr>
          <w:trHeight w:val="817" w:hRule="atLeast"/>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689A40D2">
            <w:pPr>
              <w:pStyle w:val="72"/>
              <w:rPr>
                <w:rFonts w:ascii="Times New Roman" w:hAnsi="Times New Roman"/>
              </w:rPr>
            </w:pPr>
          </w:p>
        </w:tc>
        <w:tc>
          <w:tcPr>
            <w:tcW w:w="322" w:type="pct"/>
            <w:vMerge w:val="continue"/>
            <w:tcBorders>
              <w:top w:val="single" w:color="000000" w:sz="4" w:space="0"/>
              <w:left w:val="single" w:color="000000" w:sz="4" w:space="0"/>
              <w:bottom w:val="single" w:color="000000" w:sz="4" w:space="0"/>
              <w:right w:val="single" w:color="000000" w:sz="4" w:space="0"/>
            </w:tcBorders>
            <w:vAlign w:val="center"/>
          </w:tcPr>
          <w:p w14:paraId="00B5AB88">
            <w:pPr>
              <w:pStyle w:val="72"/>
              <w:rPr>
                <w:rFonts w:ascii="Times New Roman" w:hAnsi="Times New Roman"/>
              </w:rPr>
            </w:pPr>
          </w:p>
        </w:tc>
        <w:tc>
          <w:tcPr>
            <w:tcW w:w="424" w:type="pct"/>
            <w:vMerge w:val="continue"/>
            <w:tcBorders>
              <w:top w:val="single" w:color="000000" w:sz="4" w:space="0"/>
              <w:left w:val="single" w:color="000000" w:sz="4" w:space="0"/>
              <w:bottom w:val="single" w:color="000000" w:sz="4" w:space="0"/>
              <w:right w:val="single" w:color="000000" w:sz="4" w:space="0"/>
            </w:tcBorders>
            <w:vAlign w:val="center"/>
          </w:tcPr>
          <w:p w14:paraId="548241D1">
            <w:pPr>
              <w:pStyle w:val="72"/>
              <w:rPr>
                <w:rFonts w:ascii="Times New Roman" w:hAnsi="Times New Roman"/>
              </w:rPr>
            </w:pPr>
          </w:p>
        </w:tc>
        <w:tc>
          <w:tcPr>
            <w:tcW w:w="497" w:type="pct"/>
            <w:vMerge w:val="continue"/>
            <w:tcBorders>
              <w:left w:val="single" w:color="000000" w:sz="4" w:space="0"/>
              <w:bottom w:val="single" w:color="000000" w:sz="4" w:space="0"/>
              <w:right w:val="single" w:color="000000" w:sz="4" w:space="0"/>
            </w:tcBorders>
            <w:vAlign w:val="center"/>
          </w:tcPr>
          <w:p w14:paraId="2423DEB9">
            <w:pPr>
              <w:pStyle w:val="72"/>
              <w:rPr>
                <w:rFonts w:ascii="Times New Roman" w:hAnsi="Times New Roman"/>
              </w:rPr>
            </w:pPr>
          </w:p>
        </w:tc>
        <w:tc>
          <w:tcPr>
            <w:tcW w:w="518" w:type="pct"/>
            <w:tcBorders>
              <w:top w:val="single" w:color="000000" w:sz="4" w:space="0"/>
              <w:left w:val="single" w:color="000000" w:sz="4" w:space="0"/>
              <w:bottom w:val="single" w:color="000000" w:sz="4" w:space="0"/>
              <w:right w:val="single" w:color="000000" w:sz="4" w:space="0"/>
            </w:tcBorders>
            <w:vAlign w:val="center"/>
          </w:tcPr>
          <w:p w14:paraId="0F241E73">
            <w:pPr>
              <w:pStyle w:val="72"/>
              <w:rPr>
                <w:rFonts w:ascii="Times New Roman" w:hAnsi="Times New Roman"/>
              </w:rPr>
            </w:pPr>
            <w:r>
              <w:rPr>
                <w:rFonts w:ascii="Times New Roman" w:hAnsi="Times New Roman"/>
                <w:lang w:bidi="ar"/>
              </w:rPr>
              <w:t>时间段</w:t>
            </w:r>
          </w:p>
        </w:tc>
        <w:tc>
          <w:tcPr>
            <w:tcW w:w="378" w:type="pct"/>
            <w:tcBorders>
              <w:top w:val="single" w:color="000000" w:sz="4" w:space="0"/>
              <w:left w:val="single" w:color="000000" w:sz="4" w:space="0"/>
              <w:bottom w:val="single" w:color="000000" w:sz="4" w:space="0"/>
              <w:right w:val="single" w:color="000000" w:sz="4" w:space="0"/>
            </w:tcBorders>
            <w:vAlign w:val="center"/>
          </w:tcPr>
          <w:p w14:paraId="77B0E0F0">
            <w:pPr>
              <w:pStyle w:val="72"/>
              <w:rPr>
                <w:rFonts w:ascii="Times New Roman" w:hAnsi="Times New Roman"/>
              </w:rPr>
            </w:pPr>
            <w:r>
              <w:rPr>
                <w:rFonts w:ascii="Times New Roman" w:hAnsi="Times New Roman"/>
                <w:lang w:bidi="ar"/>
              </w:rPr>
              <w:t>厚度</w:t>
            </w:r>
          </w:p>
        </w:tc>
        <w:tc>
          <w:tcPr>
            <w:tcW w:w="460" w:type="pct"/>
            <w:tcBorders>
              <w:top w:val="single" w:color="000000" w:sz="4" w:space="0"/>
              <w:left w:val="single" w:color="000000" w:sz="4" w:space="0"/>
              <w:bottom w:val="single" w:color="000000" w:sz="4" w:space="0"/>
              <w:right w:val="single" w:color="000000" w:sz="4" w:space="0"/>
            </w:tcBorders>
            <w:vAlign w:val="center"/>
          </w:tcPr>
          <w:p w14:paraId="57B25C1C">
            <w:pPr>
              <w:pStyle w:val="72"/>
              <w:rPr>
                <w:rFonts w:ascii="Times New Roman" w:hAnsi="Times New Roman"/>
              </w:rPr>
            </w:pPr>
            <w:r>
              <w:rPr>
                <w:rFonts w:ascii="Times New Roman" w:hAnsi="Times New Roman"/>
                <w:lang w:bidi="ar"/>
              </w:rPr>
              <w:t>土方量</w:t>
            </w:r>
          </w:p>
        </w:tc>
        <w:tc>
          <w:tcPr>
            <w:tcW w:w="309" w:type="pct"/>
            <w:tcBorders>
              <w:top w:val="single" w:color="000000" w:sz="4" w:space="0"/>
              <w:left w:val="single" w:color="000000" w:sz="4" w:space="0"/>
              <w:bottom w:val="single" w:color="000000" w:sz="4" w:space="0"/>
              <w:right w:val="single" w:color="000000" w:sz="4" w:space="0"/>
            </w:tcBorders>
            <w:vAlign w:val="center"/>
          </w:tcPr>
          <w:p w14:paraId="70848100">
            <w:pPr>
              <w:pStyle w:val="72"/>
              <w:rPr>
                <w:rFonts w:ascii="Times New Roman" w:hAnsi="Times New Roman"/>
              </w:rPr>
            </w:pPr>
            <w:r>
              <w:rPr>
                <w:rFonts w:ascii="Times New Roman" w:hAnsi="Times New Roman"/>
                <w:lang w:bidi="ar"/>
              </w:rPr>
              <w:t>位置</w:t>
            </w:r>
          </w:p>
        </w:tc>
        <w:tc>
          <w:tcPr>
            <w:tcW w:w="451" w:type="pct"/>
            <w:tcBorders>
              <w:top w:val="single" w:color="000000" w:sz="4" w:space="0"/>
              <w:left w:val="single" w:color="000000" w:sz="4" w:space="0"/>
              <w:bottom w:val="single" w:color="000000" w:sz="4" w:space="0"/>
              <w:right w:val="single" w:color="000000" w:sz="4" w:space="0"/>
            </w:tcBorders>
            <w:vAlign w:val="center"/>
          </w:tcPr>
          <w:p w14:paraId="2655CD3F">
            <w:pPr>
              <w:pStyle w:val="72"/>
              <w:rPr>
                <w:rFonts w:ascii="Times New Roman" w:hAnsi="Times New Roman"/>
              </w:rPr>
            </w:pPr>
            <w:r>
              <w:rPr>
                <w:rFonts w:ascii="Times New Roman" w:hAnsi="Times New Roman"/>
                <w:lang w:bidi="ar"/>
              </w:rPr>
              <w:t>养护</w:t>
            </w:r>
            <w:r>
              <w:rPr>
                <w:rFonts w:ascii="Times New Roman" w:hAnsi="Times New Roman"/>
                <w:lang w:bidi="ar"/>
              </w:rPr>
              <w:br w:type="textWrapping"/>
            </w:r>
            <w:r>
              <w:rPr>
                <w:rFonts w:ascii="Times New Roman" w:hAnsi="Times New Roman"/>
                <w:lang w:bidi="ar"/>
              </w:rPr>
              <w:t>措施</w:t>
            </w:r>
          </w:p>
        </w:tc>
        <w:tc>
          <w:tcPr>
            <w:tcW w:w="442" w:type="pct"/>
            <w:tcBorders>
              <w:top w:val="single" w:color="000000" w:sz="4" w:space="0"/>
              <w:left w:val="single" w:color="000000" w:sz="4" w:space="0"/>
              <w:bottom w:val="single" w:color="000000" w:sz="4" w:space="0"/>
              <w:right w:val="single" w:color="000000" w:sz="4" w:space="0"/>
            </w:tcBorders>
            <w:vAlign w:val="center"/>
          </w:tcPr>
          <w:p w14:paraId="44AFA142">
            <w:pPr>
              <w:pStyle w:val="72"/>
              <w:rPr>
                <w:rFonts w:ascii="Times New Roman" w:hAnsi="Times New Roman"/>
              </w:rPr>
            </w:pPr>
            <w:r>
              <w:rPr>
                <w:rFonts w:ascii="Times New Roman" w:hAnsi="Times New Roman"/>
                <w:lang w:bidi="ar"/>
              </w:rPr>
              <w:t>利用</w:t>
            </w:r>
            <w:r>
              <w:rPr>
                <w:rFonts w:ascii="Times New Roman" w:hAnsi="Times New Roman"/>
                <w:lang w:bidi="ar"/>
              </w:rPr>
              <w:br w:type="textWrapping"/>
            </w:r>
            <w:r>
              <w:rPr>
                <w:rFonts w:ascii="Times New Roman" w:hAnsi="Times New Roman"/>
                <w:lang w:bidi="ar"/>
              </w:rPr>
              <w:t>方式</w:t>
            </w:r>
          </w:p>
        </w:tc>
        <w:tc>
          <w:tcPr>
            <w:tcW w:w="452" w:type="pct"/>
            <w:tcBorders>
              <w:top w:val="single" w:color="000000" w:sz="4" w:space="0"/>
              <w:left w:val="single" w:color="000000" w:sz="4" w:space="0"/>
              <w:bottom w:val="single" w:color="000000" w:sz="4" w:space="0"/>
              <w:right w:val="single" w:color="000000" w:sz="4" w:space="0"/>
            </w:tcBorders>
            <w:vAlign w:val="center"/>
          </w:tcPr>
          <w:p w14:paraId="20CA43BC">
            <w:pPr>
              <w:pStyle w:val="72"/>
              <w:rPr>
                <w:rFonts w:ascii="Times New Roman" w:hAnsi="Times New Roman"/>
              </w:rPr>
            </w:pPr>
            <w:r>
              <w:rPr>
                <w:rFonts w:ascii="Times New Roman" w:hAnsi="Times New Roman"/>
                <w:lang w:bidi="ar"/>
              </w:rPr>
              <w:t>利用</w:t>
            </w:r>
            <w:r>
              <w:rPr>
                <w:rFonts w:ascii="Times New Roman" w:hAnsi="Times New Roman"/>
                <w:lang w:bidi="ar"/>
              </w:rPr>
              <w:br w:type="textWrapping"/>
            </w:r>
            <w:r>
              <w:rPr>
                <w:rFonts w:ascii="Times New Roman" w:hAnsi="Times New Roman"/>
                <w:lang w:bidi="ar"/>
              </w:rPr>
              <w:t>时间</w:t>
            </w:r>
          </w:p>
        </w:tc>
        <w:tc>
          <w:tcPr>
            <w:tcW w:w="477" w:type="pct"/>
            <w:tcBorders>
              <w:top w:val="single" w:color="000000" w:sz="4" w:space="0"/>
              <w:left w:val="single" w:color="000000" w:sz="4" w:space="0"/>
              <w:bottom w:val="single" w:color="000000" w:sz="4" w:space="0"/>
              <w:right w:val="single" w:color="000000" w:sz="4" w:space="0"/>
            </w:tcBorders>
            <w:vAlign w:val="center"/>
          </w:tcPr>
          <w:p w14:paraId="0A954636">
            <w:pPr>
              <w:pStyle w:val="72"/>
              <w:rPr>
                <w:rFonts w:ascii="Times New Roman" w:hAnsi="Times New Roman"/>
                <w:lang w:bidi="ar"/>
              </w:rPr>
            </w:pPr>
            <w:r>
              <w:rPr>
                <w:rFonts w:hint="eastAsia" w:ascii="Times New Roman" w:hAnsi="Times New Roman"/>
                <w:lang w:bidi="ar"/>
              </w:rPr>
              <w:t>表土</w:t>
            </w:r>
          </w:p>
          <w:p w14:paraId="1BB340F7">
            <w:pPr>
              <w:pStyle w:val="72"/>
              <w:rPr>
                <w:rFonts w:ascii="Times New Roman" w:hAnsi="Times New Roman"/>
                <w:lang w:bidi="ar"/>
              </w:rPr>
            </w:pPr>
            <w:r>
              <w:rPr>
                <w:rFonts w:hint="eastAsia" w:ascii="Times New Roman" w:hAnsi="Times New Roman"/>
                <w:lang w:bidi="ar"/>
              </w:rPr>
              <w:t>利用数量</w:t>
            </w:r>
          </w:p>
        </w:tc>
      </w:tr>
      <w:tr w14:paraId="4E6A2078">
        <w:tblPrEx>
          <w:tblCellMar>
            <w:top w:w="0" w:type="dxa"/>
            <w:left w:w="108" w:type="dxa"/>
            <w:bottom w:w="0" w:type="dxa"/>
            <w:right w:w="108" w:type="dxa"/>
          </w:tblCellMar>
        </w:tblPrEx>
        <w:trPr>
          <w:trHeight w:val="576" w:hRule="atLeast"/>
          <w:jc w:val="center"/>
        </w:trPr>
        <w:tc>
          <w:tcPr>
            <w:tcW w:w="261" w:type="pct"/>
            <w:tcBorders>
              <w:top w:val="single" w:color="000000" w:sz="4" w:space="0"/>
              <w:left w:val="single" w:color="000000" w:sz="4" w:space="0"/>
              <w:bottom w:val="single" w:color="000000" w:sz="4" w:space="0"/>
              <w:right w:val="single" w:color="000000" w:sz="4" w:space="0"/>
            </w:tcBorders>
            <w:vAlign w:val="center"/>
          </w:tcPr>
          <w:p w14:paraId="3C21968E">
            <w:pPr>
              <w:pStyle w:val="72"/>
              <w:rPr>
                <w:rFonts w:ascii="Times New Roman" w:hAnsi="Times New Roman"/>
              </w:rPr>
            </w:pPr>
            <w:r>
              <w:rPr>
                <w:rFonts w:ascii="Times New Roman" w:hAnsi="Times New Roman"/>
                <w:lang w:bidi="ar"/>
              </w:rPr>
              <w:t>1</w:t>
            </w:r>
          </w:p>
        </w:tc>
        <w:tc>
          <w:tcPr>
            <w:tcW w:w="322" w:type="pct"/>
            <w:tcBorders>
              <w:top w:val="single" w:color="000000" w:sz="4" w:space="0"/>
              <w:left w:val="single" w:color="000000" w:sz="4" w:space="0"/>
              <w:bottom w:val="single" w:color="000000" w:sz="4" w:space="0"/>
              <w:right w:val="single" w:color="000000" w:sz="4" w:space="0"/>
            </w:tcBorders>
            <w:vAlign w:val="center"/>
          </w:tcPr>
          <w:p w14:paraId="7523EEA6">
            <w:pPr>
              <w:pStyle w:val="72"/>
              <w:rPr>
                <w:rFonts w:hint="eastAsia" w:ascii="Times New Roman" w:hAnsi="Times New Roman" w:eastAsia="仿宋"/>
                <w:lang w:eastAsia="zh-CN"/>
              </w:rPr>
            </w:pPr>
            <w:r>
              <w:rPr>
                <w:rFonts w:hint="eastAsia" w:ascii="Times New Roman" w:hAnsi="Times New Roman"/>
                <w:lang w:val="en-US" w:eastAsia="zh-CN" w:bidi="ar"/>
              </w:rPr>
              <w:t>乔木林地</w:t>
            </w:r>
          </w:p>
        </w:tc>
        <w:tc>
          <w:tcPr>
            <w:tcW w:w="424" w:type="pct"/>
            <w:tcBorders>
              <w:top w:val="single" w:color="000000" w:sz="4" w:space="0"/>
              <w:left w:val="single" w:color="000000" w:sz="4" w:space="0"/>
              <w:right w:val="single" w:color="000000" w:sz="4" w:space="0"/>
            </w:tcBorders>
            <w:vAlign w:val="center"/>
          </w:tcPr>
          <w:p w14:paraId="7E873B14">
            <w:pPr>
              <w:pStyle w:val="72"/>
              <w:rPr>
                <w:rFonts w:ascii="Times New Roman" w:hAnsi="Times New Roman"/>
              </w:rPr>
            </w:pPr>
            <w:r>
              <w:rPr>
                <w:rFonts w:ascii="Times New Roman" w:hAnsi="Times New Roman"/>
                <w:lang w:bidi="ar"/>
              </w:rPr>
              <w:t>矿区内</w:t>
            </w:r>
          </w:p>
        </w:tc>
        <w:tc>
          <w:tcPr>
            <w:tcW w:w="497" w:type="pct"/>
            <w:tcBorders>
              <w:top w:val="single" w:color="000000" w:sz="4" w:space="0"/>
              <w:left w:val="single" w:color="000000" w:sz="4" w:space="0"/>
              <w:right w:val="single" w:color="000000" w:sz="4" w:space="0"/>
            </w:tcBorders>
            <w:vAlign w:val="center"/>
          </w:tcPr>
          <w:p w14:paraId="24F27A4F">
            <w:pPr>
              <w:pStyle w:val="72"/>
              <w:rPr>
                <w:rFonts w:hint="default" w:ascii="Times New Roman" w:hAnsi="Times New Roman"/>
                <w:lang w:val="en-US" w:eastAsia="zh-CN" w:bidi="ar"/>
              </w:rPr>
            </w:pPr>
            <w:r>
              <w:rPr>
                <w:rFonts w:hint="eastAsia" w:ascii="Times New Roman" w:hAnsi="Times New Roman"/>
                <w:lang w:val="en-US" w:eastAsia="zh-CN" w:bidi="ar"/>
              </w:rPr>
              <w:t>0.03</w:t>
            </w:r>
          </w:p>
        </w:tc>
        <w:tc>
          <w:tcPr>
            <w:tcW w:w="518" w:type="pct"/>
            <w:tcBorders>
              <w:top w:val="single" w:color="000000" w:sz="4" w:space="0"/>
              <w:left w:val="single" w:color="000000" w:sz="4" w:space="0"/>
              <w:bottom w:val="single" w:color="000000" w:sz="4" w:space="0"/>
              <w:right w:val="single" w:color="000000" w:sz="4" w:space="0"/>
            </w:tcBorders>
            <w:vAlign w:val="center"/>
          </w:tcPr>
          <w:p w14:paraId="054AEEE9">
            <w:pPr>
              <w:pStyle w:val="72"/>
              <w:rPr>
                <w:rFonts w:hint="eastAsia" w:ascii="Times New Roman" w:hAnsi="Times New Roman" w:eastAsia="仿宋"/>
                <w:lang w:eastAsia="zh-CN"/>
              </w:rPr>
            </w:pPr>
            <w:r>
              <w:rPr>
                <w:rFonts w:hint="eastAsia" w:ascii="Times New Roman" w:hAnsi="Times New Roman"/>
                <w:lang w:val="en-US" w:eastAsia="zh-CN" w:bidi="ar"/>
              </w:rPr>
              <w:t>复垦起</w:t>
            </w:r>
          </w:p>
        </w:tc>
        <w:tc>
          <w:tcPr>
            <w:tcW w:w="378" w:type="pct"/>
            <w:tcBorders>
              <w:top w:val="single" w:color="000000" w:sz="4" w:space="0"/>
              <w:left w:val="single" w:color="000000" w:sz="4" w:space="0"/>
              <w:bottom w:val="single" w:color="000000" w:sz="4" w:space="0"/>
              <w:right w:val="single" w:color="000000" w:sz="4" w:space="0"/>
            </w:tcBorders>
            <w:noWrap/>
            <w:vAlign w:val="center"/>
          </w:tcPr>
          <w:p w14:paraId="26BC1BB1">
            <w:pPr>
              <w:pStyle w:val="72"/>
              <w:rPr>
                <w:rFonts w:ascii="Times New Roman" w:hAnsi="Times New Roman"/>
              </w:rPr>
            </w:pPr>
            <w:r>
              <w:rPr>
                <w:rFonts w:ascii="Times New Roman" w:hAnsi="Times New Roman"/>
                <w:lang w:bidi="ar"/>
              </w:rPr>
              <w:t>0</w:t>
            </w:r>
            <w:r>
              <w:rPr>
                <w:rFonts w:hint="eastAsia" w:ascii="Times New Roman" w:hAnsi="Times New Roman"/>
                <w:lang w:bidi="ar"/>
              </w:rPr>
              <w:t>.</w:t>
            </w:r>
            <w:r>
              <w:rPr>
                <w:rFonts w:hint="eastAsia" w:ascii="Times New Roman" w:hAnsi="Times New Roman"/>
                <w:lang w:val="en-US" w:eastAsia="zh-CN" w:bidi="ar"/>
              </w:rPr>
              <w:t>3</w:t>
            </w:r>
            <w:r>
              <w:rPr>
                <w:rFonts w:ascii="Times New Roman" w:hAnsi="Times New Roman"/>
                <w:lang w:bidi="ar"/>
              </w:rPr>
              <w:t>m</w:t>
            </w:r>
          </w:p>
        </w:tc>
        <w:tc>
          <w:tcPr>
            <w:tcW w:w="460" w:type="pct"/>
            <w:tcBorders>
              <w:top w:val="single" w:color="000000" w:sz="4" w:space="0"/>
              <w:left w:val="single" w:color="000000" w:sz="4" w:space="0"/>
              <w:bottom w:val="single" w:color="000000" w:sz="4" w:space="0"/>
              <w:right w:val="single" w:color="000000" w:sz="4" w:space="0"/>
            </w:tcBorders>
            <w:vAlign w:val="center"/>
          </w:tcPr>
          <w:p w14:paraId="197F0DE0">
            <w:pPr>
              <w:pStyle w:val="72"/>
              <w:rPr>
                <w:rFonts w:hint="eastAsia" w:ascii="Times New Roman" w:hAnsi="Times New Roman" w:eastAsia="仿宋"/>
                <w:lang w:eastAsia="zh-CN"/>
              </w:rPr>
            </w:pPr>
            <w:r>
              <w:rPr>
                <w:rFonts w:hint="eastAsia" w:ascii="Times New Roman" w:hAnsi="Times New Roman"/>
                <w:lang w:eastAsia="zh-CN" w:bidi="ar"/>
              </w:rPr>
              <w:t>3504</w:t>
            </w:r>
          </w:p>
        </w:tc>
        <w:tc>
          <w:tcPr>
            <w:tcW w:w="309" w:type="pct"/>
            <w:tcBorders>
              <w:top w:val="single" w:color="000000" w:sz="4" w:space="0"/>
              <w:left w:val="single" w:color="000000" w:sz="4" w:space="0"/>
              <w:bottom w:val="single" w:color="000000" w:sz="4" w:space="0"/>
              <w:right w:val="single" w:color="000000" w:sz="4" w:space="0"/>
            </w:tcBorders>
            <w:vAlign w:val="center"/>
          </w:tcPr>
          <w:p w14:paraId="5E3A7CAF">
            <w:pPr>
              <w:pStyle w:val="72"/>
              <w:rPr>
                <w:rFonts w:hint="eastAsia" w:ascii="Times New Roman" w:hAnsi="Times New Roman" w:eastAsia="仿宋"/>
                <w:lang w:eastAsia="zh-CN"/>
              </w:rPr>
            </w:pPr>
            <w:r>
              <w:rPr>
                <w:rFonts w:hint="eastAsia" w:ascii="Times New Roman" w:hAnsi="Times New Roman"/>
                <w:lang w:val="en-US" w:eastAsia="zh-CN" w:bidi="ar"/>
              </w:rPr>
              <w:t>表土堆场</w:t>
            </w:r>
          </w:p>
        </w:tc>
        <w:tc>
          <w:tcPr>
            <w:tcW w:w="451" w:type="pct"/>
            <w:tcBorders>
              <w:top w:val="single" w:color="000000" w:sz="4" w:space="0"/>
              <w:left w:val="single" w:color="000000" w:sz="4" w:space="0"/>
              <w:bottom w:val="single" w:color="000000" w:sz="4" w:space="0"/>
              <w:right w:val="single" w:color="000000" w:sz="4" w:space="0"/>
            </w:tcBorders>
            <w:vAlign w:val="center"/>
          </w:tcPr>
          <w:p w14:paraId="7BD4FEDF">
            <w:pPr>
              <w:pStyle w:val="72"/>
              <w:rPr>
                <w:rFonts w:hint="eastAsia" w:ascii="Times New Roman" w:hAnsi="Times New Roman" w:eastAsia="仿宋"/>
                <w:lang w:eastAsia="zh-CN"/>
              </w:rPr>
            </w:pPr>
            <w:r>
              <w:rPr>
                <w:rFonts w:hint="eastAsia" w:ascii="Times New Roman" w:hAnsi="Times New Roman"/>
                <w:sz w:val="20"/>
                <w:szCs w:val="20"/>
                <w:lang w:val="en-US" w:eastAsia="zh-CN" w:bidi="ar"/>
              </w:rPr>
              <w:t>撒播紫花苜蓿</w:t>
            </w:r>
          </w:p>
        </w:tc>
        <w:tc>
          <w:tcPr>
            <w:tcW w:w="442" w:type="pct"/>
            <w:tcBorders>
              <w:top w:val="single" w:color="000000" w:sz="4" w:space="0"/>
              <w:left w:val="single" w:color="000000" w:sz="4" w:space="0"/>
              <w:bottom w:val="single" w:color="000000" w:sz="4" w:space="0"/>
              <w:right w:val="single" w:color="000000" w:sz="4" w:space="0"/>
            </w:tcBorders>
            <w:vAlign w:val="center"/>
          </w:tcPr>
          <w:p w14:paraId="35429E55">
            <w:pPr>
              <w:pStyle w:val="72"/>
              <w:rPr>
                <w:rFonts w:hint="eastAsia" w:ascii="Times New Roman" w:hAnsi="Times New Roman" w:eastAsia="仿宋"/>
                <w:lang w:val="en-US" w:eastAsia="zh-CN"/>
              </w:rPr>
            </w:pPr>
            <w:r>
              <w:rPr>
                <w:rFonts w:hint="eastAsia" w:ascii="Times New Roman" w:hAnsi="Times New Roman"/>
                <w:lang w:val="en-US" w:eastAsia="zh-CN"/>
              </w:rPr>
              <w:t>复垦区</w:t>
            </w:r>
          </w:p>
        </w:tc>
        <w:tc>
          <w:tcPr>
            <w:tcW w:w="452" w:type="pct"/>
            <w:tcBorders>
              <w:top w:val="single" w:color="000000" w:sz="4" w:space="0"/>
              <w:left w:val="single" w:color="000000" w:sz="4" w:space="0"/>
              <w:bottom w:val="single" w:color="000000" w:sz="4" w:space="0"/>
              <w:right w:val="single" w:color="000000" w:sz="4" w:space="0"/>
            </w:tcBorders>
            <w:vAlign w:val="center"/>
          </w:tcPr>
          <w:p w14:paraId="57C0FD51">
            <w:pPr>
              <w:pStyle w:val="72"/>
              <w:rPr>
                <w:rFonts w:ascii="Times New Roman" w:hAnsi="Times New Roman"/>
              </w:rPr>
            </w:pPr>
            <w:r>
              <w:rPr>
                <w:rFonts w:ascii="Times New Roman" w:hAnsi="Times New Roman"/>
                <w:lang w:bidi="ar"/>
              </w:rPr>
              <w:t>复垦期</w:t>
            </w:r>
          </w:p>
        </w:tc>
        <w:tc>
          <w:tcPr>
            <w:tcW w:w="477" w:type="pct"/>
            <w:tcBorders>
              <w:top w:val="single" w:color="000000" w:sz="4" w:space="0"/>
              <w:left w:val="single" w:color="000000" w:sz="4" w:space="0"/>
              <w:right w:val="single" w:color="000000" w:sz="4" w:space="0"/>
            </w:tcBorders>
            <w:vAlign w:val="center"/>
          </w:tcPr>
          <w:p w14:paraId="21C2EF7C">
            <w:pPr>
              <w:pStyle w:val="72"/>
              <w:rPr>
                <w:rFonts w:hint="eastAsia" w:ascii="Times New Roman" w:hAnsi="Times New Roman"/>
                <w:lang w:eastAsia="zh-CN" w:bidi="ar"/>
              </w:rPr>
            </w:pPr>
            <w:r>
              <w:rPr>
                <w:rFonts w:hint="eastAsia" w:ascii="Times New Roman" w:hAnsi="Times New Roman"/>
                <w:lang w:eastAsia="zh-CN" w:bidi="ar"/>
              </w:rPr>
              <w:t>3504</w:t>
            </w:r>
          </w:p>
        </w:tc>
      </w:tr>
      <w:tr w14:paraId="13A8990E">
        <w:tblPrEx>
          <w:tblCellMar>
            <w:top w:w="0" w:type="dxa"/>
            <w:left w:w="108" w:type="dxa"/>
            <w:bottom w:w="0" w:type="dxa"/>
            <w:right w:w="108" w:type="dxa"/>
          </w:tblCellMar>
        </w:tblPrEx>
        <w:trPr>
          <w:trHeight w:val="77" w:hRule="atLeast"/>
          <w:jc w:val="center"/>
        </w:trPr>
        <w:tc>
          <w:tcPr>
            <w:tcW w:w="261" w:type="pct"/>
            <w:tcBorders>
              <w:top w:val="single" w:color="000000" w:sz="4" w:space="0"/>
              <w:left w:val="single" w:color="000000" w:sz="4" w:space="0"/>
              <w:bottom w:val="single" w:color="000000" w:sz="4" w:space="0"/>
              <w:right w:val="single" w:color="000000" w:sz="4" w:space="0"/>
            </w:tcBorders>
            <w:vAlign w:val="center"/>
          </w:tcPr>
          <w:p w14:paraId="0C5ECA30">
            <w:pPr>
              <w:pStyle w:val="72"/>
              <w:rPr>
                <w:rFonts w:ascii="Times New Roman" w:hAnsi="Times New Roman"/>
              </w:rPr>
            </w:pPr>
            <w:r>
              <w:rPr>
                <w:rFonts w:ascii="Times New Roman" w:hAnsi="Times New Roman"/>
                <w:lang w:bidi="ar"/>
              </w:rPr>
              <w:t>合计</w:t>
            </w:r>
          </w:p>
        </w:tc>
        <w:tc>
          <w:tcPr>
            <w:tcW w:w="322" w:type="pct"/>
            <w:tcBorders>
              <w:top w:val="single" w:color="000000" w:sz="4" w:space="0"/>
              <w:left w:val="single" w:color="000000" w:sz="4" w:space="0"/>
              <w:bottom w:val="single" w:color="000000" w:sz="4" w:space="0"/>
              <w:right w:val="single" w:color="000000" w:sz="4" w:space="0"/>
            </w:tcBorders>
            <w:vAlign w:val="center"/>
          </w:tcPr>
          <w:p w14:paraId="2B7F493D">
            <w:pPr>
              <w:pStyle w:val="72"/>
              <w:rPr>
                <w:rFonts w:ascii="Times New Roman" w:hAnsi="Times New Roman"/>
              </w:rPr>
            </w:pPr>
          </w:p>
        </w:tc>
        <w:tc>
          <w:tcPr>
            <w:tcW w:w="424" w:type="pct"/>
            <w:tcBorders>
              <w:top w:val="single" w:color="000000" w:sz="4" w:space="0"/>
              <w:left w:val="single" w:color="000000" w:sz="4" w:space="0"/>
              <w:bottom w:val="single" w:color="000000" w:sz="4" w:space="0"/>
              <w:right w:val="single" w:color="000000" w:sz="4" w:space="0"/>
            </w:tcBorders>
            <w:vAlign w:val="center"/>
          </w:tcPr>
          <w:p w14:paraId="4D296CAC">
            <w:pPr>
              <w:pStyle w:val="72"/>
              <w:rPr>
                <w:rFonts w:ascii="Times New Roman" w:hAnsi="Times New Roman"/>
              </w:rPr>
            </w:pPr>
          </w:p>
        </w:tc>
        <w:tc>
          <w:tcPr>
            <w:tcW w:w="497" w:type="pct"/>
            <w:tcBorders>
              <w:top w:val="single" w:color="000000" w:sz="4" w:space="0"/>
              <w:left w:val="single" w:color="000000" w:sz="4" w:space="0"/>
              <w:bottom w:val="single" w:color="000000" w:sz="4" w:space="0"/>
              <w:right w:val="single" w:color="000000" w:sz="4" w:space="0"/>
            </w:tcBorders>
            <w:vAlign w:val="center"/>
          </w:tcPr>
          <w:p w14:paraId="493ACF36">
            <w:pPr>
              <w:pStyle w:val="72"/>
              <w:rPr>
                <w:rFonts w:hint="default" w:ascii="Times New Roman" w:hAnsi="Times New Roman"/>
                <w:lang w:val="en-US" w:eastAsia="zh-CN" w:bidi="ar"/>
              </w:rPr>
            </w:pPr>
            <w:r>
              <w:rPr>
                <w:rFonts w:hint="eastAsia" w:ascii="Times New Roman" w:hAnsi="Times New Roman"/>
                <w:lang w:val="en-US" w:eastAsia="zh-CN" w:bidi="ar"/>
              </w:rPr>
              <w:t>0.03</w:t>
            </w:r>
          </w:p>
        </w:tc>
        <w:tc>
          <w:tcPr>
            <w:tcW w:w="518" w:type="pct"/>
            <w:tcBorders>
              <w:top w:val="single" w:color="000000" w:sz="4" w:space="0"/>
              <w:left w:val="single" w:color="000000" w:sz="4" w:space="0"/>
              <w:bottom w:val="single" w:color="000000" w:sz="4" w:space="0"/>
              <w:right w:val="single" w:color="000000" w:sz="4" w:space="0"/>
            </w:tcBorders>
            <w:vAlign w:val="center"/>
          </w:tcPr>
          <w:p w14:paraId="702C2474">
            <w:pPr>
              <w:pStyle w:val="72"/>
              <w:rPr>
                <w:rFonts w:ascii="Times New Roman" w:hAnsi="Times New Roman"/>
              </w:rPr>
            </w:pPr>
          </w:p>
        </w:tc>
        <w:tc>
          <w:tcPr>
            <w:tcW w:w="378" w:type="pct"/>
            <w:tcBorders>
              <w:top w:val="single" w:color="000000" w:sz="4" w:space="0"/>
              <w:left w:val="single" w:color="000000" w:sz="4" w:space="0"/>
              <w:bottom w:val="single" w:color="000000" w:sz="4" w:space="0"/>
              <w:right w:val="single" w:color="000000" w:sz="4" w:space="0"/>
            </w:tcBorders>
            <w:vAlign w:val="center"/>
          </w:tcPr>
          <w:p w14:paraId="687F6E2C">
            <w:pPr>
              <w:pStyle w:val="72"/>
              <w:rPr>
                <w:rFonts w:ascii="Times New Roman" w:hAnsi="Times New Roman"/>
              </w:rPr>
            </w:pPr>
          </w:p>
        </w:tc>
        <w:tc>
          <w:tcPr>
            <w:tcW w:w="460" w:type="pct"/>
            <w:tcBorders>
              <w:top w:val="single" w:color="000000" w:sz="4" w:space="0"/>
              <w:left w:val="single" w:color="000000" w:sz="4" w:space="0"/>
              <w:bottom w:val="single" w:color="000000" w:sz="4" w:space="0"/>
              <w:right w:val="single" w:color="000000" w:sz="4" w:space="0"/>
            </w:tcBorders>
            <w:vAlign w:val="center"/>
          </w:tcPr>
          <w:p w14:paraId="7BB28DE2">
            <w:pPr>
              <w:pStyle w:val="72"/>
              <w:rPr>
                <w:rFonts w:ascii="Times New Roman" w:hAnsi="Times New Roman"/>
              </w:rPr>
            </w:pPr>
            <w:r>
              <w:rPr>
                <w:rFonts w:hint="eastAsia" w:ascii="Times New Roman" w:hAnsi="Times New Roman"/>
                <w:lang w:eastAsia="zh-CN" w:bidi="ar"/>
              </w:rPr>
              <w:t>3504</w:t>
            </w:r>
          </w:p>
        </w:tc>
        <w:tc>
          <w:tcPr>
            <w:tcW w:w="309" w:type="pct"/>
            <w:tcBorders>
              <w:top w:val="single" w:color="000000" w:sz="4" w:space="0"/>
              <w:left w:val="single" w:color="000000" w:sz="4" w:space="0"/>
              <w:bottom w:val="single" w:color="000000" w:sz="4" w:space="0"/>
              <w:right w:val="single" w:color="000000" w:sz="4" w:space="0"/>
            </w:tcBorders>
            <w:vAlign w:val="center"/>
          </w:tcPr>
          <w:p w14:paraId="0BFA19A1">
            <w:pPr>
              <w:pStyle w:val="72"/>
              <w:rPr>
                <w:rFonts w:ascii="Times New Roman" w:hAnsi="Times New Roman"/>
              </w:rPr>
            </w:pPr>
          </w:p>
        </w:tc>
        <w:tc>
          <w:tcPr>
            <w:tcW w:w="451" w:type="pct"/>
            <w:tcBorders>
              <w:top w:val="single" w:color="000000" w:sz="4" w:space="0"/>
              <w:left w:val="single" w:color="000000" w:sz="4" w:space="0"/>
              <w:bottom w:val="single" w:color="000000" w:sz="4" w:space="0"/>
              <w:right w:val="single" w:color="000000" w:sz="4" w:space="0"/>
            </w:tcBorders>
            <w:vAlign w:val="center"/>
          </w:tcPr>
          <w:p w14:paraId="14B5F927">
            <w:pPr>
              <w:pStyle w:val="72"/>
              <w:rPr>
                <w:rFonts w:ascii="Times New Roman" w:hAnsi="Times New Roman"/>
              </w:rPr>
            </w:pPr>
          </w:p>
        </w:tc>
        <w:tc>
          <w:tcPr>
            <w:tcW w:w="442" w:type="pct"/>
            <w:tcBorders>
              <w:top w:val="single" w:color="000000" w:sz="4" w:space="0"/>
              <w:left w:val="single" w:color="000000" w:sz="4" w:space="0"/>
              <w:bottom w:val="single" w:color="000000" w:sz="4" w:space="0"/>
              <w:right w:val="single" w:color="000000" w:sz="4" w:space="0"/>
            </w:tcBorders>
            <w:vAlign w:val="center"/>
          </w:tcPr>
          <w:p w14:paraId="24240178">
            <w:pPr>
              <w:pStyle w:val="72"/>
              <w:rPr>
                <w:rFonts w:ascii="Times New Roman" w:hAnsi="Times New Roman"/>
              </w:rPr>
            </w:pPr>
          </w:p>
        </w:tc>
        <w:tc>
          <w:tcPr>
            <w:tcW w:w="452" w:type="pct"/>
            <w:tcBorders>
              <w:top w:val="single" w:color="000000" w:sz="4" w:space="0"/>
              <w:left w:val="single" w:color="000000" w:sz="4" w:space="0"/>
              <w:bottom w:val="single" w:color="000000" w:sz="4" w:space="0"/>
              <w:right w:val="single" w:color="000000" w:sz="4" w:space="0"/>
            </w:tcBorders>
            <w:noWrap/>
            <w:vAlign w:val="center"/>
          </w:tcPr>
          <w:p w14:paraId="14592A32">
            <w:pPr>
              <w:pStyle w:val="72"/>
              <w:rPr>
                <w:rFonts w:ascii="Times New Roman" w:hAnsi="Times New Roman"/>
              </w:rPr>
            </w:pPr>
          </w:p>
        </w:tc>
        <w:tc>
          <w:tcPr>
            <w:tcW w:w="477" w:type="pct"/>
            <w:tcBorders>
              <w:top w:val="single" w:color="000000" w:sz="4" w:space="0"/>
              <w:left w:val="single" w:color="000000" w:sz="4" w:space="0"/>
              <w:bottom w:val="single" w:color="000000" w:sz="4" w:space="0"/>
              <w:right w:val="single" w:color="000000" w:sz="4" w:space="0"/>
            </w:tcBorders>
            <w:noWrap/>
            <w:vAlign w:val="center"/>
          </w:tcPr>
          <w:p w14:paraId="3BB46C39">
            <w:pPr>
              <w:pStyle w:val="72"/>
              <w:rPr>
                <w:rFonts w:hint="eastAsia" w:ascii="Times New Roman" w:hAnsi="Times New Roman"/>
                <w:lang w:eastAsia="zh-CN" w:bidi="ar"/>
              </w:rPr>
            </w:pPr>
            <w:r>
              <w:rPr>
                <w:rFonts w:hint="eastAsia" w:ascii="Times New Roman" w:hAnsi="Times New Roman"/>
                <w:lang w:eastAsia="zh-CN" w:bidi="ar"/>
              </w:rPr>
              <w:t>3504</w:t>
            </w:r>
          </w:p>
        </w:tc>
      </w:tr>
    </w:tbl>
    <w:p w14:paraId="46047977">
      <w:pPr>
        <w:pStyle w:val="66"/>
        <w:rPr>
          <w:rFonts w:hint="eastAsia" w:ascii="Times New Roman" w:hAnsi="Times New Roman" w:eastAsia="黑体"/>
          <w:lang w:eastAsia="zh-CN"/>
        </w:rPr>
      </w:pPr>
    </w:p>
    <w:p w14:paraId="34B499BB">
      <w:pPr>
        <w:pStyle w:val="66"/>
        <w:ind w:firstLine="420"/>
        <w:rPr>
          <w:rFonts w:ascii="Times New Roman" w:hAnsi="Times New Roman"/>
        </w:rPr>
      </w:pPr>
      <w:r>
        <w:rPr>
          <w:rFonts w:hint="eastAsia" w:ascii="Times New Roman" w:hAnsi="Times New Roman" w:eastAsia="黑体"/>
          <w:lang w:eastAsia="zh-CN"/>
        </w:rPr>
        <w:drawing>
          <wp:anchor distT="0" distB="0" distL="114300" distR="114300" simplePos="0" relativeHeight="251660288" behindDoc="0" locked="0" layoutInCell="1" allowOverlap="1">
            <wp:simplePos x="0" y="0"/>
            <wp:positionH relativeFrom="column">
              <wp:posOffset>407035</wp:posOffset>
            </wp:positionH>
            <wp:positionV relativeFrom="page">
              <wp:posOffset>3258185</wp:posOffset>
            </wp:positionV>
            <wp:extent cx="4931410" cy="3945255"/>
            <wp:effectExtent l="9525" t="9525" r="12065" b="26670"/>
            <wp:wrapTopAndBottom/>
            <wp:docPr id="20" name="图片 20" descr="表土剥离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表土剥离范围"/>
                    <pic:cNvPicPr>
                      <a:picLocks noChangeAspect="1"/>
                    </pic:cNvPicPr>
                  </pic:nvPicPr>
                  <pic:blipFill>
                    <a:blip r:embed="rId35"/>
                    <a:stretch>
                      <a:fillRect/>
                    </a:stretch>
                  </pic:blipFill>
                  <pic:spPr>
                    <a:xfrm>
                      <a:off x="0" y="0"/>
                      <a:ext cx="4931410" cy="3945255"/>
                    </a:xfrm>
                    <a:prstGeom prst="rect">
                      <a:avLst/>
                    </a:prstGeom>
                    <a:ln>
                      <a:solidFill>
                        <a:schemeClr val="tx1"/>
                      </a:solidFill>
                    </a:ln>
                  </pic:spPr>
                </pic:pic>
              </a:graphicData>
            </a:graphic>
          </wp:anchor>
        </w:drawing>
      </w:r>
      <w:r>
        <w:rPr>
          <w:rFonts w:ascii="Times New Roman" w:hAnsi="Times New Roman"/>
        </w:rPr>
        <w:br w:type="textWrapping"/>
      </w:r>
      <w:r>
        <w:rPr>
          <w:rFonts w:ascii="Times New Roman" w:hAnsi="Times New Roman"/>
        </w:rPr>
        <w:br w:type="textWrapping"/>
      </w:r>
      <w:r>
        <w:rPr>
          <w:rFonts w:ascii="Times New Roman" w:hAnsi="Times New Roman"/>
        </w:rPr>
        <w:t>图4-1</w:t>
      </w:r>
      <w:r>
        <w:rPr>
          <w:rFonts w:hint="eastAsia" w:ascii="Times New Roman" w:hAnsi="Times New Roman"/>
        </w:rPr>
        <w:t>拟</w:t>
      </w:r>
      <w:r>
        <w:rPr>
          <w:rFonts w:ascii="Times New Roman" w:hAnsi="Times New Roman"/>
        </w:rPr>
        <w:t>表土剥离范围</w:t>
      </w:r>
    </w:p>
    <w:p w14:paraId="11E34938">
      <w:pPr>
        <w:pStyle w:val="5"/>
        <w:ind w:firstLine="562"/>
        <w:rPr>
          <w:rFonts w:hint="eastAsia" w:ascii="Times New Roman" w:hAnsi="Times New Roman" w:eastAsia="仿宋_GB2312" w:cs="Times New Roman"/>
          <w:lang w:eastAsia="zh-CN"/>
        </w:rPr>
      </w:pPr>
      <w:r>
        <w:rPr>
          <w:rFonts w:hint="eastAsia" w:ascii="Times New Roman" w:hAnsi="Times New Roman" w:eastAsia="仿宋_GB2312" w:cs="Times New Roman"/>
          <w:lang w:eastAsia="zh-CN"/>
        </w:rPr>
        <w:drawing>
          <wp:inline distT="0" distB="0" distL="114300" distR="114300">
            <wp:extent cx="5258435" cy="2849245"/>
            <wp:effectExtent l="9525" t="9525" r="27940" b="17780"/>
            <wp:docPr id="16"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2"/>
                    <pic:cNvPicPr>
                      <a:picLocks noChangeAspect="1"/>
                    </pic:cNvPicPr>
                  </pic:nvPicPr>
                  <pic:blipFill>
                    <a:blip r:embed="rId36"/>
                    <a:stretch>
                      <a:fillRect/>
                    </a:stretch>
                  </pic:blipFill>
                  <pic:spPr>
                    <a:xfrm>
                      <a:off x="0" y="0"/>
                      <a:ext cx="5258435" cy="2849245"/>
                    </a:xfrm>
                    <a:prstGeom prst="rect">
                      <a:avLst/>
                    </a:prstGeom>
                    <a:ln>
                      <a:solidFill>
                        <a:schemeClr val="tx1"/>
                      </a:solidFill>
                    </a:ln>
                  </pic:spPr>
                </pic:pic>
              </a:graphicData>
            </a:graphic>
          </wp:inline>
        </w:drawing>
      </w:r>
    </w:p>
    <w:p w14:paraId="65DB17E5">
      <w:pPr>
        <w:widowControl w:val="0"/>
        <w:adjustRightInd w:val="0"/>
        <w:snapToGrid w:val="0"/>
        <w:jc w:val="center"/>
        <w:rPr>
          <w:rFonts w:ascii="Times New Roman" w:hAnsi="Times New Roman" w:eastAsia="黑体" w:cs="Times New Roman"/>
          <w:b w:val="0"/>
          <w:kern w:val="2"/>
          <w:sz w:val="21"/>
          <w:szCs w:val="28"/>
          <w:lang w:val="en-US" w:eastAsia="zh-CN" w:bidi="ar-SA"/>
        </w:rPr>
      </w:pPr>
      <w:r>
        <w:rPr>
          <w:rFonts w:ascii="Times New Roman" w:hAnsi="Times New Roman" w:eastAsia="黑体" w:cs="Times New Roman"/>
          <w:b w:val="0"/>
          <w:kern w:val="2"/>
          <w:sz w:val="21"/>
          <w:szCs w:val="28"/>
          <w:lang w:val="en-US" w:eastAsia="zh-CN" w:bidi="ar-SA"/>
        </w:rPr>
        <w:t>图4-</w:t>
      </w:r>
      <w:r>
        <w:rPr>
          <w:rFonts w:hint="eastAsia" w:ascii="Times New Roman" w:hAnsi="Times New Roman" w:eastAsia="黑体" w:cs="Times New Roman"/>
          <w:b w:val="0"/>
          <w:kern w:val="2"/>
          <w:sz w:val="21"/>
          <w:szCs w:val="28"/>
          <w:lang w:val="en-US" w:eastAsia="zh-CN" w:bidi="ar-SA"/>
        </w:rPr>
        <w:t>2</w:t>
      </w:r>
      <w:r>
        <w:rPr>
          <w:rFonts w:ascii="Times New Roman" w:hAnsi="Times New Roman" w:eastAsia="黑体" w:cs="Times New Roman"/>
          <w:b w:val="0"/>
          <w:kern w:val="2"/>
          <w:sz w:val="21"/>
          <w:szCs w:val="28"/>
          <w:lang w:val="en-US" w:eastAsia="zh-CN" w:bidi="ar-SA"/>
        </w:rPr>
        <w:t>表土堆放场示意图</w:t>
      </w:r>
    </w:p>
    <w:p w14:paraId="1B254575">
      <w:pPr>
        <w:pStyle w:val="5"/>
        <w:spacing w:after="0" w:line="240" w:lineRule="auto"/>
        <w:ind w:firstLine="0" w:firstLineChars="0"/>
        <w:jc w:val="both"/>
        <w:rPr>
          <w:rFonts w:ascii="Times New Roman" w:hAnsi="Times New Roman" w:eastAsia="黑体" w:cs="Times New Roman"/>
          <w:b w:val="0"/>
          <w:kern w:val="2"/>
          <w:sz w:val="21"/>
          <w:szCs w:val="28"/>
          <w:lang w:val="en-US" w:eastAsia="zh-CN" w:bidi="ar-SA"/>
        </w:rPr>
      </w:pPr>
    </w:p>
    <w:p w14:paraId="0F7A6A10">
      <w:pPr>
        <w:pStyle w:val="5"/>
        <w:ind w:firstLine="562"/>
        <w:jc w:val="left"/>
      </w:pPr>
      <w:r>
        <w:t>（三）相关协同措施</w:t>
      </w:r>
    </w:p>
    <w:p w14:paraId="42227C0B">
      <w:pPr>
        <w:ind w:firstLine="560"/>
        <w:rPr>
          <w:szCs w:val="28"/>
        </w:rPr>
      </w:pPr>
      <w:r>
        <w:rPr>
          <w:szCs w:val="28"/>
        </w:rPr>
        <w:t>1</w:t>
      </w:r>
      <w:r>
        <w:rPr>
          <w:rFonts w:hint="eastAsia"/>
          <w:szCs w:val="28"/>
        </w:rPr>
        <w:t>.</w:t>
      </w:r>
      <w:r>
        <w:rPr>
          <w:szCs w:val="28"/>
        </w:rPr>
        <w:t>地裂缝预防措施</w:t>
      </w:r>
    </w:p>
    <w:p w14:paraId="3FFD8A90">
      <w:pPr>
        <w:ind w:firstLine="560"/>
        <w:rPr>
          <w:szCs w:val="28"/>
        </w:rPr>
      </w:pPr>
      <w:r>
        <w:rPr>
          <w:szCs w:val="28"/>
        </w:rPr>
        <w:t>地质灾害防治工程措施包括地下和地上两方面。为有效保护地面重要建筑物不受危害，</w:t>
      </w:r>
      <w:r>
        <w:rPr>
          <w:rFonts w:hint="eastAsia"/>
          <w:szCs w:val="28"/>
          <w:lang w:val="en-US" w:eastAsia="zh-CN"/>
        </w:rPr>
        <w:t>地下</w:t>
      </w:r>
      <w:r>
        <w:rPr>
          <w:szCs w:val="28"/>
        </w:rPr>
        <w:t>开采时严格按开发利用方案和设定的保护矿柱开采。</w:t>
      </w:r>
    </w:p>
    <w:p w14:paraId="7CB9849C">
      <w:pPr>
        <w:ind w:firstLine="560"/>
        <w:rPr>
          <w:szCs w:val="28"/>
        </w:rPr>
      </w:pPr>
      <w:r>
        <w:rPr>
          <w:rFonts w:hint="eastAsia"/>
          <w:szCs w:val="28"/>
          <w:lang w:eastAsia="zh-CN"/>
        </w:rPr>
        <w:t>地裂缝</w:t>
      </w:r>
      <w:r>
        <w:rPr>
          <w:szCs w:val="28"/>
        </w:rPr>
        <w:t>地质灾害具有群发性、衍生性、区域性，同时随着能源资源的紧缺和资源开发政策导向，还具有一定的不可避免性和影响的多方面性。针对矿区的具体情况，采取如下具体防治措施：</w:t>
      </w:r>
    </w:p>
    <w:p w14:paraId="74214DC1">
      <w:pPr>
        <w:ind w:firstLine="560"/>
        <w:rPr>
          <w:szCs w:val="28"/>
        </w:rPr>
      </w:pPr>
      <w:r>
        <w:rPr>
          <w:szCs w:val="28"/>
        </w:rPr>
        <w:t>（1）保护措施</w:t>
      </w:r>
    </w:p>
    <w:p w14:paraId="3CB0D355">
      <w:pPr>
        <w:ind w:firstLine="560"/>
        <w:rPr>
          <w:szCs w:val="28"/>
        </w:rPr>
      </w:pPr>
      <w:r>
        <w:rPr>
          <w:szCs w:val="28"/>
        </w:rPr>
        <w:t>矿山闭坑时，应及时对坑内采矿工程与地表沟通的所有出口进行永久性封闭，设置安全警戒标志，防止人员进入空区。同时要求在</w:t>
      </w:r>
      <w:r>
        <w:rPr>
          <w:rFonts w:hint="eastAsia"/>
          <w:szCs w:val="28"/>
          <w:lang w:val="en-US" w:eastAsia="zh-CN"/>
        </w:rPr>
        <w:t>采空区</w:t>
      </w:r>
      <w:r>
        <w:rPr>
          <w:szCs w:val="28"/>
        </w:rPr>
        <w:t>范围内，设观测点，定期监测地表是否出现异常变化，以便采取处理措施。</w:t>
      </w:r>
    </w:p>
    <w:p w14:paraId="66A84535">
      <w:pPr>
        <w:ind w:firstLine="560"/>
        <w:rPr>
          <w:szCs w:val="28"/>
        </w:rPr>
      </w:pPr>
      <w:r>
        <w:rPr>
          <w:szCs w:val="28"/>
        </w:rPr>
        <w:t>（2）加强顶板管理，对围岩松软不稳固回采工作面，切割巷道要及时采取支护等有效措施。</w:t>
      </w:r>
    </w:p>
    <w:p w14:paraId="60740095">
      <w:pPr>
        <w:ind w:firstLine="560"/>
        <w:rPr>
          <w:szCs w:val="28"/>
        </w:rPr>
      </w:pPr>
      <w:r>
        <w:rPr>
          <w:szCs w:val="28"/>
        </w:rPr>
        <w:t>（3）加强管理，均匀控制开采的推进速度，科学合理进行协调开采，坚持“有疑必探、先探后掘、先治后采”的原则，决不可盲目采掘。</w:t>
      </w:r>
    </w:p>
    <w:p w14:paraId="5D473768">
      <w:pPr>
        <w:ind w:firstLine="560"/>
        <w:rPr>
          <w:szCs w:val="28"/>
        </w:rPr>
      </w:pPr>
      <w:r>
        <w:rPr>
          <w:szCs w:val="28"/>
        </w:rPr>
        <w:t>（4）建立地面、地下长期地质灾害监测网点，进行地面变形预测、预报研究，为地质灾害防治提供可靠的依据。</w:t>
      </w:r>
    </w:p>
    <w:p w14:paraId="10258479">
      <w:pPr>
        <w:ind w:firstLine="560"/>
        <w:rPr>
          <w:szCs w:val="28"/>
        </w:rPr>
      </w:pPr>
      <w:r>
        <w:rPr>
          <w:szCs w:val="28"/>
        </w:rPr>
        <w:t>2</w:t>
      </w:r>
      <w:r>
        <w:rPr>
          <w:rFonts w:hint="eastAsia"/>
          <w:szCs w:val="28"/>
        </w:rPr>
        <w:t>.</w:t>
      </w:r>
      <w:r>
        <w:rPr>
          <w:szCs w:val="28"/>
        </w:rPr>
        <w:t>含水层保护措施</w:t>
      </w:r>
    </w:p>
    <w:p w14:paraId="0A57DAD2">
      <w:pPr>
        <w:ind w:firstLine="560"/>
        <w:rPr>
          <w:szCs w:val="28"/>
        </w:rPr>
      </w:pPr>
      <w:r>
        <w:rPr>
          <w:szCs w:val="28"/>
        </w:rPr>
        <w:t>（1）揭穿含水层的井巷工程，应采取止水措施，防止地下水串层污染。</w:t>
      </w:r>
    </w:p>
    <w:p w14:paraId="67725AFE">
      <w:pPr>
        <w:ind w:firstLine="560"/>
        <w:rPr>
          <w:szCs w:val="28"/>
        </w:rPr>
      </w:pPr>
      <w:r>
        <w:rPr>
          <w:szCs w:val="28"/>
        </w:rPr>
        <w:t>（2）采取注浆堵漏等工程措施，最大限度的阻止地下水进入矿坑，减少矿坑排水量，保护地下水资源。</w:t>
      </w:r>
    </w:p>
    <w:p w14:paraId="29199EA9">
      <w:pPr>
        <w:ind w:firstLine="560"/>
        <w:rPr>
          <w:szCs w:val="28"/>
        </w:rPr>
      </w:pPr>
      <w:r>
        <w:rPr>
          <w:szCs w:val="28"/>
        </w:rPr>
        <w:t>3</w:t>
      </w:r>
      <w:r>
        <w:rPr>
          <w:rFonts w:hint="eastAsia"/>
          <w:szCs w:val="28"/>
        </w:rPr>
        <w:t>.</w:t>
      </w:r>
      <w:r>
        <w:rPr>
          <w:szCs w:val="28"/>
        </w:rPr>
        <w:t>地形地貌景观保护措施</w:t>
      </w:r>
    </w:p>
    <w:p w14:paraId="56E891CF">
      <w:pPr>
        <w:ind w:firstLine="560"/>
        <w:rPr>
          <w:szCs w:val="28"/>
        </w:rPr>
      </w:pPr>
      <w:r>
        <w:rPr>
          <w:szCs w:val="28"/>
        </w:rPr>
        <w:t>矿山巷道掘进期间废石及时外运综合利用，将破坏区域控制在</w:t>
      </w:r>
      <w:r>
        <w:rPr>
          <w:rFonts w:hint="eastAsia"/>
          <w:szCs w:val="28"/>
          <w:lang w:val="en-US" w:eastAsia="zh-CN"/>
        </w:rPr>
        <w:t>平硐</w:t>
      </w:r>
      <w:r>
        <w:rPr>
          <w:szCs w:val="28"/>
        </w:rPr>
        <w:t>工业场地内。矿山闭坑后，对矿区内建筑进行拆除，恢复土地利用功能。</w:t>
      </w:r>
    </w:p>
    <w:p w14:paraId="332E98ED">
      <w:pPr>
        <w:ind w:firstLine="560"/>
        <w:rPr>
          <w:szCs w:val="28"/>
        </w:rPr>
      </w:pPr>
      <w:r>
        <w:rPr>
          <w:szCs w:val="28"/>
        </w:rPr>
        <w:t>4</w:t>
      </w:r>
      <w:r>
        <w:rPr>
          <w:rFonts w:hint="eastAsia"/>
          <w:szCs w:val="28"/>
        </w:rPr>
        <w:t>.</w:t>
      </w:r>
      <w:r>
        <w:rPr>
          <w:szCs w:val="28"/>
        </w:rPr>
        <w:t>水土环境污染预防措施</w:t>
      </w:r>
    </w:p>
    <w:p w14:paraId="1DAD9710">
      <w:pPr>
        <w:ind w:firstLine="560"/>
        <w:rPr>
          <w:szCs w:val="28"/>
        </w:rPr>
      </w:pPr>
      <w:r>
        <w:rPr>
          <w:szCs w:val="28"/>
        </w:rPr>
        <w:t>（1）及时清运生活垃圾等，送到市政指定地点，防止污染地表水。</w:t>
      </w:r>
    </w:p>
    <w:p w14:paraId="278907EC">
      <w:pPr>
        <w:ind w:firstLine="560"/>
        <w:rPr>
          <w:szCs w:val="28"/>
        </w:rPr>
      </w:pPr>
      <w:r>
        <w:rPr>
          <w:szCs w:val="28"/>
        </w:rPr>
        <w:t>（2）生产生活中的废水经过处理后，确定达标再回水循环使用。</w:t>
      </w:r>
    </w:p>
    <w:p w14:paraId="4F01AAAC">
      <w:pPr>
        <w:ind w:firstLine="560"/>
        <w:rPr>
          <w:szCs w:val="28"/>
        </w:rPr>
      </w:pPr>
      <w:r>
        <w:rPr>
          <w:szCs w:val="28"/>
        </w:rPr>
        <w:t>5</w:t>
      </w:r>
      <w:r>
        <w:rPr>
          <w:rFonts w:hint="eastAsia"/>
          <w:szCs w:val="28"/>
        </w:rPr>
        <w:t>.</w:t>
      </w:r>
      <w:r>
        <w:rPr>
          <w:szCs w:val="28"/>
        </w:rPr>
        <w:t>土地复垦预防控制措施</w:t>
      </w:r>
    </w:p>
    <w:p w14:paraId="0DFD5C55">
      <w:pPr>
        <w:ind w:firstLine="560"/>
        <w:rPr>
          <w:szCs w:val="28"/>
        </w:rPr>
      </w:pPr>
      <w:r>
        <w:rPr>
          <w:szCs w:val="28"/>
        </w:rPr>
        <w:t>（1）合理规划生产布局，减少土地损毁。生产过程中应加强规划和施工管理，尽量缩小对土地的影响范围，各种生产活动应严格控制在规划区域内。各种运输车辆规定固定路线，道路规划布置应因地制宜、尽量减少压占土地。生产过程中产生的生产、生活垃圾严禁乱堆、乱扔，应采用垃圾筒收集，矿山配备自卸垃圾车将垃圾运往垃圾处理场或运往市政管理部门指定场所进行处理。</w:t>
      </w:r>
    </w:p>
    <w:p w14:paraId="718F6C28">
      <w:pPr>
        <w:pStyle w:val="41"/>
        <w:spacing w:after="0" w:line="360" w:lineRule="auto"/>
        <w:ind w:left="0" w:leftChars="0" w:firstLine="560"/>
        <w:rPr>
          <w:highlight w:val="yellow"/>
        </w:rPr>
      </w:pPr>
      <w:r>
        <w:t>（2）矿山闭坑阶段各场所尽量减小占地，减小地表植被破坏面积。工业场地内各区域的拆除、平整等工程尽量避免二次损毁、临时占地区域挖方应及时回填，临时占地面积控制在最低限度，尽可能地避免造成土壤与植被大面积损毁。</w:t>
      </w:r>
    </w:p>
    <w:p w14:paraId="26353FD5">
      <w:pPr>
        <w:pStyle w:val="4"/>
        <w:ind w:firstLine="602"/>
        <w:rPr>
          <w:rFonts w:ascii="Times New Roman" w:hAnsi="Times New Roman"/>
          <w:szCs w:val="30"/>
        </w:rPr>
      </w:pPr>
      <w:bookmarkStart w:id="172" w:name="_Toc27570"/>
      <w:bookmarkStart w:id="173" w:name="_Toc18198"/>
      <w:bookmarkStart w:id="174" w:name="_Toc219050290"/>
      <w:bookmarkStart w:id="175" w:name="_Toc20956"/>
      <w:r>
        <w:rPr>
          <w:rFonts w:ascii="Times New Roman" w:hAnsi="Times New Roman"/>
          <w:szCs w:val="30"/>
        </w:rPr>
        <w:t>二、</w:t>
      </w:r>
      <w:bookmarkEnd w:id="172"/>
      <w:r>
        <w:rPr>
          <w:rFonts w:ascii="Times New Roman" w:hAnsi="Times New Roman"/>
          <w:szCs w:val="30"/>
        </w:rPr>
        <w:t>修复措施</w:t>
      </w:r>
      <w:bookmarkEnd w:id="173"/>
      <w:bookmarkEnd w:id="174"/>
      <w:bookmarkEnd w:id="175"/>
    </w:p>
    <w:p w14:paraId="3C062ACF">
      <w:pPr>
        <w:ind w:firstLine="560"/>
        <w:rPr>
          <w:szCs w:val="28"/>
        </w:rPr>
      </w:pPr>
      <w:r>
        <w:rPr>
          <w:rFonts w:hint="eastAsia"/>
          <w:szCs w:val="28"/>
          <w:lang w:eastAsia="zh-CN"/>
        </w:rPr>
        <w:t>二道滑石矿</w:t>
      </w:r>
      <w:r>
        <w:rPr>
          <w:rFonts w:hint="eastAsia"/>
          <w:szCs w:val="28"/>
        </w:rPr>
        <w:t>矿区生态修复分区分为</w:t>
      </w:r>
      <w:r>
        <w:rPr>
          <w:rFonts w:hint="eastAsia"/>
          <w:szCs w:val="28"/>
          <w:lang w:eastAsia="zh-CN"/>
        </w:rPr>
        <w:t>工业广场、三处废弃</w:t>
      </w:r>
      <w:r>
        <w:rPr>
          <w:rFonts w:hint="eastAsia"/>
          <w:szCs w:val="28"/>
          <w:lang w:val="en-US" w:eastAsia="zh-CN"/>
        </w:rPr>
        <w:t>平硐</w:t>
      </w:r>
      <w:r>
        <w:rPr>
          <w:rFonts w:hint="eastAsia"/>
          <w:szCs w:val="28"/>
          <w:lang w:eastAsia="zh-CN"/>
        </w:rPr>
        <w:t>、490m平硐工业广场、520m平硐工业广场、548m平硐工业广场</w:t>
      </w:r>
      <w:r>
        <w:rPr>
          <w:rFonts w:hint="eastAsia"/>
          <w:szCs w:val="28"/>
        </w:rPr>
        <w:t>。根据每个生态修复分区实际情况，设计采取的修复措施如下见表工程</w:t>
      </w:r>
    </w:p>
    <w:p w14:paraId="3FBB0E74">
      <w:pPr>
        <w:pStyle w:val="57"/>
        <w:rPr>
          <w:rFonts w:hint="eastAsia"/>
        </w:rPr>
      </w:pPr>
      <w:r>
        <w:rPr>
          <w:rFonts w:hint="eastAsia"/>
        </w:rPr>
        <w:t>表4-3生态分区拟采用修复措施</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1222"/>
        <w:gridCol w:w="2560"/>
        <w:gridCol w:w="3839"/>
      </w:tblGrid>
      <w:tr w14:paraId="2DAB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71" w:type="pct"/>
            <w:noWrap/>
            <w:vAlign w:val="center"/>
          </w:tcPr>
          <w:p w14:paraId="0A09ED12">
            <w:pPr>
              <w:pStyle w:val="72"/>
              <w:rPr>
                <w:rFonts w:hint="eastAsia"/>
                <w:sz w:val="18"/>
                <w:szCs w:val="18"/>
              </w:rPr>
            </w:pPr>
            <w:r>
              <w:t>生态修复分区</w:t>
            </w:r>
          </w:p>
        </w:tc>
        <w:tc>
          <w:tcPr>
            <w:tcW w:w="638" w:type="pct"/>
            <w:noWrap/>
            <w:vAlign w:val="center"/>
          </w:tcPr>
          <w:p w14:paraId="39D87354">
            <w:pPr>
              <w:pStyle w:val="72"/>
              <w:rPr>
                <w:rFonts w:hint="eastAsia"/>
                <w:sz w:val="18"/>
                <w:szCs w:val="18"/>
              </w:rPr>
            </w:pPr>
            <w:r>
              <w:rPr>
                <w:rFonts w:hint="eastAsia"/>
                <w:sz w:val="18"/>
                <w:szCs w:val="18"/>
              </w:rPr>
              <w:t>分区面积hm</w:t>
            </w:r>
            <w:r>
              <w:rPr>
                <w:rFonts w:ascii="Calibri" w:hAnsi="Calibri" w:cs="Calibri"/>
                <w:sz w:val="18"/>
                <w:szCs w:val="18"/>
              </w:rPr>
              <w:t>²</w:t>
            </w:r>
          </w:p>
        </w:tc>
        <w:tc>
          <w:tcPr>
            <w:tcW w:w="1461" w:type="pct"/>
            <w:vAlign w:val="center"/>
          </w:tcPr>
          <w:p w14:paraId="3BA9B412">
            <w:pPr>
              <w:pStyle w:val="72"/>
              <w:rPr>
                <w:rFonts w:hint="eastAsia"/>
                <w:sz w:val="18"/>
                <w:szCs w:val="18"/>
              </w:rPr>
            </w:pPr>
            <w:r>
              <w:rPr>
                <w:lang w:bidi="ar"/>
              </w:rPr>
              <w:t>生态修复方向</w:t>
            </w:r>
          </w:p>
        </w:tc>
        <w:tc>
          <w:tcPr>
            <w:tcW w:w="2129" w:type="pct"/>
            <w:vAlign w:val="center"/>
          </w:tcPr>
          <w:p w14:paraId="786DF70B">
            <w:pPr>
              <w:pStyle w:val="72"/>
              <w:rPr>
                <w:rFonts w:hint="eastAsia"/>
                <w:sz w:val="18"/>
                <w:szCs w:val="18"/>
              </w:rPr>
            </w:pPr>
            <w:r>
              <w:rPr>
                <w:rFonts w:hint="eastAsia"/>
                <w:lang w:bidi="ar"/>
              </w:rPr>
              <w:t>修复措施</w:t>
            </w:r>
          </w:p>
        </w:tc>
      </w:tr>
      <w:tr w14:paraId="1851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71" w:type="pct"/>
            <w:noWrap/>
            <w:vAlign w:val="center"/>
          </w:tcPr>
          <w:p w14:paraId="1DFF210B">
            <w:pPr>
              <w:pStyle w:val="72"/>
              <w:rPr>
                <w:rFonts w:hint="eastAsia" w:eastAsia="仿宋"/>
                <w:sz w:val="18"/>
                <w:szCs w:val="18"/>
                <w:lang w:eastAsia="zh-CN"/>
              </w:rPr>
            </w:pPr>
            <w:r>
              <w:rPr>
                <w:rFonts w:hint="eastAsia"/>
                <w:sz w:val="18"/>
                <w:szCs w:val="18"/>
                <w:lang w:eastAsia="zh-CN"/>
              </w:rPr>
              <w:t>工业广场</w:t>
            </w:r>
          </w:p>
        </w:tc>
        <w:tc>
          <w:tcPr>
            <w:tcW w:w="638" w:type="pct"/>
            <w:noWrap/>
            <w:vAlign w:val="center"/>
          </w:tcPr>
          <w:p w14:paraId="5FA35652">
            <w:pPr>
              <w:pStyle w:val="72"/>
              <w:rPr>
                <w:rFonts w:hint="default" w:eastAsia="仿宋"/>
                <w:sz w:val="18"/>
                <w:szCs w:val="18"/>
                <w:lang w:val="en-US" w:eastAsia="zh-CN"/>
              </w:rPr>
            </w:pPr>
            <w:r>
              <w:rPr>
                <w:rFonts w:hint="eastAsia"/>
                <w:sz w:val="18"/>
                <w:szCs w:val="18"/>
                <w:lang w:val="en-US" w:eastAsia="zh-CN"/>
              </w:rPr>
              <w:t>0.3608</w:t>
            </w:r>
          </w:p>
        </w:tc>
        <w:tc>
          <w:tcPr>
            <w:tcW w:w="1461" w:type="pct"/>
            <w:vAlign w:val="center"/>
          </w:tcPr>
          <w:p w14:paraId="58809B34">
            <w:pPr>
              <w:pStyle w:val="72"/>
              <w:rPr>
                <w:rFonts w:hint="eastAsia"/>
                <w:color w:val="000000"/>
                <w:sz w:val="18"/>
                <w:szCs w:val="18"/>
              </w:rPr>
            </w:pPr>
            <w:r>
              <w:rPr>
                <w:rFonts w:hint="eastAsia"/>
                <w:color w:val="000000"/>
                <w:sz w:val="18"/>
                <w:szCs w:val="18"/>
              </w:rPr>
              <w:t>乔木林地</w:t>
            </w:r>
          </w:p>
        </w:tc>
        <w:tc>
          <w:tcPr>
            <w:tcW w:w="2129" w:type="pct"/>
            <w:vAlign w:val="center"/>
          </w:tcPr>
          <w:p w14:paraId="58CF0077">
            <w:pPr>
              <w:pStyle w:val="72"/>
              <w:rPr>
                <w:rFonts w:hint="eastAsia"/>
                <w:color w:val="000000"/>
                <w:sz w:val="18"/>
                <w:szCs w:val="18"/>
              </w:rPr>
            </w:pPr>
            <w:r>
              <w:rPr>
                <w:rFonts w:hint="eastAsia"/>
                <w:color w:val="000000"/>
                <w:sz w:val="18"/>
                <w:szCs w:val="18"/>
              </w:rPr>
              <w:t>拆除临时建构筑物、</w:t>
            </w:r>
            <w:r>
              <w:rPr>
                <w:rFonts w:hint="eastAsia"/>
                <w:color w:val="000000"/>
                <w:sz w:val="18"/>
                <w:szCs w:val="18"/>
                <w:lang w:val="en-US" w:eastAsia="zh-CN"/>
              </w:rPr>
              <w:t>剥离硬盖层、建筑物及硬盖层回填井下、表土回填、栽植乔木</w:t>
            </w:r>
          </w:p>
        </w:tc>
      </w:tr>
      <w:tr w14:paraId="1D7C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71" w:type="pct"/>
            <w:noWrap/>
            <w:vAlign w:val="center"/>
          </w:tcPr>
          <w:p w14:paraId="680D2592">
            <w:pPr>
              <w:pStyle w:val="72"/>
              <w:rPr>
                <w:rFonts w:hint="default" w:eastAsia="仿宋"/>
                <w:sz w:val="18"/>
                <w:szCs w:val="18"/>
                <w:lang w:val="en-US" w:eastAsia="zh-CN"/>
              </w:rPr>
            </w:pPr>
            <w:r>
              <w:rPr>
                <w:rFonts w:hint="eastAsia"/>
                <w:sz w:val="18"/>
                <w:szCs w:val="18"/>
                <w:lang w:val="en-US" w:eastAsia="zh-CN"/>
              </w:rPr>
              <w:t>三处废弃平硐</w:t>
            </w:r>
          </w:p>
        </w:tc>
        <w:tc>
          <w:tcPr>
            <w:tcW w:w="638" w:type="pct"/>
            <w:noWrap/>
            <w:vAlign w:val="center"/>
          </w:tcPr>
          <w:p w14:paraId="11445C8A">
            <w:pPr>
              <w:pStyle w:val="72"/>
              <w:rPr>
                <w:rFonts w:hint="default"/>
                <w:color w:val="000000"/>
                <w:sz w:val="18"/>
                <w:szCs w:val="18"/>
                <w:lang w:val="en-US" w:eastAsia="zh-CN"/>
              </w:rPr>
            </w:pPr>
            <w:r>
              <w:rPr>
                <w:rFonts w:hint="eastAsia"/>
                <w:color w:val="000000"/>
                <w:sz w:val="18"/>
                <w:szCs w:val="18"/>
                <w:lang w:val="en-US" w:eastAsia="zh-CN"/>
              </w:rPr>
              <w:t>0</w:t>
            </w:r>
          </w:p>
        </w:tc>
        <w:tc>
          <w:tcPr>
            <w:tcW w:w="1461" w:type="pct"/>
            <w:vAlign w:val="center"/>
          </w:tcPr>
          <w:p w14:paraId="65438BC8">
            <w:pPr>
              <w:pStyle w:val="72"/>
              <w:rPr>
                <w:rFonts w:hint="eastAsia"/>
                <w:color w:val="000000"/>
                <w:sz w:val="18"/>
                <w:szCs w:val="18"/>
              </w:rPr>
            </w:pPr>
            <w:r>
              <w:rPr>
                <w:rFonts w:hint="eastAsia"/>
                <w:color w:val="000000"/>
                <w:sz w:val="18"/>
                <w:szCs w:val="18"/>
              </w:rPr>
              <w:t>乔木林地</w:t>
            </w:r>
          </w:p>
        </w:tc>
        <w:tc>
          <w:tcPr>
            <w:tcW w:w="2129" w:type="pct"/>
            <w:vAlign w:val="center"/>
          </w:tcPr>
          <w:p w14:paraId="74F7B8BA">
            <w:pPr>
              <w:pStyle w:val="72"/>
              <w:rPr>
                <w:rFonts w:hint="default" w:eastAsia="仿宋"/>
                <w:color w:val="000000"/>
                <w:sz w:val="18"/>
                <w:szCs w:val="18"/>
                <w:lang w:val="en-US" w:eastAsia="zh-CN"/>
              </w:rPr>
            </w:pPr>
            <w:r>
              <w:rPr>
                <w:rFonts w:hint="eastAsia"/>
                <w:color w:val="000000"/>
                <w:sz w:val="18"/>
                <w:szCs w:val="18"/>
                <w:lang w:val="en-US" w:eastAsia="zh-CN"/>
              </w:rPr>
              <w:t>封堵井口</w:t>
            </w:r>
          </w:p>
        </w:tc>
      </w:tr>
      <w:tr w14:paraId="306C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71" w:type="pct"/>
            <w:noWrap/>
            <w:vAlign w:val="center"/>
          </w:tcPr>
          <w:p w14:paraId="72E6161A">
            <w:pPr>
              <w:pStyle w:val="72"/>
              <w:rPr>
                <w:rFonts w:hint="eastAsia"/>
                <w:sz w:val="18"/>
                <w:szCs w:val="18"/>
              </w:rPr>
            </w:pPr>
            <w:r>
              <w:rPr>
                <w:rFonts w:hint="eastAsia"/>
                <w:szCs w:val="28"/>
                <w:lang w:eastAsia="zh-CN"/>
              </w:rPr>
              <w:t>490m平硐工业广场</w:t>
            </w:r>
          </w:p>
        </w:tc>
        <w:tc>
          <w:tcPr>
            <w:tcW w:w="638" w:type="pct"/>
            <w:noWrap/>
            <w:vAlign w:val="center"/>
          </w:tcPr>
          <w:p w14:paraId="4559EE1A">
            <w:pPr>
              <w:pStyle w:val="72"/>
              <w:rPr>
                <w:rFonts w:hint="default"/>
                <w:color w:val="000000"/>
                <w:sz w:val="18"/>
                <w:szCs w:val="18"/>
                <w:lang w:val="en-US" w:eastAsia="zh-CN"/>
              </w:rPr>
            </w:pPr>
            <w:r>
              <w:rPr>
                <w:rFonts w:hint="eastAsia"/>
                <w:color w:val="000000"/>
                <w:sz w:val="18"/>
                <w:szCs w:val="18"/>
                <w:lang w:val="en-US" w:eastAsia="zh-CN"/>
              </w:rPr>
              <w:t>0.69</w:t>
            </w:r>
          </w:p>
        </w:tc>
        <w:tc>
          <w:tcPr>
            <w:tcW w:w="1461" w:type="pct"/>
            <w:vAlign w:val="center"/>
          </w:tcPr>
          <w:p w14:paraId="28C25E94">
            <w:pPr>
              <w:pStyle w:val="72"/>
              <w:rPr>
                <w:rFonts w:hint="eastAsia"/>
                <w:color w:val="000000"/>
                <w:sz w:val="18"/>
                <w:szCs w:val="18"/>
              </w:rPr>
            </w:pPr>
            <w:r>
              <w:rPr>
                <w:rFonts w:hint="eastAsia"/>
                <w:color w:val="000000"/>
                <w:sz w:val="18"/>
                <w:szCs w:val="18"/>
              </w:rPr>
              <w:t>乔木林地</w:t>
            </w:r>
          </w:p>
        </w:tc>
        <w:tc>
          <w:tcPr>
            <w:tcW w:w="2129" w:type="pct"/>
            <w:vAlign w:val="center"/>
          </w:tcPr>
          <w:p w14:paraId="32D8A88B">
            <w:pPr>
              <w:pStyle w:val="72"/>
              <w:rPr>
                <w:rFonts w:hint="eastAsia"/>
                <w:color w:val="000000"/>
                <w:sz w:val="18"/>
                <w:szCs w:val="18"/>
              </w:rPr>
            </w:pPr>
            <w:r>
              <w:rPr>
                <w:rFonts w:hint="eastAsia"/>
                <w:color w:val="000000"/>
                <w:sz w:val="18"/>
                <w:szCs w:val="18"/>
              </w:rPr>
              <w:t>拆除临时建构筑物、</w:t>
            </w:r>
            <w:r>
              <w:rPr>
                <w:rFonts w:hint="eastAsia"/>
                <w:color w:val="000000"/>
                <w:sz w:val="18"/>
                <w:szCs w:val="18"/>
                <w:lang w:val="en-US" w:eastAsia="zh-CN"/>
              </w:rPr>
              <w:t>剥离硬盖层、建筑物及硬盖层回填井下、表土回填、栽植乔木</w:t>
            </w:r>
          </w:p>
        </w:tc>
      </w:tr>
      <w:tr w14:paraId="2E00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71" w:type="pct"/>
            <w:noWrap/>
            <w:vAlign w:val="center"/>
          </w:tcPr>
          <w:p w14:paraId="45D41385">
            <w:pPr>
              <w:pStyle w:val="72"/>
              <w:rPr>
                <w:rFonts w:hint="eastAsia"/>
                <w:sz w:val="18"/>
                <w:szCs w:val="18"/>
              </w:rPr>
            </w:pPr>
            <w:r>
              <w:rPr>
                <w:rFonts w:hint="eastAsia"/>
                <w:szCs w:val="28"/>
                <w:lang w:val="en-US" w:eastAsia="zh-CN"/>
              </w:rPr>
              <w:t>520</w:t>
            </w:r>
            <w:r>
              <w:rPr>
                <w:rFonts w:hint="eastAsia"/>
                <w:szCs w:val="28"/>
                <w:lang w:eastAsia="zh-CN"/>
              </w:rPr>
              <w:t>m平硐工业广场</w:t>
            </w:r>
          </w:p>
        </w:tc>
        <w:tc>
          <w:tcPr>
            <w:tcW w:w="638" w:type="pct"/>
            <w:noWrap/>
            <w:vAlign w:val="center"/>
          </w:tcPr>
          <w:p w14:paraId="108118E2">
            <w:pPr>
              <w:pStyle w:val="72"/>
              <w:rPr>
                <w:rFonts w:hint="default"/>
                <w:color w:val="000000"/>
                <w:sz w:val="18"/>
                <w:szCs w:val="18"/>
                <w:lang w:val="en-US" w:eastAsia="zh-CN"/>
              </w:rPr>
            </w:pPr>
            <w:r>
              <w:rPr>
                <w:rFonts w:hint="eastAsia"/>
                <w:color w:val="000000"/>
                <w:sz w:val="18"/>
                <w:szCs w:val="18"/>
                <w:lang w:val="en-US" w:eastAsia="zh-CN"/>
              </w:rPr>
              <w:t>0.3</w:t>
            </w:r>
          </w:p>
        </w:tc>
        <w:tc>
          <w:tcPr>
            <w:tcW w:w="1461" w:type="pct"/>
            <w:vAlign w:val="center"/>
          </w:tcPr>
          <w:p w14:paraId="7E580ABA">
            <w:pPr>
              <w:pStyle w:val="72"/>
              <w:rPr>
                <w:rFonts w:hint="eastAsia"/>
                <w:color w:val="000000"/>
                <w:sz w:val="18"/>
                <w:szCs w:val="18"/>
              </w:rPr>
            </w:pPr>
            <w:r>
              <w:rPr>
                <w:rFonts w:hint="eastAsia"/>
                <w:color w:val="000000"/>
                <w:sz w:val="18"/>
                <w:szCs w:val="18"/>
              </w:rPr>
              <w:t>乔木林地</w:t>
            </w:r>
          </w:p>
        </w:tc>
        <w:tc>
          <w:tcPr>
            <w:tcW w:w="2129" w:type="pct"/>
            <w:vAlign w:val="center"/>
          </w:tcPr>
          <w:p w14:paraId="01C711BC">
            <w:pPr>
              <w:pStyle w:val="72"/>
              <w:rPr>
                <w:rFonts w:hint="eastAsia"/>
                <w:color w:val="000000"/>
                <w:sz w:val="18"/>
                <w:szCs w:val="18"/>
              </w:rPr>
            </w:pPr>
            <w:r>
              <w:rPr>
                <w:rFonts w:hint="eastAsia"/>
                <w:color w:val="000000"/>
                <w:sz w:val="18"/>
                <w:szCs w:val="18"/>
              </w:rPr>
              <w:t>拆除临时建构筑物、</w:t>
            </w:r>
            <w:r>
              <w:rPr>
                <w:rFonts w:hint="eastAsia"/>
                <w:color w:val="000000"/>
                <w:sz w:val="18"/>
                <w:szCs w:val="18"/>
                <w:lang w:val="en-US" w:eastAsia="zh-CN"/>
              </w:rPr>
              <w:t>剥离硬盖层、建筑物及硬盖层回填井下、表土回填、栽植乔木</w:t>
            </w:r>
          </w:p>
        </w:tc>
      </w:tr>
      <w:tr w14:paraId="2743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71" w:type="pct"/>
            <w:noWrap/>
            <w:vAlign w:val="center"/>
          </w:tcPr>
          <w:p w14:paraId="148A4B1D">
            <w:pPr>
              <w:pStyle w:val="72"/>
              <w:rPr>
                <w:rFonts w:hint="eastAsia"/>
                <w:sz w:val="18"/>
                <w:szCs w:val="18"/>
              </w:rPr>
            </w:pPr>
            <w:r>
              <w:rPr>
                <w:rFonts w:hint="eastAsia"/>
                <w:szCs w:val="28"/>
                <w:lang w:val="en-US" w:eastAsia="zh-CN"/>
              </w:rPr>
              <w:t>548</w:t>
            </w:r>
            <w:r>
              <w:rPr>
                <w:rFonts w:hint="eastAsia"/>
                <w:szCs w:val="28"/>
                <w:lang w:eastAsia="zh-CN"/>
              </w:rPr>
              <w:t>m平硐工业广场</w:t>
            </w:r>
          </w:p>
        </w:tc>
        <w:tc>
          <w:tcPr>
            <w:tcW w:w="638" w:type="pct"/>
            <w:noWrap/>
            <w:vAlign w:val="center"/>
          </w:tcPr>
          <w:p w14:paraId="187058BA">
            <w:pPr>
              <w:pStyle w:val="72"/>
              <w:rPr>
                <w:rFonts w:hint="default" w:eastAsia="仿宋"/>
                <w:sz w:val="18"/>
                <w:szCs w:val="18"/>
                <w:lang w:val="en-US" w:eastAsia="zh-CN"/>
              </w:rPr>
            </w:pPr>
            <w:r>
              <w:rPr>
                <w:rFonts w:hint="eastAsia"/>
                <w:sz w:val="18"/>
                <w:szCs w:val="18"/>
                <w:lang w:val="en-US" w:eastAsia="zh-CN"/>
              </w:rPr>
              <w:t>0.178</w:t>
            </w:r>
          </w:p>
        </w:tc>
        <w:tc>
          <w:tcPr>
            <w:tcW w:w="1461" w:type="pct"/>
            <w:vAlign w:val="center"/>
          </w:tcPr>
          <w:p w14:paraId="150F94D9">
            <w:pPr>
              <w:pStyle w:val="72"/>
              <w:rPr>
                <w:rFonts w:hint="eastAsia"/>
                <w:color w:val="000000"/>
                <w:sz w:val="18"/>
                <w:szCs w:val="18"/>
              </w:rPr>
            </w:pPr>
            <w:r>
              <w:rPr>
                <w:rFonts w:hint="eastAsia"/>
                <w:color w:val="000000"/>
                <w:sz w:val="18"/>
                <w:szCs w:val="18"/>
              </w:rPr>
              <w:t>乔木林地</w:t>
            </w:r>
          </w:p>
        </w:tc>
        <w:tc>
          <w:tcPr>
            <w:tcW w:w="2129" w:type="pct"/>
            <w:vAlign w:val="center"/>
          </w:tcPr>
          <w:p w14:paraId="11CE0288">
            <w:pPr>
              <w:pStyle w:val="72"/>
              <w:rPr>
                <w:rFonts w:hint="eastAsia"/>
                <w:color w:val="000000"/>
                <w:sz w:val="18"/>
                <w:szCs w:val="18"/>
              </w:rPr>
            </w:pPr>
            <w:r>
              <w:rPr>
                <w:rFonts w:hint="eastAsia"/>
                <w:color w:val="000000"/>
                <w:sz w:val="18"/>
                <w:szCs w:val="18"/>
              </w:rPr>
              <w:t>拆除临时建构筑物、</w:t>
            </w:r>
            <w:r>
              <w:rPr>
                <w:rFonts w:hint="eastAsia"/>
                <w:color w:val="000000"/>
                <w:sz w:val="18"/>
                <w:szCs w:val="18"/>
                <w:lang w:val="en-US" w:eastAsia="zh-CN"/>
              </w:rPr>
              <w:t>剥离硬盖层、建筑物及硬盖层回填井下、表土回填、栽植乔木</w:t>
            </w:r>
          </w:p>
        </w:tc>
      </w:tr>
      <w:tr w14:paraId="7A6D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71" w:type="pct"/>
            <w:noWrap/>
            <w:vAlign w:val="center"/>
          </w:tcPr>
          <w:p w14:paraId="6E9B4ED3">
            <w:pPr>
              <w:pStyle w:val="72"/>
              <w:rPr>
                <w:rFonts w:hint="eastAsia" w:eastAsia="仿宋"/>
                <w:sz w:val="18"/>
                <w:szCs w:val="18"/>
                <w:lang w:eastAsia="zh-CN"/>
              </w:rPr>
            </w:pPr>
            <w:r>
              <w:rPr>
                <w:rFonts w:hint="eastAsia"/>
                <w:sz w:val="18"/>
                <w:szCs w:val="18"/>
                <w:lang w:eastAsia="zh-CN"/>
              </w:rPr>
              <w:t>地裂缝</w:t>
            </w:r>
          </w:p>
        </w:tc>
        <w:tc>
          <w:tcPr>
            <w:tcW w:w="638" w:type="pct"/>
            <w:noWrap/>
            <w:vAlign w:val="center"/>
          </w:tcPr>
          <w:p w14:paraId="572BE1F9">
            <w:pPr>
              <w:pStyle w:val="72"/>
              <w:rPr>
                <w:rFonts w:hint="default" w:eastAsia="仿宋"/>
                <w:sz w:val="18"/>
                <w:szCs w:val="18"/>
                <w:lang w:val="en-US" w:eastAsia="zh-CN"/>
              </w:rPr>
            </w:pPr>
            <w:r>
              <w:rPr>
                <w:rFonts w:hint="eastAsia"/>
                <w:sz w:val="18"/>
                <w:szCs w:val="18"/>
                <w:lang w:val="en-US" w:eastAsia="zh-CN"/>
              </w:rPr>
              <w:t>0</w:t>
            </w:r>
          </w:p>
        </w:tc>
        <w:tc>
          <w:tcPr>
            <w:tcW w:w="1461" w:type="pct"/>
            <w:vAlign w:val="center"/>
          </w:tcPr>
          <w:p w14:paraId="5C12150E">
            <w:pPr>
              <w:pStyle w:val="72"/>
              <w:rPr>
                <w:rFonts w:hint="eastAsia"/>
                <w:color w:val="000000"/>
                <w:sz w:val="18"/>
                <w:szCs w:val="18"/>
              </w:rPr>
            </w:pPr>
            <w:r>
              <w:rPr>
                <w:rFonts w:hint="eastAsia"/>
                <w:color w:val="000000"/>
                <w:sz w:val="18"/>
                <w:szCs w:val="18"/>
              </w:rPr>
              <w:t>乔木林地</w:t>
            </w:r>
          </w:p>
        </w:tc>
        <w:tc>
          <w:tcPr>
            <w:tcW w:w="2129" w:type="pct"/>
            <w:vAlign w:val="center"/>
          </w:tcPr>
          <w:p w14:paraId="3CBEAFE0">
            <w:pPr>
              <w:pStyle w:val="72"/>
              <w:jc w:val="left"/>
              <w:rPr>
                <w:rFonts w:hint="default" w:eastAsia="仿宋"/>
                <w:color w:val="000000"/>
                <w:sz w:val="18"/>
                <w:szCs w:val="18"/>
                <w:lang w:val="en-US" w:eastAsia="zh-CN"/>
              </w:rPr>
            </w:pPr>
          </w:p>
        </w:tc>
      </w:tr>
      <w:tr w14:paraId="4706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71" w:type="pct"/>
            <w:noWrap/>
            <w:vAlign w:val="center"/>
          </w:tcPr>
          <w:p w14:paraId="6617F42C">
            <w:pPr>
              <w:pStyle w:val="72"/>
              <w:rPr>
                <w:rFonts w:hint="eastAsia"/>
                <w:sz w:val="18"/>
                <w:szCs w:val="18"/>
              </w:rPr>
            </w:pPr>
            <w:r>
              <w:rPr>
                <w:rFonts w:hint="eastAsia"/>
                <w:sz w:val="18"/>
                <w:szCs w:val="18"/>
              </w:rPr>
              <w:t>合计</w:t>
            </w:r>
          </w:p>
        </w:tc>
        <w:tc>
          <w:tcPr>
            <w:tcW w:w="638" w:type="pct"/>
            <w:noWrap/>
            <w:vAlign w:val="center"/>
          </w:tcPr>
          <w:p w14:paraId="3FFF2303">
            <w:pPr>
              <w:pStyle w:val="72"/>
              <w:rPr>
                <w:rFonts w:hint="eastAsia" w:eastAsia="仿宋"/>
                <w:sz w:val="18"/>
                <w:szCs w:val="18"/>
                <w:lang w:eastAsia="zh-CN"/>
              </w:rPr>
            </w:pPr>
            <w:r>
              <w:rPr>
                <w:rFonts w:hint="eastAsia"/>
                <w:color w:val="000000"/>
                <w:sz w:val="18"/>
                <w:szCs w:val="18"/>
                <w:lang w:eastAsia="zh-CN"/>
              </w:rPr>
              <w:t>1.5288</w:t>
            </w:r>
          </w:p>
        </w:tc>
        <w:tc>
          <w:tcPr>
            <w:tcW w:w="1461" w:type="pct"/>
            <w:vAlign w:val="center"/>
          </w:tcPr>
          <w:p w14:paraId="6470E17F">
            <w:pPr>
              <w:pStyle w:val="72"/>
              <w:rPr>
                <w:rFonts w:hint="eastAsia"/>
                <w:color w:val="000000"/>
                <w:sz w:val="18"/>
                <w:szCs w:val="18"/>
              </w:rPr>
            </w:pPr>
          </w:p>
        </w:tc>
        <w:tc>
          <w:tcPr>
            <w:tcW w:w="2129" w:type="pct"/>
            <w:vAlign w:val="center"/>
          </w:tcPr>
          <w:p w14:paraId="5987BA66">
            <w:pPr>
              <w:pStyle w:val="72"/>
              <w:rPr>
                <w:rFonts w:hint="eastAsia"/>
                <w:color w:val="000000"/>
                <w:sz w:val="18"/>
                <w:szCs w:val="18"/>
              </w:rPr>
            </w:pPr>
          </w:p>
        </w:tc>
      </w:tr>
    </w:tbl>
    <w:p w14:paraId="21DFA1F4">
      <w:pPr>
        <w:ind w:firstLine="560"/>
        <w:rPr>
          <w:szCs w:val="28"/>
        </w:rPr>
      </w:pPr>
      <w:r>
        <w:rPr>
          <w:rFonts w:hint="eastAsia"/>
          <w:szCs w:val="28"/>
        </w:rPr>
        <w:t>1.井口回填</w:t>
      </w:r>
      <w:bookmarkStart w:id="176" w:name="_Toc259800516"/>
      <w:bookmarkStart w:id="177" w:name="_Toc259948725"/>
    </w:p>
    <w:p w14:paraId="1B6FB956">
      <w:pPr>
        <w:ind w:firstLine="560"/>
        <w:rPr>
          <w:rFonts w:hint="eastAsia" w:ascii="宋体" w:hAnsi="宋体" w:cs="宋体"/>
          <w:szCs w:val="28"/>
        </w:rPr>
      </w:pPr>
      <w:r>
        <w:rPr>
          <w:rFonts w:hint="eastAsia" w:ascii="宋体" w:hAnsi="宋体" w:cs="宋体"/>
          <w:szCs w:val="28"/>
        </w:rPr>
        <w:t>矿山闭矿后对</w:t>
      </w:r>
      <w:r>
        <w:rPr>
          <w:rFonts w:hint="eastAsia" w:ascii="宋体" w:hAnsi="宋体" w:cs="宋体"/>
          <w:szCs w:val="28"/>
          <w:lang w:eastAsia="zh-CN"/>
        </w:rPr>
        <w:t>三处废弃</w:t>
      </w:r>
      <w:r>
        <w:rPr>
          <w:rFonts w:hint="eastAsia" w:ascii="宋体" w:hAnsi="宋体" w:cs="宋体"/>
          <w:szCs w:val="28"/>
          <w:lang w:val="en-US" w:eastAsia="zh-CN"/>
        </w:rPr>
        <w:t>平硐</w:t>
      </w:r>
      <w:r>
        <w:rPr>
          <w:rFonts w:hint="eastAsia" w:ascii="宋体" w:hAnsi="宋体" w:cs="宋体"/>
          <w:szCs w:val="28"/>
        </w:rPr>
        <w:t>进行回填，矿山闭矿前将回填井口所需矸石提前预留，不再外运，为避免新增破坏土地，设计将</w:t>
      </w:r>
      <w:r>
        <w:rPr>
          <w:rFonts w:hint="eastAsia" w:ascii="宋体" w:hAnsi="宋体" w:cs="宋体"/>
          <w:szCs w:val="28"/>
          <w:lang w:val="en-US" w:eastAsia="zh-CN"/>
        </w:rPr>
        <w:t>废石</w:t>
      </w:r>
      <w:r>
        <w:rPr>
          <w:rFonts w:hint="eastAsia" w:ascii="宋体" w:hAnsi="宋体" w:cs="宋体"/>
          <w:szCs w:val="28"/>
        </w:rPr>
        <w:t>临时储存在工业广场内的储</w:t>
      </w:r>
      <w:r>
        <w:rPr>
          <w:rFonts w:hint="eastAsia" w:ascii="宋体" w:hAnsi="宋体" w:cs="宋体"/>
          <w:szCs w:val="28"/>
          <w:lang w:eastAsia="zh-CN"/>
        </w:rPr>
        <w:t>滑石</w:t>
      </w:r>
      <w:r>
        <w:rPr>
          <w:rFonts w:hint="eastAsia" w:ascii="宋体" w:hAnsi="宋体" w:cs="宋体"/>
          <w:szCs w:val="28"/>
        </w:rPr>
        <w:t>场内</w:t>
      </w:r>
      <w:bookmarkEnd w:id="176"/>
      <w:bookmarkEnd w:id="177"/>
      <w:r>
        <w:rPr>
          <w:rFonts w:hint="eastAsia" w:ascii="宋体" w:hAnsi="宋体" w:cs="宋体"/>
          <w:szCs w:val="28"/>
        </w:rPr>
        <w:t>。</w:t>
      </w:r>
      <w:r>
        <w:rPr>
          <w:rFonts w:hint="eastAsia" w:ascii="宋体" w:hAnsi="宋体" w:cs="宋体"/>
          <w:szCs w:val="28"/>
          <w:lang w:val="en-US" w:eastAsia="zh-CN"/>
        </w:rPr>
        <w:t>废石</w:t>
      </w:r>
      <w:r>
        <w:rPr>
          <w:rFonts w:hint="eastAsia" w:ascii="宋体" w:hAnsi="宋体" w:cs="宋体"/>
          <w:szCs w:val="28"/>
        </w:rPr>
        <w:t>回填井口物料优先使用工业广场拆除的建筑垃圾进行回填，采用装载机或提升机将回填材料（建筑垃圾、</w:t>
      </w:r>
      <w:r>
        <w:rPr>
          <w:rFonts w:hint="eastAsia" w:ascii="宋体" w:hAnsi="宋体" w:cs="宋体"/>
          <w:szCs w:val="28"/>
          <w:lang w:eastAsia="zh-CN"/>
        </w:rPr>
        <w:t>滑石</w:t>
      </w:r>
      <w:r>
        <w:rPr>
          <w:rFonts w:hint="eastAsia" w:ascii="宋体" w:hAnsi="宋体" w:cs="宋体"/>
          <w:szCs w:val="28"/>
          <w:lang w:val="en-US" w:eastAsia="zh-CN"/>
        </w:rPr>
        <w:t>废石</w:t>
      </w:r>
      <w:r>
        <w:rPr>
          <w:rFonts w:hint="eastAsia" w:ascii="宋体" w:hAnsi="宋体" w:cs="宋体"/>
          <w:szCs w:val="28"/>
        </w:rPr>
        <w:t>）分层送入</w:t>
      </w:r>
      <w:r>
        <w:rPr>
          <w:rFonts w:hint="eastAsia" w:ascii="宋体" w:hAnsi="宋体" w:cs="宋体"/>
          <w:szCs w:val="28"/>
          <w:lang w:val="en-US" w:eastAsia="zh-CN"/>
        </w:rPr>
        <w:t>平硐，</w:t>
      </w:r>
      <w:r>
        <w:rPr>
          <w:rFonts w:hint="eastAsia" w:ascii="宋体" w:hAnsi="宋体" w:cs="宋体"/>
          <w:szCs w:val="28"/>
        </w:rPr>
        <w:t>若</w:t>
      </w:r>
      <w:r>
        <w:rPr>
          <w:rFonts w:hint="eastAsia" w:ascii="宋体" w:hAnsi="宋体" w:cs="宋体"/>
          <w:szCs w:val="28"/>
          <w:lang w:val="en-US" w:eastAsia="zh-CN"/>
        </w:rPr>
        <w:t>平硐</w:t>
      </w:r>
      <w:r>
        <w:rPr>
          <w:rFonts w:hint="eastAsia" w:ascii="宋体" w:hAnsi="宋体" w:cs="宋体"/>
          <w:szCs w:val="28"/>
        </w:rPr>
        <w:t>存在井壁破损、围岩坍塌隐患，先采用钢管支架进行临时加固，再进行回填。回填井口工程设计图详见图版</w:t>
      </w:r>
      <w:r>
        <w:rPr>
          <w:rFonts w:hint="eastAsia" w:ascii="宋体" w:hAnsi="宋体" w:cs="宋体"/>
          <w:szCs w:val="28"/>
          <w:lang w:val="en-US" w:eastAsia="zh-CN"/>
        </w:rPr>
        <w:t>4</w:t>
      </w:r>
      <w:r>
        <w:rPr>
          <w:rFonts w:hint="eastAsia" w:ascii="宋体" w:hAnsi="宋体" w:cs="宋体"/>
          <w:szCs w:val="28"/>
        </w:rPr>
        <w:t>-</w:t>
      </w:r>
      <w:r>
        <w:rPr>
          <w:rFonts w:hint="eastAsia" w:ascii="宋体" w:hAnsi="宋体" w:cs="宋体"/>
          <w:szCs w:val="28"/>
          <w:lang w:val="en-US" w:eastAsia="zh-CN"/>
        </w:rPr>
        <w:t>3</w:t>
      </w:r>
      <w:r>
        <w:rPr>
          <w:rFonts w:hint="eastAsia" w:ascii="宋体" w:hAnsi="宋体" w:cs="宋体"/>
          <w:szCs w:val="28"/>
        </w:rPr>
        <w:t>。</w:t>
      </w:r>
    </w:p>
    <w:p w14:paraId="2825E27F">
      <w:pPr>
        <w:pStyle w:val="18"/>
        <w:spacing w:line="240" w:lineRule="auto"/>
        <w:ind w:firstLine="560"/>
        <w:jc w:val="center"/>
        <w:rPr>
          <w:rFonts w:hint="eastAsia" w:eastAsia="宋体"/>
          <w:lang w:eastAsia="zh-CN"/>
        </w:rPr>
      </w:pPr>
      <w:r>
        <w:rPr>
          <w:rFonts w:hint="eastAsia" w:eastAsia="宋体"/>
          <w:lang w:eastAsia="zh-CN"/>
        </w:rPr>
        <w:drawing>
          <wp:inline distT="0" distB="0" distL="114300" distR="114300">
            <wp:extent cx="5050790" cy="2184400"/>
            <wp:effectExtent l="9525" t="9525" r="26035" b="15875"/>
            <wp:docPr id="13" name="图片 13" descr="平硐口封堵砌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平硐口封堵砌筑"/>
                    <pic:cNvPicPr>
                      <a:picLocks noChangeAspect="1"/>
                    </pic:cNvPicPr>
                  </pic:nvPicPr>
                  <pic:blipFill>
                    <a:blip r:embed="rId37"/>
                    <a:srcRect l="6512" t="28451" r="8290" b="25492"/>
                    <a:stretch>
                      <a:fillRect/>
                    </a:stretch>
                  </pic:blipFill>
                  <pic:spPr>
                    <a:xfrm>
                      <a:off x="0" y="0"/>
                      <a:ext cx="5050790" cy="2184400"/>
                    </a:xfrm>
                    <a:prstGeom prst="rect">
                      <a:avLst/>
                    </a:prstGeom>
                    <a:ln>
                      <a:solidFill>
                        <a:schemeClr val="tx1"/>
                      </a:solidFill>
                    </a:ln>
                  </pic:spPr>
                </pic:pic>
              </a:graphicData>
            </a:graphic>
          </wp:inline>
        </w:drawing>
      </w:r>
    </w:p>
    <w:p w14:paraId="506EFC33">
      <w:pPr>
        <w:widowControl w:val="0"/>
        <w:adjustRightInd w:val="0"/>
        <w:snapToGrid w:val="0"/>
        <w:jc w:val="center"/>
        <w:rPr>
          <w:rFonts w:ascii="Times New Roman" w:hAnsi="Times New Roman" w:eastAsia="黑体" w:cs="Times New Roman"/>
          <w:b w:val="0"/>
          <w:kern w:val="2"/>
          <w:sz w:val="21"/>
          <w:szCs w:val="28"/>
          <w:lang w:val="en-US" w:eastAsia="zh-CN" w:bidi="ar-SA"/>
        </w:rPr>
      </w:pPr>
      <w:r>
        <w:rPr>
          <w:rFonts w:hint="eastAsia" w:ascii="Times New Roman" w:hAnsi="Times New Roman" w:eastAsia="黑体" w:cs="Times New Roman"/>
          <w:b w:val="0"/>
          <w:kern w:val="2"/>
          <w:sz w:val="21"/>
          <w:szCs w:val="28"/>
          <w:lang w:val="en-US" w:eastAsia="zh-CN" w:bidi="ar-SA"/>
        </w:rPr>
        <w:t>图版4-3典型竖平硐回填工程设计图</w:t>
      </w:r>
    </w:p>
    <w:p w14:paraId="043055EE">
      <w:pPr>
        <w:ind w:firstLine="560"/>
      </w:pPr>
      <w:r>
        <w:rPr>
          <w:rFonts w:hint="eastAsia"/>
        </w:rPr>
        <w:t>2.拆除临时建构筑物</w:t>
      </w:r>
    </w:p>
    <w:p w14:paraId="716929C1">
      <w:pPr>
        <w:ind w:firstLine="560"/>
      </w:pPr>
      <w:r>
        <w:rPr>
          <w:rFonts w:hint="eastAsia"/>
          <w:lang w:eastAsia="zh-CN"/>
        </w:rPr>
        <w:t>二道滑石矿</w:t>
      </w:r>
      <w:r>
        <w:rPr>
          <w:rFonts w:hint="eastAsia"/>
        </w:rPr>
        <w:t>矿区内建构筑物</w:t>
      </w:r>
      <w:r>
        <w:rPr>
          <w:rFonts w:hint="eastAsia"/>
          <w:lang w:val="en-US" w:eastAsia="zh-CN"/>
        </w:rPr>
        <w:t>为</w:t>
      </w:r>
      <w:r>
        <w:rPr>
          <w:rFonts w:hint="eastAsia"/>
        </w:rPr>
        <w:t>水泥浆砌砖以及钢筋混凝土，针对不同结构建构筑物，拆除技术措施具体如下：</w:t>
      </w:r>
    </w:p>
    <w:p w14:paraId="5E2A18B6">
      <w:pPr>
        <w:ind w:firstLine="560"/>
      </w:pPr>
      <w:r>
        <w:rPr>
          <w:rFonts w:hint="eastAsia"/>
        </w:rPr>
        <w:t>（</w:t>
      </w:r>
      <w:r>
        <w:rPr>
          <w:rFonts w:hint="eastAsia"/>
          <w:lang w:val="en-US" w:eastAsia="zh-CN"/>
        </w:rPr>
        <w:t>1</w:t>
      </w:r>
      <w:r>
        <w:rPr>
          <w:rFonts w:hint="eastAsia"/>
        </w:rPr>
        <w:t>）水泥浆砌砖结构建构筑物（如宿舍、救护队办公室）</w:t>
      </w:r>
    </w:p>
    <w:p w14:paraId="2C46F6A6">
      <w:pPr>
        <w:ind w:firstLine="560"/>
      </w:pPr>
      <w:r>
        <w:rPr>
          <w:rFonts w:hint="eastAsia"/>
        </w:rPr>
        <w:t>采用机械破碎结合人工清理的方式，拆除前拆除门窗、管线等附属构件，核查墙体是否存在承重功能（如承重砖墙、非承重隔墙），对承重砖墙需先拆除屋顶及楼板荷载，再拆除墙体。小型低矮结构采用“机械破碎法”。使用小型液压锤或破碎镐沿结构长度方向分段破碎，破碎顺序从顶部到底部；破碎后的砖渣及时用装载机清理。中型建筑采用“分层分段拆除法”，先拆除屋面瓦/预制板，再拆除檩条、屋架，墙体使用液压锤从外墙向内墙破碎，或从非承重隔墙向承重砖墙破碎；对于转角、立柱等整体性较强的部位，可先在墙体上钻孔（采用冲击钻），再进行破碎，降低破碎难度，机械破碎后，人工清理残留的水泥浆、碎砖，分离出完整的砖块（可回收复用）。</w:t>
      </w:r>
    </w:p>
    <w:p w14:paraId="3BA32066">
      <w:pPr>
        <w:ind w:firstLine="560"/>
      </w:pPr>
      <w:r>
        <w:rPr>
          <w:rFonts w:hint="eastAsia"/>
        </w:rPr>
        <w:t>3.场地平整</w:t>
      </w:r>
    </w:p>
    <w:p w14:paraId="7C1EBE78">
      <w:pPr>
        <w:ind w:firstLine="560"/>
      </w:pPr>
      <w:r>
        <w:t>对闭矿后的场地进行平整，清除场地内较大石块，平整场地满足复垦场地需求。土地平整施工时按照从高到低的原则，根据现场的实际情况，进行测量、定线，然后将各施工现场划分若干个作业区，并确定施工顺序进行施工，当最后一块作业区完工后，对临时基地实行边撤边离边施工的方法。采用推土机、拖拉机等机械化施工设备进行联合作业。</w:t>
      </w:r>
    </w:p>
    <w:p w14:paraId="7EC7AE8C">
      <w:pPr>
        <w:ind w:firstLine="560"/>
      </w:pPr>
      <w:r>
        <w:rPr>
          <w:rFonts w:hint="eastAsia"/>
        </w:rPr>
        <w:t>4.表土剥离</w:t>
      </w:r>
    </w:p>
    <w:p w14:paraId="66FF8C47">
      <w:pPr>
        <w:tabs>
          <w:tab w:val="left" w:pos="720"/>
        </w:tabs>
        <w:ind w:firstLine="560"/>
        <w:rPr>
          <w:rFonts w:hint="eastAsia" w:eastAsia="宋体"/>
          <w:lang w:eastAsia="zh-CN"/>
        </w:rPr>
      </w:pPr>
      <w:r>
        <w:t>表土剥离施工遵循“自上而下、分层剥离、先易后难、及时储存”的流程，重点控制剥离厚度精度和表土纯度，避免混入底层砂、石、黏土等劣质土。首次剥离采用轻型履带式挖掘机进行分层剥离，第一层剥离厚度控制在10-15cm（优质耕作土优先剥离），剥离过程中由质量监督员实时测量厚度，采用标杆标识剥离深度，避免超厚剥离或漏剥；对于土壤结构松散的区域，可适当减小单次剥离厚度，防止剥离过程中土壤坍塌混入底层土；二次剥离</w:t>
      </w:r>
      <w:r>
        <w:rPr>
          <w:rFonts w:hint="eastAsia"/>
        </w:rPr>
        <w:t>剩余土层</w:t>
      </w:r>
      <w:r>
        <w:t>，两次剥离的表土分开堆放，优质耕作土单独储存，用于后续复垦耕地的表层铺设</w:t>
      </w:r>
      <w:r>
        <w:rPr>
          <w:rFonts w:hint="eastAsia"/>
        </w:rPr>
        <w:t>。</w:t>
      </w:r>
    </w:p>
    <w:p w14:paraId="2BEAA54B">
      <w:pPr>
        <w:tabs>
          <w:tab w:val="left" w:pos="720"/>
        </w:tabs>
        <w:ind w:firstLine="560"/>
      </w:pPr>
      <w:r>
        <w:rPr>
          <w:rFonts w:hint="eastAsia"/>
        </w:rPr>
        <w:t>5.表土回填</w:t>
      </w:r>
    </w:p>
    <w:p w14:paraId="21AC9CC0">
      <w:pPr>
        <w:tabs>
          <w:tab w:val="left" w:pos="720"/>
        </w:tabs>
        <w:ind w:firstLine="560"/>
      </w:pPr>
      <w:r>
        <w:rPr>
          <w:rFonts w:hint="eastAsia"/>
        </w:rPr>
        <w:t>回填前</w:t>
      </w:r>
      <w:r>
        <w:t>确认基底已完成平整、杂物清理及质量检测（压实度≥90%、无污染、无积水）</w:t>
      </w:r>
      <w:r>
        <w:rPr>
          <w:rFonts w:hint="eastAsia"/>
        </w:rPr>
        <w:t>，</w:t>
      </w:r>
      <w:r>
        <w:t>对储存的表土进行二次筛分，去除粒径＞5cm的碎石、根系等杂物；检测表土含水率（控制在15-20%），含水率过低需洒水湿润，过高需翻松晾晒；对储存期间板结的表土，采用旋耕机翻松（翻松深度≥20cm），确保土壤透气性。按“分层回填、薄层摊铺”原则施工，单次摊铺厚度控制在10-15cm，严禁一次性摊铺过厚导致压实不密实；确保摊铺后表土表面平整，坡度符合复垦要求。</w:t>
      </w:r>
    </w:p>
    <w:p w14:paraId="0C9777B5">
      <w:pPr>
        <w:ind w:firstLine="560"/>
        <w:rPr>
          <w:rFonts w:hint="eastAsia" w:eastAsia="宋体"/>
          <w:lang w:eastAsia="zh-CN"/>
        </w:rPr>
      </w:pPr>
      <w:r>
        <w:rPr>
          <w:rFonts w:hint="eastAsia"/>
          <w:lang w:val="en-US" w:eastAsia="zh-CN"/>
        </w:rPr>
        <w:t>6</w:t>
      </w:r>
      <w:r>
        <w:rPr>
          <w:rFonts w:hint="eastAsia"/>
        </w:rPr>
        <w:t>.</w:t>
      </w:r>
      <w:r>
        <w:rPr>
          <w:rFonts w:hint="eastAsia"/>
          <w:lang w:eastAsia="zh-CN"/>
        </w:rPr>
        <w:t>乔木补栽</w:t>
      </w:r>
    </w:p>
    <w:p w14:paraId="02DDF0CB">
      <w:pPr>
        <w:ind w:firstLine="560"/>
      </w:pPr>
      <w:r>
        <w:t>补栽施工遵循“先稳定基底、再精准种植、后科学养护”的原则，种植时机优先选择春季（土壤解冻后）或秋季（落叶后），避开高温干旱或严寒季节；重度塌陷区需先进行地层稳定处理，再开展种植。</w:t>
      </w:r>
      <w:r>
        <w:rPr>
          <w:rFonts w:hint="eastAsia"/>
        </w:rPr>
        <w:t>补栽乔木选择</w:t>
      </w:r>
      <w:r>
        <w:rPr>
          <w:rFonts w:hint="eastAsia"/>
          <w:lang w:eastAsia="zh-CN"/>
        </w:rPr>
        <w:t>落叶松</w:t>
      </w:r>
      <w:r>
        <w:rPr>
          <w:rFonts w:hint="eastAsia"/>
        </w:rPr>
        <w:t>。</w:t>
      </w:r>
      <w:r>
        <w:t>乔木种植坑直径为土球直径的1.5-2倍，深度比土球高度高20-30cm；</w:t>
      </w:r>
      <w:r>
        <w:rPr>
          <w:rFonts w:hint="eastAsia"/>
        </w:rPr>
        <w:t>栽植方式先将改良表土回填至种植坑底部1/3处，踩实后放入苗木，调整苗木垂直度与朝向（乔木主干直立），再分层回填表土，边回填边轻踩压实，确保根系与土壤紧密结合，种植深度比苗木原土痕高5-10cm，防止积水烂根。栽植完成后立即浇透定根水，待水分下渗后，用疏松表土或秸秆封坑，防止表土板结与水分蒸发。</w:t>
      </w:r>
    </w:p>
    <w:p w14:paraId="09451766">
      <w:pPr>
        <w:pStyle w:val="4"/>
        <w:ind w:firstLine="602"/>
        <w:rPr>
          <w:rFonts w:ascii="Times New Roman" w:hAnsi="Times New Roman"/>
          <w:szCs w:val="30"/>
        </w:rPr>
      </w:pPr>
      <w:bookmarkStart w:id="178" w:name="_Toc12103"/>
      <w:bookmarkStart w:id="179" w:name="_Toc13785"/>
      <w:bookmarkStart w:id="180" w:name="_Toc219050291"/>
      <w:r>
        <w:rPr>
          <w:rFonts w:ascii="Times New Roman" w:hAnsi="Times New Roman"/>
          <w:szCs w:val="30"/>
        </w:rPr>
        <w:t>三、工程内容</w:t>
      </w:r>
      <w:bookmarkEnd w:id="178"/>
      <w:bookmarkEnd w:id="179"/>
      <w:bookmarkEnd w:id="180"/>
    </w:p>
    <w:p w14:paraId="0321D699">
      <w:pPr>
        <w:pStyle w:val="5"/>
        <w:ind w:firstLine="562"/>
      </w:pPr>
      <w:r>
        <w:rPr>
          <w:rFonts w:hint="eastAsia"/>
        </w:rPr>
        <w:t>（一）地质灾害治理</w:t>
      </w:r>
    </w:p>
    <w:p w14:paraId="49117C7F">
      <w:pPr>
        <w:ind w:firstLine="560"/>
        <w:rPr>
          <w:rFonts w:hAnsi="宋体"/>
          <w:bCs/>
          <w:szCs w:val="28"/>
        </w:rPr>
      </w:pPr>
      <w:r>
        <w:rPr>
          <w:rFonts w:hint="eastAsia" w:hAnsi="宋体"/>
          <w:bCs/>
          <w:szCs w:val="28"/>
        </w:rPr>
        <w:t>依前述，</w:t>
      </w:r>
      <w:r>
        <w:rPr>
          <w:rFonts w:hint="eastAsia" w:hAnsi="宋体"/>
          <w:bCs/>
          <w:szCs w:val="28"/>
          <w:lang w:val="en-US" w:eastAsia="zh-CN"/>
        </w:rPr>
        <w:t>矿山有拟损毁土地、进行表土剥离、挡土墙工程、前期三处废弃平硐进行封堵、购买表土、表土回填、土壤配肥、栽植乔木、表土堆场养护每年撒播紫花苜蓿、</w:t>
      </w:r>
      <w:r>
        <w:rPr>
          <w:rFonts w:hint="eastAsia" w:hAnsi="宋体"/>
          <w:bCs/>
          <w:szCs w:val="28"/>
        </w:rPr>
        <w:t>矿山</w:t>
      </w:r>
      <w:r>
        <w:rPr>
          <w:rFonts w:hAnsi="宋体"/>
          <w:bCs/>
          <w:szCs w:val="28"/>
        </w:rPr>
        <w:t>可能</w:t>
      </w:r>
      <w:r>
        <w:rPr>
          <w:rFonts w:hint="eastAsia" w:hAnsi="宋体"/>
          <w:bCs/>
          <w:szCs w:val="28"/>
          <w:lang w:val="en-US" w:eastAsia="zh-CN"/>
        </w:rPr>
        <w:t>引发</w:t>
      </w:r>
      <w:r>
        <w:rPr>
          <w:rFonts w:hAnsi="宋体"/>
          <w:bCs/>
          <w:szCs w:val="28"/>
        </w:rPr>
        <w:t>地裂缝，地裂缝影响</w:t>
      </w:r>
      <w:r>
        <w:rPr>
          <w:rFonts w:hint="eastAsia" w:hAnsi="宋体"/>
          <w:bCs/>
          <w:szCs w:val="28"/>
          <w:lang w:val="en-US" w:eastAsia="zh-CN"/>
        </w:rPr>
        <w:t>长度</w:t>
      </w:r>
      <w:r>
        <w:rPr>
          <w:rFonts w:hAnsi="宋体"/>
          <w:bCs/>
          <w:szCs w:val="28"/>
        </w:rPr>
        <w:t>为</w:t>
      </w:r>
      <w:r>
        <w:rPr>
          <w:rFonts w:hint="eastAsia" w:hAnsi="宋体"/>
          <w:bCs/>
          <w:szCs w:val="28"/>
          <w:lang w:val="en-US" w:eastAsia="zh-CN"/>
        </w:rPr>
        <w:t>900</w:t>
      </w:r>
      <w:r>
        <w:rPr>
          <w:rFonts w:hAnsi="宋体"/>
          <w:bCs/>
          <w:szCs w:val="28"/>
        </w:rPr>
        <w:t>m。</w:t>
      </w:r>
    </w:p>
    <w:p w14:paraId="7DFC442E">
      <w:pPr>
        <w:widowControl w:val="0"/>
        <w:spacing w:line="360" w:lineRule="auto"/>
        <w:ind w:firstLine="560" w:firstLineChars="200"/>
        <w:jc w:val="both"/>
      </w:pPr>
      <w:r>
        <w:rPr>
          <w:bCs/>
        </w:rPr>
        <w:t>（</w:t>
      </w:r>
      <w:r>
        <w:rPr>
          <w:rFonts w:hint="eastAsia"/>
          <w:bCs/>
        </w:rPr>
        <w:t>1</w:t>
      </w:r>
      <w:r>
        <w:rPr>
          <w:bCs/>
        </w:rPr>
        <w:t>）</w:t>
      </w:r>
      <w:r>
        <w:rPr>
          <w:rFonts w:hint="eastAsia"/>
        </w:rPr>
        <w:t>表土剥离：设计</w:t>
      </w:r>
      <w:r>
        <w:rPr>
          <w:rFonts w:hint="eastAsia"/>
          <w:lang w:val="en-US" w:eastAsia="zh-CN"/>
        </w:rPr>
        <w:t>拟破坏区</w:t>
      </w:r>
      <w:r>
        <w:rPr>
          <w:rFonts w:hint="eastAsia"/>
        </w:rPr>
        <w:t>先剥离表层土壤，</w:t>
      </w:r>
      <w:r>
        <w:t>剥离厚度</w:t>
      </w:r>
      <w:r>
        <w:rPr>
          <w:rFonts w:hint="eastAsia"/>
        </w:rPr>
        <w:t>0.</w:t>
      </w:r>
      <w:r>
        <w:rPr>
          <w:rFonts w:hint="eastAsia"/>
          <w:lang w:val="en-US" w:eastAsia="zh-CN"/>
        </w:rPr>
        <w:t>3</w:t>
      </w:r>
      <w:r>
        <w:t>m，剥离面积</w:t>
      </w:r>
      <w:r>
        <w:rPr>
          <w:rFonts w:hint="eastAsia"/>
          <w:szCs w:val="28"/>
          <w:lang w:val="en-US" w:eastAsia="zh-CN"/>
        </w:rPr>
        <w:t>1.168</w:t>
      </w:r>
      <w:r>
        <w:rPr>
          <w:szCs w:val="28"/>
        </w:rPr>
        <w:t>h</w:t>
      </w:r>
      <w:r>
        <w:rPr>
          <w:rFonts w:hint="eastAsia"/>
          <w:szCs w:val="28"/>
        </w:rPr>
        <w:t>m²</w:t>
      </w:r>
      <w:r>
        <w:rPr>
          <w:szCs w:val="28"/>
        </w:rPr>
        <w:t>，剥离土方量</w:t>
      </w:r>
      <w:r>
        <w:rPr>
          <w:rFonts w:hint="eastAsia"/>
          <w:szCs w:val="28"/>
          <w:lang w:eastAsia="zh-CN"/>
        </w:rPr>
        <w:t>3504</w:t>
      </w:r>
      <w:r>
        <w:rPr>
          <w:rFonts w:hint="eastAsia"/>
          <w:szCs w:val="28"/>
        </w:rPr>
        <w:t>m³，剥离表土</w:t>
      </w:r>
      <w:r>
        <w:rPr>
          <w:rFonts w:hint="eastAsia"/>
          <w:szCs w:val="28"/>
          <w:lang w:val="en-US" w:eastAsia="zh-CN"/>
        </w:rPr>
        <w:t>堆放在490m平硐广场内的表土堆场内</w:t>
      </w:r>
      <w:r>
        <w:rPr>
          <w:rFonts w:hint="eastAsia"/>
          <w:szCs w:val="28"/>
        </w:rPr>
        <w:t>，用</w:t>
      </w:r>
      <w:r>
        <w:rPr>
          <w:rFonts w:hint="eastAsia" w:hAnsi="宋体"/>
          <w:bCs/>
          <w:szCs w:val="28"/>
        </w:rPr>
        <w:t>于后期</w:t>
      </w:r>
      <w:r>
        <w:rPr>
          <w:rFonts w:hint="eastAsia" w:hAnsi="宋体"/>
          <w:bCs/>
          <w:szCs w:val="28"/>
          <w:lang w:val="en-US" w:eastAsia="zh-CN"/>
        </w:rPr>
        <w:t>复垦使用，</w:t>
      </w:r>
      <w:r>
        <w:rPr>
          <w:rFonts w:hAnsi="宋体"/>
          <w:bCs/>
          <w:szCs w:val="28"/>
        </w:rPr>
        <w:t>为防止水土流失，临时堆放期间采用编织袋装土进行防护，以防止施工期间引发水土流失。四周采用编织袋装土填筑对坡脚进行防护，挡土墙（填筑高度为0.6m，填筑上宽0.6m，坡比1：1），总长为堆放场周长</w:t>
      </w:r>
      <w:r>
        <w:rPr>
          <w:rFonts w:hint="eastAsia" w:hAnsi="宋体"/>
          <w:bCs/>
          <w:szCs w:val="28"/>
          <w:lang w:val="en-US" w:eastAsia="zh-CN"/>
        </w:rPr>
        <w:t>75m</w:t>
      </w:r>
      <w:r>
        <w:rPr>
          <w:rFonts w:hint="eastAsia" w:hAnsi="宋体"/>
          <w:bCs/>
          <w:szCs w:val="28"/>
        </w:rPr>
        <w:t>。</w:t>
      </w:r>
    </w:p>
    <w:p w14:paraId="5CEB434F">
      <w:pPr>
        <w:ind w:firstLine="560"/>
        <w:rPr>
          <w:bCs/>
        </w:rPr>
      </w:pPr>
      <w:r>
        <w:rPr>
          <w:bCs/>
        </w:rPr>
        <w:t>（</w:t>
      </w:r>
      <w:r>
        <w:rPr>
          <w:rFonts w:hint="eastAsia"/>
          <w:bCs/>
          <w:lang w:val="en-US" w:eastAsia="zh-CN"/>
        </w:rPr>
        <w:t>2</w:t>
      </w:r>
      <w:r>
        <w:rPr>
          <w:bCs/>
        </w:rPr>
        <w:t>）地裂缝充填</w:t>
      </w:r>
    </w:p>
    <w:p w14:paraId="48821F71">
      <w:pPr>
        <w:ind w:firstLine="560"/>
      </w:pPr>
      <w:r>
        <w:t>预测评估可能产生地裂缝，为了避免地裂缝对人员财产以及土地资源的危害，需对地裂缝进行回填。</w:t>
      </w:r>
      <w:r>
        <w:rPr>
          <w:rFonts w:hAnsi="宋体"/>
          <w:bCs/>
          <w:szCs w:val="28"/>
        </w:rPr>
        <w:t>预测地裂缝长度</w:t>
      </w:r>
      <w:r>
        <w:rPr>
          <w:rFonts w:hint="eastAsia" w:hAnsi="宋体"/>
          <w:bCs/>
          <w:szCs w:val="28"/>
        </w:rPr>
        <w:t>约为</w:t>
      </w:r>
      <w:r>
        <w:rPr>
          <w:rFonts w:hint="eastAsia" w:hAnsi="宋体"/>
          <w:bCs/>
          <w:szCs w:val="28"/>
          <w:lang w:val="en-US" w:eastAsia="zh-CN"/>
        </w:rPr>
        <w:t>900</w:t>
      </w:r>
      <w:r>
        <w:rPr>
          <w:rFonts w:hAnsi="宋体"/>
          <w:bCs/>
          <w:szCs w:val="28"/>
        </w:rPr>
        <w:t>m，平均宽度约为0.</w:t>
      </w:r>
      <w:r>
        <w:rPr>
          <w:rFonts w:hint="eastAsia" w:hAnsi="宋体"/>
          <w:bCs/>
          <w:szCs w:val="28"/>
        </w:rPr>
        <w:t>3</w:t>
      </w:r>
      <w:r>
        <w:rPr>
          <w:rFonts w:hAnsi="宋体"/>
          <w:bCs/>
          <w:szCs w:val="28"/>
        </w:rPr>
        <w:t>m，深度约为</w:t>
      </w:r>
      <w:r>
        <w:rPr>
          <w:rFonts w:hint="eastAsia" w:hAnsi="宋体"/>
          <w:bCs/>
          <w:szCs w:val="28"/>
          <w:lang w:val="en-US" w:eastAsia="zh-CN"/>
        </w:rPr>
        <w:t>1.0</w:t>
      </w:r>
      <w:r>
        <w:rPr>
          <w:rFonts w:hAnsi="宋体"/>
          <w:bCs/>
          <w:szCs w:val="28"/>
        </w:rPr>
        <w:t>m，</w:t>
      </w:r>
      <w:r>
        <w:t>设计利用</w:t>
      </w:r>
      <w:r>
        <w:rPr>
          <w:rFonts w:hint="eastAsia"/>
          <w:lang w:val="en-US" w:eastAsia="zh-CN"/>
        </w:rPr>
        <w:t>废石</w:t>
      </w:r>
      <w:r>
        <w:rPr>
          <w:rFonts w:hint="eastAsia"/>
        </w:rPr>
        <w:t>回填地裂缝</w:t>
      </w:r>
      <w:r>
        <w:t>（平均运距0.8km左右），预计充填废石体积为</w:t>
      </w:r>
      <w:r>
        <w:rPr>
          <w:rFonts w:hint="eastAsia"/>
          <w:lang w:val="en-US" w:eastAsia="zh-CN"/>
        </w:rPr>
        <w:t>270</w:t>
      </w:r>
      <w:r>
        <w:t>m</w:t>
      </w:r>
      <w:r>
        <w:rPr>
          <w:vertAlign w:val="superscript"/>
        </w:rPr>
        <w:t>3</w:t>
      </w:r>
      <w:r>
        <w:t>。</w:t>
      </w:r>
    </w:p>
    <w:p w14:paraId="770213F5">
      <w:pPr>
        <w:ind w:firstLine="560"/>
        <w:rPr>
          <w:rFonts w:hint="eastAsia"/>
          <w:lang w:val="en-US" w:eastAsia="zh-CN"/>
        </w:rPr>
      </w:pPr>
      <w:r>
        <w:rPr>
          <w:rFonts w:hint="eastAsia"/>
        </w:rPr>
        <w:t>（</w:t>
      </w:r>
      <w:r>
        <w:rPr>
          <w:rFonts w:hint="eastAsia"/>
          <w:lang w:val="en-US" w:eastAsia="zh-CN"/>
        </w:rPr>
        <w:t>3</w:t>
      </w:r>
      <w:r>
        <w:rPr>
          <w:rFonts w:hint="eastAsia"/>
        </w:rPr>
        <w:t>）</w:t>
      </w:r>
      <w:r>
        <w:rPr>
          <w:rFonts w:hint="eastAsia"/>
          <w:lang w:val="en-US" w:eastAsia="zh-CN"/>
        </w:rPr>
        <w:t>平硐口砌筑封堵</w:t>
      </w:r>
    </w:p>
    <w:p w14:paraId="244695C2">
      <w:pPr>
        <w:ind w:firstLine="560"/>
        <w:rPr>
          <w:rFonts w:hint="eastAsia"/>
          <w:szCs w:val="28"/>
        </w:rPr>
      </w:pPr>
      <w:r>
        <w:rPr>
          <w:rFonts w:hint="eastAsia" w:ascii="宋体" w:hAnsi="宋体" w:cs="宋体"/>
          <w:smallCaps/>
          <w:szCs w:val="28"/>
        </w:rPr>
        <w:t>对</w:t>
      </w:r>
      <w:r>
        <w:rPr>
          <w:rFonts w:hint="eastAsia" w:ascii="宋体" w:hAnsi="宋体" w:cs="宋体"/>
          <w:smallCaps/>
          <w:szCs w:val="28"/>
          <w:lang w:val="en-US" w:eastAsia="zh-CN"/>
        </w:rPr>
        <w:t>原来三处废弃平硐</w:t>
      </w:r>
      <w:r>
        <w:rPr>
          <w:rFonts w:hint="eastAsia" w:ascii="宋体" w:hAnsi="宋体" w:cs="宋体"/>
          <w:smallCaps/>
          <w:szCs w:val="28"/>
        </w:rPr>
        <w:t>进行</w:t>
      </w:r>
      <w:r>
        <w:rPr>
          <w:rFonts w:hint="eastAsia" w:ascii="宋体" w:hAnsi="宋体" w:cs="宋体"/>
          <w:smallCaps/>
          <w:szCs w:val="28"/>
          <w:lang w:val="en-US" w:eastAsia="zh-CN"/>
        </w:rPr>
        <w:t>浆砌石砌筑</w:t>
      </w:r>
      <w:r>
        <w:rPr>
          <w:rFonts w:hint="eastAsia" w:ascii="宋体" w:hAnsi="宋体" w:cs="宋体"/>
          <w:smallCaps/>
          <w:szCs w:val="28"/>
        </w:rPr>
        <w:t>，</w:t>
      </w:r>
      <w:r>
        <w:rPr>
          <w:rFonts w:hint="eastAsia" w:ascii="宋体" w:hAnsi="宋体" w:cs="宋体"/>
          <w:smallCaps/>
          <w:szCs w:val="28"/>
          <w:lang w:val="en-US" w:eastAsia="zh-CN"/>
        </w:rPr>
        <w:t>平硐口两侧断面</w:t>
      </w:r>
      <w:r>
        <w:rPr>
          <w:rFonts w:hint="default" w:ascii="Times New Roman" w:hAnsi="Times New Roman" w:cs="Times New Roman"/>
          <w:smallCaps/>
          <w:szCs w:val="28"/>
          <w:lang w:val="en-US" w:eastAsia="zh-CN"/>
        </w:rPr>
        <w:t>6</w:t>
      </w:r>
      <w:r>
        <w:rPr>
          <w:rFonts w:hint="default" w:ascii="Times New Roman" w:hAnsi="Times New Roman" w:cs="Times New Roman"/>
          <w:szCs w:val="28"/>
        </w:rPr>
        <w:t>m²</w:t>
      </w:r>
      <w:r>
        <w:rPr>
          <w:rFonts w:hint="eastAsia" w:ascii="宋体" w:hAnsi="宋体" w:cs="宋体"/>
          <w:smallCaps/>
          <w:szCs w:val="28"/>
        </w:rPr>
        <w:t>，</w:t>
      </w:r>
      <w:r>
        <w:rPr>
          <w:rFonts w:hint="eastAsia" w:ascii="宋体" w:hAnsi="宋体" w:cs="宋体"/>
          <w:smallCaps/>
          <w:szCs w:val="28"/>
          <w:lang w:val="en-US" w:eastAsia="zh-CN"/>
        </w:rPr>
        <w:t>封堵长度</w:t>
      </w:r>
      <w:r>
        <w:rPr>
          <w:rFonts w:hint="eastAsia"/>
          <w:szCs w:val="28"/>
          <w:lang w:val="en-US" w:eastAsia="zh-CN"/>
        </w:rPr>
        <w:t>100m，浆砌石砌筑6</w:t>
      </w:r>
      <w:r>
        <w:rPr>
          <w:rFonts w:hint="default" w:ascii="Times New Roman" w:hAnsi="Times New Roman" w:cs="Times New Roman"/>
          <w:szCs w:val="28"/>
        </w:rPr>
        <w:t>m²</w:t>
      </w:r>
      <w:r>
        <w:rPr>
          <w:rFonts w:hint="eastAsia" w:cs="Times New Roman"/>
          <w:szCs w:val="28"/>
          <w:lang w:val="en-US" w:eastAsia="zh-CN"/>
        </w:rPr>
        <w:t>*2*3=36</w:t>
      </w:r>
      <w:r>
        <w:rPr>
          <w:rFonts w:hint="eastAsia"/>
          <w:szCs w:val="28"/>
        </w:rPr>
        <w:t>m</w:t>
      </w:r>
      <w:r>
        <w:rPr>
          <w:rFonts w:hint="default" w:ascii="Times New Roman" w:hAnsi="Times New Roman" w:cs="Times New Roman"/>
          <w:szCs w:val="28"/>
        </w:rPr>
        <w:t>³</w:t>
      </w:r>
      <w:r>
        <w:rPr>
          <w:rFonts w:hint="eastAsia" w:cs="Times New Roman"/>
          <w:szCs w:val="28"/>
          <w:lang w:val="en-US" w:eastAsia="zh-CN"/>
        </w:rPr>
        <w:t>,废石回填封堵量100m*3*6=1800</w:t>
      </w:r>
      <w:r>
        <w:rPr>
          <w:rFonts w:hint="eastAsia"/>
          <w:szCs w:val="28"/>
        </w:rPr>
        <w:t>m</w:t>
      </w:r>
      <w:r>
        <w:rPr>
          <w:rFonts w:hint="default" w:ascii="Times New Roman" w:hAnsi="Times New Roman" w:cs="Times New Roman"/>
          <w:szCs w:val="28"/>
        </w:rPr>
        <w:t>³</w:t>
      </w:r>
      <w:r>
        <w:rPr>
          <w:rFonts w:hint="eastAsia"/>
          <w:szCs w:val="28"/>
        </w:rPr>
        <w:t>。</w:t>
      </w:r>
    </w:p>
    <w:p w14:paraId="14D43802">
      <w:pPr>
        <w:ind w:firstLine="560"/>
        <w:rPr>
          <w:rFonts w:hint="eastAsia"/>
          <w:szCs w:val="28"/>
        </w:rPr>
      </w:pPr>
      <w:r>
        <w:rPr>
          <w:rFonts w:hint="eastAsia"/>
          <w:szCs w:val="28"/>
          <w:lang w:val="en-US" w:eastAsia="zh-CN"/>
        </w:rPr>
        <w:t>490m平硐、520m平硐和548m平硐在开采结束后也进行封堵；</w:t>
      </w:r>
      <w:r>
        <w:rPr>
          <w:rFonts w:hint="eastAsia" w:ascii="宋体" w:hAnsi="宋体" w:cs="宋体"/>
          <w:smallCaps/>
          <w:szCs w:val="28"/>
          <w:lang w:val="en-US" w:eastAsia="zh-CN"/>
        </w:rPr>
        <w:t>平硐口断面</w:t>
      </w:r>
      <w:r>
        <w:rPr>
          <w:rFonts w:hint="eastAsia" w:cs="Times New Roman"/>
          <w:smallCaps/>
          <w:szCs w:val="28"/>
          <w:lang w:val="en-US" w:eastAsia="zh-CN"/>
        </w:rPr>
        <w:t>5.49</w:t>
      </w:r>
      <w:r>
        <w:rPr>
          <w:rFonts w:hint="default" w:ascii="Times New Roman" w:hAnsi="Times New Roman" w:cs="Times New Roman"/>
          <w:szCs w:val="28"/>
        </w:rPr>
        <w:t>m²</w:t>
      </w:r>
      <w:r>
        <w:rPr>
          <w:rFonts w:hint="eastAsia" w:ascii="宋体" w:hAnsi="宋体" w:cs="宋体"/>
          <w:smallCaps/>
          <w:szCs w:val="28"/>
        </w:rPr>
        <w:t>，</w:t>
      </w:r>
      <w:r>
        <w:rPr>
          <w:rFonts w:hint="eastAsia" w:ascii="宋体" w:hAnsi="宋体" w:cs="宋体"/>
          <w:smallCaps/>
          <w:szCs w:val="28"/>
          <w:lang w:val="en-US" w:eastAsia="zh-CN"/>
        </w:rPr>
        <w:t>封堵长度</w:t>
      </w:r>
      <w:r>
        <w:rPr>
          <w:rFonts w:hint="eastAsia"/>
          <w:szCs w:val="28"/>
          <w:lang w:val="en-US" w:eastAsia="zh-CN"/>
        </w:rPr>
        <w:t>100m，浆砌石砌筑5.49</w:t>
      </w:r>
      <w:r>
        <w:rPr>
          <w:rFonts w:hint="default" w:ascii="Times New Roman" w:hAnsi="Times New Roman" w:cs="Times New Roman"/>
          <w:szCs w:val="28"/>
        </w:rPr>
        <w:t>m²</w:t>
      </w:r>
      <w:r>
        <w:rPr>
          <w:rFonts w:hint="eastAsia" w:cs="Times New Roman"/>
          <w:szCs w:val="28"/>
          <w:lang w:val="en-US" w:eastAsia="zh-CN"/>
        </w:rPr>
        <w:t>*2*3=32.94</w:t>
      </w:r>
      <w:r>
        <w:rPr>
          <w:rFonts w:hint="eastAsia"/>
          <w:szCs w:val="28"/>
        </w:rPr>
        <w:t>m</w:t>
      </w:r>
      <w:r>
        <w:rPr>
          <w:rFonts w:hint="default" w:ascii="Times New Roman" w:hAnsi="Times New Roman" w:cs="Times New Roman"/>
          <w:szCs w:val="28"/>
        </w:rPr>
        <w:t>³</w:t>
      </w:r>
      <w:r>
        <w:rPr>
          <w:rFonts w:hint="eastAsia" w:cs="Times New Roman"/>
          <w:szCs w:val="28"/>
          <w:lang w:val="en-US" w:eastAsia="zh-CN"/>
        </w:rPr>
        <w:t>,废石回填封堵量100m*3*6=1800</w:t>
      </w:r>
      <w:r>
        <w:rPr>
          <w:rFonts w:hint="eastAsia"/>
          <w:szCs w:val="28"/>
        </w:rPr>
        <w:t>m</w:t>
      </w:r>
      <w:r>
        <w:rPr>
          <w:rFonts w:hint="default" w:ascii="Times New Roman" w:hAnsi="Times New Roman" w:cs="Times New Roman"/>
          <w:szCs w:val="28"/>
        </w:rPr>
        <w:t>³</w:t>
      </w:r>
      <w:r>
        <w:rPr>
          <w:rFonts w:hint="eastAsia"/>
          <w:szCs w:val="28"/>
        </w:rPr>
        <w:t>。</w:t>
      </w:r>
    </w:p>
    <w:p w14:paraId="4D6E16E2">
      <w:pPr>
        <w:ind w:firstLine="560"/>
        <w:rPr>
          <w:rFonts w:hint="eastAsia"/>
          <w:szCs w:val="28"/>
        </w:rPr>
      </w:pPr>
      <w:r>
        <w:rPr>
          <w:rFonts w:hint="eastAsia"/>
          <w:szCs w:val="28"/>
          <w:lang w:val="en-US" w:eastAsia="zh-CN"/>
        </w:rPr>
        <w:t>小计浆砌石砌筑为68.94</w:t>
      </w:r>
      <w:r>
        <w:rPr>
          <w:rFonts w:hint="eastAsia"/>
          <w:szCs w:val="28"/>
        </w:rPr>
        <w:t>m</w:t>
      </w:r>
      <w:r>
        <w:rPr>
          <w:rFonts w:hint="default" w:ascii="Times New Roman" w:hAnsi="Times New Roman" w:cs="Times New Roman"/>
          <w:szCs w:val="28"/>
        </w:rPr>
        <w:t>³</w:t>
      </w:r>
      <w:r>
        <w:rPr>
          <w:rFonts w:hint="eastAsia" w:cs="Times New Roman"/>
          <w:szCs w:val="28"/>
          <w:lang w:eastAsia="zh-CN"/>
        </w:rPr>
        <w:t>，</w:t>
      </w:r>
      <w:r>
        <w:rPr>
          <w:rFonts w:hint="eastAsia" w:cs="Times New Roman"/>
          <w:szCs w:val="28"/>
          <w:lang w:val="en-US" w:eastAsia="zh-CN"/>
        </w:rPr>
        <w:t>废石回填封堵3600</w:t>
      </w:r>
      <w:r>
        <w:rPr>
          <w:rFonts w:hint="eastAsia"/>
          <w:szCs w:val="28"/>
        </w:rPr>
        <w:t>m</w:t>
      </w:r>
      <w:r>
        <w:rPr>
          <w:rFonts w:hint="default" w:ascii="Times New Roman" w:hAnsi="Times New Roman" w:cs="Times New Roman"/>
          <w:szCs w:val="28"/>
        </w:rPr>
        <w:t>³</w:t>
      </w:r>
      <w:r>
        <w:rPr>
          <w:rFonts w:hint="eastAsia"/>
          <w:szCs w:val="28"/>
        </w:rPr>
        <w:t>。</w:t>
      </w:r>
    </w:p>
    <w:p w14:paraId="0D34A0AE">
      <w:pPr>
        <w:pStyle w:val="57"/>
        <w:rPr>
          <w:rFonts w:hint="eastAsia"/>
        </w:rPr>
      </w:pPr>
      <w:r>
        <w:rPr>
          <w:rFonts w:hint="eastAsia"/>
        </w:rPr>
        <w:t>表4-</w:t>
      </w:r>
      <w:r>
        <w:rPr>
          <w:rFonts w:hint="eastAsia"/>
          <w:lang w:val="en-US" w:eastAsia="zh-CN"/>
        </w:rPr>
        <w:t>4</w:t>
      </w:r>
      <w:r>
        <w:rPr>
          <w:rFonts w:hint="eastAsia"/>
        </w:rPr>
        <w:t>井口回填矸石需求量计算表</w:t>
      </w:r>
    </w:p>
    <w:tbl>
      <w:tblPr>
        <w:tblStyle w:val="42"/>
        <w:tblpPr w:leftFromText="180" w:rightFromText="180" w:vertAnchor="text" w:horzAnchor="page" w:tblpX="1788" w:tblpY="28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1371"/>
        <w:gridCol w:w="1384"/>
        <w:gridCol w:w="1097"/>
        <w:gridCol w:w="1491"/>
        <w:gridCol w:w="1672"/>
      </w:tblGrid>
      <w:tr w14:paraId="1FC2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804" w:type="dxa"/>
            <w:vAlign w:val="center"/>
          </w:tcPr>
          <w:p w14:paraId="3C5379C4">
            <w:pPr>
              <w:pStyle w:val="72"/>
              <w:rPr>
                <w:rFonts w:hint="default" w:ascii="Times New Roman" w:hAnsi="Times New Roman" w:cs="Times New Roman"/>
              </w:rPr>
            </w:pPr>
            <w:r>
              <w:rPr>
                <w:rFonts w:hint="default" w:ascii="Times New Roman" w:hAnsi="Times New Roman" w:cs="Times New Roman"/>
                <w:lang w:val="en-US" w:eastAsia="zh-CN"/>
              </w:rPr>
              <w:t>平硐</w:t>
            </w:r>
            <w:r>
              <w:rPr>
                <w:rFonts w:hint="default" w:ascii="Times New Roman" w:hAnsi="Times New Roman" w:cs="Times New Roman"/>
              </w:rPr>
              <w:t>名称</w:t>
            </w:r>
          </w:p>
        </w:tc>
        <w:tc>
          <w:tcPr>
            <w:tcW w:w="1371" w:type="dxa"/>
            <w:vAlign w:val="center"/>
          </w:tcPr>
          <w:p w14:paraId="2B3038F3">
            <w:pPr>
              <w:pStyle w:val="72"/>
              <w:rPr>
                <w:rFonts w:hint="default" w:ascii="Times New Roman" w:hAnsi="Times New Roman" w:cs="Times New Roman"/>
              </w:rPr>
            </w:pPr>
            <w:r>
              <w:rPr>
                <w:rFonts w:hint="default" w:ascii="Times New Roman" w:hAnsi="Times New Roman" w:cs="Times New Roman"/>
                <w:lang w:val="en-US" w:eastAsia="zh-CN"/>
              </w:rPr>
              <w:t>平硐</w:t>
            </w:r>
            <w:r>
              <w:rPr>
                <w:rFonts w:hint="default" w:ascii="Times New Roman" w:hAnsi="Times New Roman" w:cs="Times New Roman"/>
              </w:rPr>
              <w:t>标高（m）</w:t>
            </w:r>
          </w:p>
        </w:tc>
        <w:tc>
          <w:tcPr>
            <w:tcW w:w="1384" w:type="dxa"/>
            <w:vAlign w:val="center"/>
          </w:tcPr>
          <w:p w14:paraId="5222A277">
            <w:pPr>
              <w:pStyle w:val="72"/>
              <w:rPr>
                <w:rFonts w:hint="default" w:ascii="Times New Roman" w:hAnsi="Times New Roman" w:cs="Times New Roman"/>
              </w:rPr>
            </w:pPr>
            <w:r>
              <w:rPr>
                <w:rFonts w:hint="default" w:ascii="Times New Roman" w:hAnsi="Times New Roman" w:cs="Times New Roman"/>
                <w:lang w:val="en-US" w:eastAsia="zh-CN"/>
              </w:rPr>
              <w:t>平硐断面</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p>
        </w:tc>
        <w:tc>
          <w:tcPr>
            <w:tcW w:w="1097" w:type="dxa"/>
            <w:vAlign w:val="center"/>
          </w:tcPr>
          <w:p w14:paraId="37191E70">
            <w:pPr>
              <w:pStyle w:val="72"/>
              <w:rPr>
                <w:rFonts w:hint="default" w:ascii="Times New Roman" w:hAnsi="Times New Roman" w:cs="Times New Roman"/>
              </w:rPr>
            </w:pPr>
            <w:r>
              <w:rPr>
                <w:rFonts w:hint="default" w:ascii="Times New Roman" w:hAnsi="Times New Roman" w:cs="Times New Roman"/>
                <w:lang w:val="en-US" w:eastAsia="zh-CN"/>
              </w:rPr>
              <w:t>浆砌石砌筑</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p>
        </w:tc>
        <w:tc>
          <w:tcPr>
            <w:tcW w:w="1491" w:type="dxa"/>
            <w:vAlign w:val="center"/>
          </w:tcPr>
          <w:p w14:paraId="012D3F6D">
            <w:pPr>
              <w:pStyle w:val="72"/>
              <w:rPr>
                <w:rFonts w:hint="default" w:ascii="Times New Roman" w:hAnsi="Times New Roman" w:cs="Times New Roman"/>
              </w:rPr>
            </w:pPr>
            <w:r>
              <w:rPr>
                <w:rFonts w:hint="default" w:ascii="Times New Roman" w:hAnsi="Times New Roman" w:cs="Times New Roman"/>
                <w:lang w:val="en-US" w:eastAsia="zh-CN"/>
              </w:rPr>
              <w:t>回填深度</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p>
        </w:tc>
        <w:tc>
          <w:tcPr>
            <w:tcW w:w="1672" w:type="dxa"/>
            <w:vAlign w:val="center"/>
          </w:tcPr>
          <w:p w14:paraId="24B8ABD0">
            <w:pPr>
              <w:pStyle w:val="72"/>
              <w:rPr>
                <w:rFonts w:hint="default" w:ascii="Times New Roman" w:hAnsi="Times New Roman" w:cs="Times New Roman"/>
              </w:rPr>
            </w:pPr>
            <w:r>
              <w:rPr>
                <w:rFonts w:hint="default" w:ascii="Times New Roman" w:hAnsi="Times New Roman" w:cs="Times New Roman"/>
                <w:lang w:val="en-US" w:eastAsia="zh-CN"/>
              </w:rPr>
              <w:t>废石</w:t>
            </w:r>
            <w:r>
              <w:rPr>
                <w:rFonts w:hint="default" w:ascii="Times New Roman" w:hAnsi="Times New Roman" w:cs="Times New Roman"/>
              </w:rPr>
              <w:t>回填量（m</w:t>
            </w:r>
            <w:r>
              <w:rPr>
                <w:rFonts w:hint="default" w:ascii="Times New Roman" w:hAnsi="Times New Roman" w:cs="Times New Roman"/>
                <w:vertAlign w:val="superscript"/>
              </w:rPr>
              <w:t>3</w:t>
            </w:r>
            <w:r>
              <w:rPr>
                <w:rFonts w:hint="default" w:ascii="Times New Roman" w:hAnsi="Times New Roman" w:cs="Times New Roman"/>
              </w:rPr>
              <w:t>）</w:t>
            </w:r>
          </w:p>
        </w:tc>
      </w:tr>
      <w:tr w14:paraId="3EB6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804" w:type="dxa"/>
            <w:vAlign w:val="center"/>
          </w:tcPr>
          <w:p w14:paraId="6DA7ABFB">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原</w:t>
            </w:r>
            <w:r>
              <w:rPr>
                <w:rFonts w:hint="eastAsia" w:ascii="Times New Roman" w:hAnsi="Times New Roman" w:cs="Times New Roman"/>
                <w:lang w:val="en-US" w:eastAsia="zh-CN"/>
              </w:rPr>
              <w:t>废石三处平硐</w:t>
            </w:r>
          </w:p>
        </w:tc>
        <w:tc>
          <w:tcPr>
            <w:tcW w:w="1371" w:type="dxa"/>
            <w:vAlign w:val="center"/>
          </w:tcPr>
          <w:p w14:paraId="7043D513">
            <w:pPr>
              <w:pStyle w:val="72"/>
              <w:rPr>
                <w:rFonts w:hint="default" w:ascii="Times New Roman" w:hAnsi="Times New Roman" w:eastAsia="仿宋" w:cs="Times New Roman"/>
                <w:lang w:val="en-US" w:eastAsia="zh-CN"/>
              </w:rPr>
            </w:pPr>
            <w:r>
              <w:rPr>
                <w:rFonts w:hint="default" w:ascii="Times New Roman" w:hAnsi="Times New Roman" w:cs="Times New Roman"/>
              </w:rPr>
              <w:t>+</w:t>
            </w:r>
            <w:r>
              <w:rPr>
                <w:rFonts w:hint="eastAsia" w:ascii="Times New Roman" w:hAnsi="Times New Roman" w:cs="Times New Roman"/>
                <w:lang w:val="en-US" w:eastAsia="zh-CN"/>
              </w:rPr>
              <w:t>548</w:t>
            </w:r>
            <w:r>
              <w:rPr>
                <w:rFonts w:hint="default" w:ascii="Times New Roman" w:hAnsi="Times New Roman" w:cs="Times New Roman"/>
                <w:lang w:val="en-US" w:eastAsia="zh-CN"/>
              </w:rPr>
              <w:t>m、</w:t>
            </w:r>
            <w:r>
              <w:rPr>
                <w:rFonts w:hint="default" w:ascii="Times New Roman" w:hAnsi="Times New Roman" w:cs="Times New Roman"/>
              </w:rPr>
              <w:t>+</w:t>
            </w:r>
            <w:r>
              <w:rPr>
                <w:rFonts w:hint="eastAsia" w:ascii="Times New Roman" w:hAnsi="Times New Roman" w:cs="Times New Roman"/>
                <w:lang w:val="en-US" w:eastAsia="zh-CN"/>
              </w:rPr>
              <w:t>533</w:t>
            </w:r>
            <w:r>
              <w:rPr>
                <w:rFonts w:hint="default" w:ascii="Times New Roman" w:hAnsi="Times New Roman" w:cs="Times New Roman"/>
                <w:lang w:val="en-US" w:eastAsia="zh-CN"/>
              </w:rPr>
              <w:t>m、</w:t>
            </w:r>
            <w:r>
              <w:rPr>
                <w:rFonts w:hint="default" w:ascii="Times New Roman" w:hAnsi="Times New Roman" w:cs="Times New Roman"/>
              </w:rPr>
              <w:t>+</w:t>
            </w:r>
            <w:r>
              <w:rPr>
                <w:rFonts w:hint="default" w:ascii="Times New Roman" w:hAnsi="Times New Roman" w:cs="Times New Roman"/>
                <w:lang w:val="en-US" w:eastAsia="zh-CN"/>
              </w:rPr>
              <w:t>5</w:t>
            </w:r>
            <w:r>
              <w:rPr>
                <w:rFonts w:hint="eastAsia" w:ascii="Times New Roman" w:hAnsi="Times New Roman" w:cs="Times New Roman"/>
                <w:lang w:val="en-US" w:eastAsia="zh-CN"/>
              </w:rPr>
              <w:t>2</w:t>
            </w:r>
            <w:r>
              <w:rPr>
                <w:rFonts w:hint="default" w:ascii="Times New Roman" w:hAnsi="Times New Roman" w:cs="Times New Roman"/>
                <w:lang w:val="en-US" w:eastAsia="zh-CN"/>
              </w:rPr>
              <w:t>0m</w:t>
            </w:r>
          </w:p>
        </w:tc>
        <w:tc>
          <w:tcPr>
            <w:tcW w:w="1384" w:type="dxa"/>
            <w:vAlign w:val="center"/>
          </w:tcPr>
          <w:p w14:paraId="0FFCE4DE">
            <w:pPr>
              <w:pStyle w:val="72"/>
              <w:rPr>
                <w:rFonts w:hint="default" w:ascii="Times New Roman" w:hAnsi="Times New Roman" w:cs="Times New Roman"/>
                <w:lang w:val="en-US" w:eastAsia="zh-CN"/>
              </w:rPr>
            </w:pPr>
            <w:r>
              <w:rPr>
                <w:rFonts w:hint="default" w:ascii="Times New Roman" w:hAnsi="Times New Roman" w:cs="Times New Roman"/>
                <w:lang w:val="en-US" w:eastAsia="zh-CN"/>
              </w:rPr>
              <w:t>6</w:t>
            </w:r>
          </w:p>
        </w:tc>
        <w:tc>
          <w:tcPr>
            <w:tcW w:w="1097" w:type="dxa"/>
            <w:vAlign w:val="center"/>
          </w:tcPr>
          <w:p w14:paraId="7D7F2D7A">
            <w:pPr>
              <w:pStyle w:val="72"/>
              <w:rPr>
                <w:rFonts w:hint="default" w:ascii="Times New Roman" w:hAnsi="Times New Roman" w:cs="Times New Roman"/>
                <w:lang w:val="en-US" w:eastAsia="zh-CN"/>
              </w:rPr>
            </w:pPr>
            <w:r>
              <w:rPr>
                <w:rFonts w:hint="default" w:ascii="Times New Roman" w:hAnsi="Times New Roman" w:cs="Times New Roman"/>
                <w:lang w:val="en-US" w:eastAsia="zh-CN"/>
              </w:rPr>
              <w:t>36</w:t>
            </w:r>
          </w:p>
        </w:tc>
        <w:tc>
          <w:tcPr>
            <w:tcW w:w="1491" w:type="dxa"/>
            <w:vAlign w:val="center"/>
          </w:tcPr>
          <w:p w14:paraId="42F44983">
            <w:pPr>
              <w:pStyle w:val="72"/>
              <w:rPr>
                <w:rFonts w:hint="default" w:ascii="Times New Roman" w:hAnsi="Times New Roman" w:cs="Times New Roman"/>
                <w:lang w:val="en-US" w:eastAsia="zh-CN"/>
              </w:rPr>
            </w:pPr>
            <w:r>
              <w:rPr>
                <w:rFonts w:hint="default" w:ascii="Times New Roman" w:hAnsi="Times New Roman" w:cs="Times New Roman"/>
                <w:lang w:val="en-US" w:eastAsia="zh-CN"/>
              </w:rPr>
              <w:t>100</w:t>
            </w:r>
          </w:p>
        </w:tc>
        <w:tc>
          <w:tcPr>
            <w:tcW w:w="1672" w:type="dxa"/>
            <w:vAlign w:val="center"/>
          </w:tcPr>
          <w:p w14:paraId="248AB9BE">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1800</w:t>
            </w:r>
          </w:p>
        </w:tc>
      </w:tr>
      <w:tr w14:paraId="0B67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1804" w:type="dxa"/>
            <w:vAlign w:val="center"/>
          </w:tcPr>
          <w:p w14:paraId="51CA3CB7">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490m平硐</w:t>
            </w:r>
          </w:p>
        </w:tc>
        <w:tc>
          <w:tcPr>
            <w:tcW w:w="1371" w:type="dxa"/>
            <w:vAlign w:val="center"/>
          </w:tcPr>
          <w:p w14:paraId="796F0697">
            <w:pPr>
              <w:pStyle w:val="72"/>
              <w:rPr>
                <w:rFonts w:hint="default" w:ascii="Times New Roman" w:hAnsi="Times New Roman" w:cs="Times New Roman"/>
              </w:rPr>
            </w:pPr>
            <w:r>
              <w:rPr>
                <w:rFonts w:hint="default" w:ascii="Times New Roman" w:hAnsi="Times New Roman" w:cs="Times New Roman"/>
                <w:lang w:val="en-US" w:eastAsia="zh-CN"/>
              </w:rPr>
              <w:t>+490m</w:t>
            </w:r>
          </w:p>
        </w:tc>
        <w:tc>
          <w:tcPr>
            <w:tcW w:w="1384" w:type="dxa"/>
            <w:vAlign w:val="center"/>
          </w:tcPr>
          <w:p w14:paraId="4F99C561">
            <w:pPr>
              <w:pStyle w:val="72"/>
              <w:rPr>
                <w:rFonts w:hint="default" w:ascii="Times New Roman" w:hAnsi="Times New Roman" w:cs="Times New Roman"/>
                <w:lang w:val="en-US" w:eastAsia="zh-CN"/>
              </w:rPr>
            </w:pPr>
            <w:r>
              <w:rPr>
                <w:rFonts w:hint="default" w:ascii="Times New Roman" w:hAnsi="Times New Roman" w:cs="Times New Roman"/>
                <w:lang w:val="en-US" w:eastAsia="zh-CN"/>
              </w:rPr>
              <w:t>5.49</w:t>
            </w:r>
          </w:p>
        </w:tc>
        <w:tc>
          <w:tcPr>
            <w:tcW w:w="1097" w:type="dxa"/>
            <w:vAlign w:val="center"/>
          </w:tcPr>
          <w:p w14:paraId="2B152C4A">
            <w:pPr>
              <w:pStyle w:val="72"/>
              <w:rPr>
                <w:rFonts w:hint="default" w:ascii="Times New Roman" w:hAnsi="Times New Roman" w:cs="Times New Roman"/>
                <w:lang w:val="en-US" w:eastAsia="zh-CN"/>
              </w:rPr>
            </w:pPr>
            <w:r>
              <w:rPr>
                <w:rFonts w:hint="default" w:ascii="Times New Roman" w:hAnsi="Times New Roman" w:cs="Times New Roman"/>
                <w:lang w:val="en-US" w:eastAsia="zh-CN"/>
              </w:rPr>
              <w:t>10.98</w:t>
            </w:r>
          </w:p>
        </w:tc>
        <w:tc>
          <w:tcPr>
            <w:tcW w:w="1491" w:type="dxa"/>
            <w:vAlign w:val="center"/>
          </w:tcPr>
          <w:p w14:paraId="4AB179CB">
            <w:pPr>
              <w:pStyle w:val="72"/>
              <w:rPr>
                <w:rFonts w:hint="default" w:ascii="Times New Roman" w:hAnsi="Times New Roman" w:cs="Times New Roman"/>
                <w:lang w:val="en-US" w:eastAsia="zh-CN"/>
              </w:rPr>
            </w:pPr>
            <w:r>
              <w:rPr>
                <w:rFonts w:hint="default" w:ascii="Times New Roman" w:hAnsi="Times New Roman" w:cs="Times New Roman"/>
                <w:lang w:val="en-US" w:eastAsia="zh-CN"/>
              </w:rPr>
              <w:t>100</w:t>
            </w:r>
          </w:p>
        </w:tc>
        <w:tc>
          <w:tcPr>
            <w:tcW w:w="1672" w:type="dxa"/>
            <w:vAlign w:val="center"/>
          </w:tcPr>
          <w:p w14:paraId="794C4108">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600</w:t>
            </w:r>
          </w:p>
        </w:tc>
      </w:tr>
      <w:tr w14:paraId="6207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trPr>
        <w:tc>
          <w:tcPr>
            <w:tcW w:w="1804" w:type="dxa"/>
            <w:vAlign w:val="center"/>
          </w:tcPr>
          <w:p w14:paraId="4EB39A86">
            <w:pPr>
              <w:pStyle w:val="72"/>
              <w:rPr>
                <w:rFonts w:hint="default" w:ascii="Times New Roman" w:hAnsi="Times New Roman" w:cs="Times New Roman"/>
              </w:rPr>
            </w:pPr>
            <w:r>
              <w:rPr>
                <w:rFonts w:hint="default" w:ascii="Times New Roman" w:hAnsi="Times New Roman" w:cs="Times New Roman"/>
                <w:lang w:val="en-US" w:eastAsia="zh-CN"/>
              </w:rPr>
              <w:t>520m平硐</w:t>
            </w:r>
          </w:p>
        </w:tc>
        <w:tc>
          <w:tcPr>
            <w:tcW w:w="1371" w:type="dxa"/>
            <w:vAlign w:val="center"/>
          </w:tcPr>
          <w:p w14:paraId="674E4AB7">
            <w:pPr>
              <w:pStyle w:val="72"/>
              <w:rPr>
                <w:rFonts w:hint="default" w:ascii="Times New Roman" w:hAnsi="Times New Roman" w:cs="Times New Roman"/>
              </w:rPr>
            </w:pPr>
            <w:r>
              <w:rPr>
                <w:rFonts w:hint="default" w:ascii="Times New Roman" w:hAnsi="Times New Roman" w:cs="Times New Roman"/>
                <w:lang w:val="en-US" w:eastAsia="zh-CN"/>
              </w:rPr>
              <w:t>+520m</w:t>
            </w:r>
          </w:p>
        </w:tc>
        <w:tc>
          <w:tcPr>
            <w:tcW w:w="1384" w:type="dxa"/>
            <w:vAlign w:val="center"/>
          </w:tcPr>
          <w:p w14:paraId="5E91DCBF">
            <w:pPr>
              <w:pStyle w:val="72"/>
              <w:rPr>
                <w:rFonts w:hint="default" w:ascii="Times New Roman" w:hAnsi="Times New Roman" w:cs="Times New Roman"/>
                <w:lang w:val="en-US" w:eastAsia="zh-CN"/>
              </w:rPr>
            </w:pPr>
            <w:r>
              <w:rPr>
                <w:rFonts w:hint="default" w:ascii="Times New Roman" w:hAnsi="Times New Roman" w:cs="Times New Roman"/>
                <w:lang w:val="en-US" w:eastAsia="zh-CN"/>
              </w:rPr>
              <w:t>5.49</w:t>
            </w:r>
          </w:p>
        </w:tc>
        <w:tc>
          <w:tcPr>
            <w:tcW w:w="1097" w:type="dxa"/>
            <w:vAlign w:val="center"/>
          </w:tcPr>
          <w:p w14:paraId="79F3055D">
            <w:pPr>
              <w:pStyle w:val="72"/>
              <w:rPr>
                <w:rFonts w:hint="default" w:ascii="Times New Roman" w:hAnsi="Times New Roman" w:cs="Times New Roman"/>
                <w:lang w:val="en-US" w:eastAsia="zh-CN"/>
              </w:rPr>
            </w:pPr>
            <w:r>
              <w:rPr>
                <w:rFonts w:hint="default" w:ascii="Times New Roman" w:hAnsi="Times New Roman" w:cs="Times New Roman"/>
                <w:lang w:val="en-US" w:eastAsia="zh-CN"/>
              </w:rPr>
              <w:t>10.98</w:t>
            </w:r>
          </w:p>
        </w:tc>
        <w:tc>
          <w:tcPr>
            <w:tcW w:w="1491" w:type="dxa"/>
            <w:vAlign w:val="center"/>
          </w:tcPr>
          <w:p w14:paraId="49A3F1C7">
            <w:pPr>
              <w:pStyle w:val="72"/>
              <w:rPr>
                <w:rFonts w:hint="default" w:ascii="Times New Roman" w:hAnsi="Times New Roman" w:cs="Times New Roman"/>
                <w:lang w:val="en-US" w:eastAsia="zh-CN"/>
              </w:rPr>
            </w:pPr>
            <w:r>
              <w:rPr>
                <w:rFonts w:hint="default" w:ascii="Times New Roman" w:hAnsi="Times New Roman" w:cs="Times New Roman"/>
                <w:lang w:val="en-US" w:eastAsia="zh-CN"/>
              </w:rPr>
              <w:t>100</w:t>
            </w:r>
          </w:p>
        </w:tc>
        <w:tc>
          <w:tcPr>
            <w:tcW w:w="1672" w:type="dxa"/>
            <w:vAlign w:val="center"/>
          </w:tcPr>
          <w:p w14:paraId="55439BCC">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600</w:t>
            </w:r>
          </w:p>
        </w:tc>
      </w:tr>
      <w:tr w14:paraId="69DF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exact"/>
        </w:trPr>
        <w:tc>
          <w:tcPr>
            <w:tcW w:w="1804" w:type="dxa"/>
            <w:vAlign w:val="center"/>
          </w:tcPr>
          <w:p w14:paraId="18FFC122">
            <w:pPr>
              <w:pStyle w:val="72"/>
              <w:rPr>
                <w:rFonts w:hint="default" w:ascii="Times New Roman" w:hAnsi="Times New Roman" w:cs="Times New Roman"/>
              </w:rPr>
            </w:pPr>
            <w:r>
              <w:rPr>
                <w:rFonts w:hint="default" w:ascii="Times New Roman" w:hAnsi="Times New Roman" w:cs="Times New Roman"/>
                <w:lang w:val="en-US" w:eastAsia="zh-CN"/>
              </w:rPr>
              <w:t>548m平硐</w:t>
            </w:r>
          </w:p>
        </w:tc>
        <w:tc>
          <w:tcPr>
            <w:tcW w:w="1371" w:type="dxa"/>
            <w:vAlign w:val="center"/>
          </w:tcPr>
          <w:p w14:paraId="578F3113">
            <w:pPr>
              <w:pStyle w:val="72"/>
              <w:rPr>
                <w:rFonts w:hint="default" w:ascii="Times New Roman" w:hAnsi="Times New Roman" w:cs="Times New Roman"/>
              </w:rPr>
            </w:pPr>
            <w:r>
              <w:rPr>
                <w:rFonts w:hint="default" w:ascii="Times New Roman" w:hAnsi="Times New Roman" w:cs="Times New Roman"/>
                <w:lang w:val="en-US" w:eastAsia="zh-CN"/>
              </w:rPr>
              <w:t>+548m</w:t>
            </w:r>
          </w:p>
        </w:tc>
        <w:tc>
          <w:tcPr>
            <w:tcW w:w="1384" w:type="dxa"/>
            <w:vAlign w:val="center"/>
          </w:tcPr>
          <w:p w14:paraId="155016C7">
            <w:pPr>
              <w:pStyle w:val="72"/>
              <w:rPr>
                <w:rFonts w:hint="default" w:ascii="Times New Roman" w:hAnsi="Times New Roman" w:cs="Times New Roman"/>
                <w:lang w:val="en-US" w:eastAsia="zh-CN"/>
              </w:rPr>
            </w:pPr>
            <w:r>
              <w:rPr>
                <w:rFonts w:hint="default" w:ascii="Times New Roman" w:hAnsi="Times New Roman" w:cs="Times New Roman"/>
                <w:lang w:val="en-US" w:eastAsia="zh-CN"/>
              </w:rPr>
              <w:t>5.49</w:t>
            </w:r>
          </w:p>
        </w:tc>
        <w:tc>
          <w:tcPr>
            <w:tcW w:w="1097" w:type="dxa"/>
            <w:vAlign w:val="center"/>
          </w:tcPr>
          <w:p w14:paraId="701359ED">
            <w:pPr>
              <w:pStyle w:val="72"/>
              <w:rPr>
                <w:rFonts w:hint="default" w:ascii="Times New Roman" w:hAnsi="Times New Roman" w:cs="Times New Roman"/>
                <w:lang w:val="en-US" w:eastAsia="zh-CN"/>
              </w:rPr>
            </w:pPr>
            <w:r>
              <w:rPr>
                <w:rFonts w:hint="default" w:ascii="Times New Roman" w:hAnsi="Times New Roman" w:cs="Times New Roman"/>
                <w:lang w:val="en-US" w:eastAsia="zh-CN"/>
              </w:rPr>
              <w:t>10.98</w:t>
            </w:r>
          </w:p>
        </w:tc>
        <w:tc>
          <w:tcPr>
            <w:tcW w:w="1491" w:type="dxa"/>
            <w:vAlign w:val="center"/>
          </w:tcPr>
          <w:p w14:paraId="5943F3C5">
            <w:pPr>
              <w:pStyle w:val="72"/>
              <w:rPr>
                <w:rFonts w:hint="default" w:ascii="Times New Roman" w:hAnsi="Times New Roman" w:cs="Times New Roman"/>
                <w:lang w:val="en-US" w:eastAsia="zh-CN"/>
              </w:rPr>
            </w:pPr>
            <w:r>
              <w:rPr>
                <w:rFonts w:hint="default" w:ascii="Times New Roman" w:hAnsi="Times New Roman" w:cs="Times New Roman"/>
                <w:lang w:val="en-US" w:eastAsia="zh-CN"/>
              </w:rPr>
              <w:t>100</w:t>
            </w:r>
          </w:p>
        </w:tc>
        <w:tc>
          <w:tcPr>
            <w:tcW w:w="1672" w:type="dxa"/>
            <w:vAlign w:val="center"/>
          </w:tcPr>
          <w:p w14:paraId="2F68C536">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600</w:t>
            </w:r>
          </w:p>
        </w:tc>
      </w:tr>
      <w:tr w14:paraId="750E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04" w:type="dxa"/>
            <w:vAlign w:val="center"/>
          </w:tcPr>
          <w:p w14:paraId="4CF00754">
            <w:pPr>
              <w:pStyle w:val="72"/>
              <w:rPr>
                <w:rFonts w:hint="default" w:ascii="Times New Roman" w:hAnsi="Times New Roman" w:cs="Times New Roman"/>
              </w:rPr>
            </w:pPr>
            <w:r>
              <w:rPr>
                <w:rFonts w:hint="default" w:ascii="Times New Roman" w:hAnsi="Times New Roman" w:cs="Times New Roman"/>
              </w:rPr>
              <w:t>合计</w:t>
            </w:r>
          </w:p>
        </w:tc>
        <w:tc>
          <w:tcPr>
            <w:tcW w:w="1371" w:type="dxa"/>
            <w:vAlign w:val="center"/>
          </w:tcPr>
          <w:p w14:paraId="0CCFD563">
            <w:pPr>
              <w:pStyle w:val="72"/>
              <w:rPr>
                <w:rFonts w:hint="default" w:ascii="Times New Roman" w:hAnsi="Times New Roman" w:cs="Times New Roman"/>
              </w:rPr>
            </w:pPr>
          </w:p>
        </w:tc>
        <w:tc>
          <w:tcPr>
            <w:tcW w:w="1384" w:type="dxa"/>
            <w:vAlign w:val="center"/>
          </w:tcPr>
          <w:p w14:paraId="68720877">
            <w:pPr>
              <w:pStyle w:val="72"/>
              <w:rPr>
                <w:rFonts w:hint="default" w:ascii="Times New Roman" w:hAnsi="Times New Roman" w:cs="Times New Roman"/>
              </w:rPr>
            </w:pPr>
          </w:p>
        </w:tc>
        <w:tc>
          <w:tcPr>
            <w:tcW w:w="1097" w:type="dxa"/>
            <w:vAlign w:val="center"/>
          </w:tcPr>
          <w:p w14:paraId="08A5ED24">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68.94</w:t>
            </w:r>
          </w:p>
        </w:tc>
        <w:tc>
          <w:tcPr>
            <w:tcW w:w="1491" w:type="dxa"/>
            <w:vAlign w:val="center"/>
          </w:tcPr>
          <w:p w14:paraId="27646A73">
            <w:pPr>
              <w:pStyle w:val="72"/>
              <w:rPr>
                <w:rFonts w:hint="default" w:ascii="Times New Roman" w:hAnsi="Times New Roman" w:cs="Times New Roman"/>
              </w:rPr>
            </w:pPr>
          </w:p>
        </w:tc>
        <w:tc>
          <w:tcPr>
            <w:tcW w:w="1672" w:type="dxa"/>
            <w:vAlign w:val="center"/>
          </w:tcPr>
          <w:p w14:paraId="3E99BD0A">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3600</w:t>
            </w:r>
          </w:p>
        </w:tc>
      </w:tr>
    </w:tbl>
    <w:p w14:paraId="0680E1ED">
      <w:pPr>
        <w:ind w:firstLine="560"/>
        <w:rPr>
          <w:rFonts w:hint="default"/>
          <w:szCs w:val="28"/>
          <w:lang w:val="en-US" w:eastAsia="zh-CN"/>
        </w:rPr>
      </w:pPr>
    </w:p>
    <w:p w14:paraId="0FAE86B2">
      <w:pPr>
        <w:ind w:firstLine="560"/>
        <w:rPr>
          <w:rFonts w:hint="default" w:eastAsia="宋体"/>
          <w:lang w:val="en-US" w:eastAsia="zh-CN"/>
        </w:rPr>
      </w:pPr>
      <w:r>
        <w:rPr>
          <w:rFonts w:hint="eastAsia"/>
        </w:rPr>
        <w:t>（</w:t>
      </w:r>
      <w:r>
        <w:rPr>
          <w:rFonts w:hint="eastAsia"/>
          <w:lang w:val="en-US" w:eastAsia="zh-CN"/>
        </w:rPr>
        <w:t>4</w:t>
      </w:r>
      <w:r>
        <w:rPr>
          <w:rFonts w:hint="eastAsia"/>
        </w:rPr>
        <w:t>）</w:t>
      </w:r>
      <w:r>
        <w:rPr>
          <w:rFonts w:hint="eastAsia"/>
          <w:lang w:val="en-US" w:eastAsia="zh-CN"/>
        </w:rPr>
        <w:t>场地平整</w:t>
      </w:r>
    </w:p>
    <w:p w14:paraId="46C544F9">
      <w:pPr>
        <w:ind w:firstLine="560"/>
        <w:rPr>
          <w:rFonts w:hint="eastAsia" w:ascii="宋体" w:hAnsi="宋体" w:cs="宋体"/>
          <w:smallCaps/>
          <w:szCs w:val="28"/>
        </w:rPr>
      </w:pPr>
      <w:r>
        <w:rPr>
          <w:rFonts w:hint="eastAsia" w:ascii="宋体" w:hAnsi="宋体" w:cs="宋体"/>
          <w:smallCaps/>
          <w:szCs w:val="28"/>
        </w:rPr>
        <w:t>对</w:t>
      </w:r>
      <w:r>
        <w:rPr>
          <w:rFonts w:hint="eastAsia" w:ascii="宋体" w:hAnsi="宋体" w:cs="宋体"/>
          <w:smallCaps/>
          <w:szCs w:val="28"/>
          <w:lang w:val="en-US" w:eastAsia="zh-CN"/>
        </w:rPr>
        <w:t>表土剥离后的场地</w:t>
      </w:r>
      <w:r>
        <w:rPr>
          <w:rFonts w:hint="eastAsia" w:ascii="宋体" w:hAnsi="宋体" w:cs="宋体"/>
          <w:smallCaps/>
          <w:szCs w:val="28"/>
        </w:rPr>
        <w:t>进行场地平整，消除负地形，满足场地自然排水，平整面积</w:t>
      </w:r>
      <w:r>
        <w:rPr>
          <w:rFonts w:hint="eastAsia"/>
          <w:szCs w:val="28"/>
          <w:lang w:val="en-US" w:eastAsia="zh-CN"/>
        </w:rPr>
        <w:t>1.168</w:t>
      </w:r>
      <w:r>
        <w:rPr>
          <w:szCs w:val="28"/>
        </w:rPr>
        <w:t>h</w:t>
      </w:r>
      <w:r>
        <w:rPr>
          <w:rFonts w:hint="eastAsia"/>
          <w:szCs w:val="28"/>
        </w:rPr>
        <w:t>m²</w:t>
      </w:r>
      <w:r>
        <w:rPr>
          <w:szCs w:val="28"/>
        </w:rPr>
        <w:t>，</w:t>
      </w:r>
      <w:r>
        <w:rPr>
          <w:rFonts w:hint="eastAsia"/>
          <w:szCs w:val="28"/>
        </w:rPr>
        <w:t>平整深度0.2m，平整工程量</w:t>
      </w:r>
      <w:r>
        <w:rPr>
          <w:rFonts w:hint="eastAsia"/>
          <w:szCs w:val="28"/>
          <w:lang w:val="en-US" w:eastAsia="zh-CN"/>
        </w:rPr>
        <w:t>2336</w:t>
      </w:r>
      <w:r>
        <w:rPr>
          <w:rFonts w:hint="eastAsia"/>
          <w:szCs w:val="28"/>
        </w:rPr>
        <w:t>m³。</w:t>
      </w:r>
    </w:p>
    <w:p w14:paraId="449E71BF">
      <w:pPr>
        <w:ind w:firstLine="560"/>
        <w:rPr>
          <w:rFonts w:hint="eastAsia"/>
          <w:lang w:val="en-US" w:eastAsia="zh-CN"/>
        </w:rPr>
      </w:pPr>
      <w:r>
        <w:rPr>
          <w:rFonts w:hint="eastAsia"/>
        </w:rPr>
        <w:t>（</w:t>
      </w:r>
      <w:r>
        <w:rPr>
          <w:rFonts w:hint="eastAsia"/>
          <w:lang w:val="en-US" w:eastAsia="zh-CN"/>
        </w:rPr>
        <w:t>5</w:t>
      </w:r>
      <w:r>
        <w:rPr>
          <w:rFonts w:hint="eastAsia"/>
        </w:rPr>
        <w:t>）</w:t>
      </w:r>
      <w:r>
        <w:rPr>
          <w:rFonts w:hint="eastAsia"/>
          <w:lang w:val="en-US" w:eastAsia="zh-CN"/>
        </w:rPr>
        <w:t>购买表土</w:t>
      </w:r>
    </w:p>
    <w:p w14:paraId="460C42C0">
      <w:pPr>
        <w:ind w:firstLine="560"/>
        <w:rPr>
          <w:rFonts w:hint="eastAsia" w:cs="Times New Roman"/>
          <w:szCs w:val="28"/>
          <w:lang w:eastAsia="zh-CN"/>
        </w:rPr>
      </w:pPr>
      <w:r>
        <w:rPr>
          <w:rFonts w:hint="eastAsia" w:ascii="宋体" w:hAnsi="宋体" w:cs="宋体"/>
          <w:smallCaps/>
          <w:szCs w:val="28"/>
        </w:rPr>
        <w:t>对治理区进行场地</w:t>
      </w:r>
      <w:r>
        <w:rPr>
          <w:rFonts w:hint="eastAsia" w:ascii="宋体" w:hAnsi="宋体" w:cs="宋体"/>
          <w:smallCaps/>
          <w:szCs w:val="28"/>
          <w:lang w:val="en-US" w:eastAsia="zh-CN"/>
        </w:rPr>
        <w:t>表土剥离</w:t>
      </w:r>
      <w:r>
        <w:rPr>
          <w:rFonts w:hint="eastAsia" w:ascii="宋体" w:hAnsi="宋体" w:cs="宋体"/>
          <w:smallCaps/>
          <w:szCs w:val="28"/>
        </w:rPr>
        <w:t>，</w:t>
      </w:r>
      <w:r>
        <w:rPr>
          <w:rFonts w:hint="eastAsia" w:ascii="宋体" w:hAnsi="宋体" w:cs="宋体"/>
          <w:smallCaps/>
          <w:szCs w:val="28"/>
          <w:lang w:val="en-US" w:eastAsia="zh-CN"/>
        </w:rPr>
        <w:t>剥离土方量为</w:t>
      </w:r>
      <w:r>
        <w:rPr>
          <w:rFonts w:hint="eastAsia"/>
          <w:szCs w:val="28"/>
          <w:lang w:val="en-US" w:eastAsia="zh-CN"/>
        </w:rPr>
        <w:t>3504</w:t>
      </w:r>
      <w:r>
        <w:rPr>
          <w:rFonts w:hint="eastAsia"/>
          <w:szCs w:val="28"/>
        </w:rPr>
        <w:t>m</w:t>
      </w:r>
      <w:r>
        <w:rPr>
          <w:rFonts w:hint="default" w:ascii="Times New Roman" w:hAnsi="Times New Roman" w:cs="Times New Roman"/>
          <w:szCs w:val="28"/>
        </w:rPr>
        <w:t>³</w:t>
      </w: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覆土需要4586.4</w:t>
      </w:r>
      <w:r>
        <w:rPr>
          <w:rFonts w:hint="eastAsia"/>
          <w:szCs w:val="28"/>
        </w:rPr>
        <w:t>m</w:t>
      </w:r>
      <w:r>
        <w:rPr>
          <w:rFonts w:hint="default" w:ascii="Times New Roman" w:hAnsi="Times New Roman" w:cs="Times New Roman"/>
          <w:szCs w:val="28"/>
        </w:rPr>
        <w:t>³</w:t>
      </w:r>
      <w:r>
        <w:rPr>
          <w:rFonts w:hint="eastAsia" w:ascii="Times New Roman" w:hAnsi="Times New Roman" w:cs="Times New Roman"/>
          <w:szCs w:val="28"/>
          <w:lang w:eastAsia="zh-CN"/>
        </w:rPr>
        <w:t>，</w:t>
      </w:r>
      <w:r>
        <w:rPr>
          <w:rFonts w:hint="eastAsia" w:cs="Times New Roman"/>
          <w:szCs w:val="28"/>
          <w:lang w:val="en-US" w:eastAsia="zh-CN"/>
        </w:rPr>
        <w:t>需外部协调购买表土1082.4</w:t>
      </w:r>
      <w:r>
        <w:rPr>
          <w:rFonts w:hint="eastAsia"/>
          <w:szCs w:val="28"/>
        </w:rPr>
        <w:t>m</w:t>
      </w:r>
      <w:r>
        <w:rPr>
          <w:rFonts w:hint="default" w:ascii="Times New Roman" w:hAnsi="Times New Roman" w:cs="Times New Roman"/>
          <w:szCs w:val="28"/>
        </w:rPr>
        <w:t>³</w:t>
      </w:r>
      <w:r>
        <w:rPr>
          <w:rFonts w:hint="eastAsia" w:cs="Times New Roman"/>
          <w:szCs w:val="28"/>
          <w:lang w:eastAsia="zh-CN"/>
        </w:rPr>
        <w:t>。</w:t>
      </w:r>
    </w:p>
    <w:p w14:paraId="3F0D7CEA">
      <w:pPr>
        <w:ind w:firstLine="560"/>
        <w:rPr>
          <w:rFonts w:hint="eastAsia"/>
          <w:lang w:val="en-US" w:eastAsia="zh-CN"/>
        </w:rPr>
      </w:pPr>
      <w:r>
        <w:rPr>
          <w:rFonts w:hint="eastAsia"/>
        </w:rPr>
        <w:t>（</w:t>
      </w:r>
      <w:r>
        <w:rPr>
          <w:rFonts w:hint="eastAsia"/>
          <w:lang w:val="en-US" w:eastAsia="zh-CN"/>
        </w:rPr>
        <w:t>6</w:t>
      </w:r>
      <w:r>
        <w:rPr>
          <w:rFonts w:hint="eastAsia"/>
        </w:rPr>
        <w:t>）</w:t>
      </w:r>
      <w:r>
        <w:rPr>
          <w:rFonts w:hint="eastAsia"/>
          <w:lang w:val="en-US" w:eastAsia="zh-CN"/>
        </w:rPr>
        <w:t>表土回填</w:t>
      </w:r>
    </w:p>
    <w:p w14:paraId="3234C7A0">
      <w:pPr>
        <w:ind w:firstLine="560"/>
      </w:pPr>
      <w:r>
        <w:rPr>
          <w:rFonts w:hint="eastAsia" w:ascii="宋体" w:hAnsi="宋体" w:cs="宋体"/>
          <w:smallCaps/>
          <w:szCs w:val="28"/>
        </w:rPr>
        <w:t>对</w:t>
      </w:r>
      <w:r>
        <w:rPr>
          <w:rFonts w:hint="eastAsia" w:ascii="宋体" w:hAnsi="宋体" w:cs="宋体"/>
          <w:smallCaps/>
          <w:szCs w:val="28"/>
          <w:lang w:val="en-US" w:eastAsia="zh-CN"/>
        </w:rPr>
        <w:t>剥离的表土及购买的表土进行回填，在平整后的土地方进行回填，</w:t>
      </w:r>
      <w:r>
        <w:rPr>
          <w:rFonts w:hint="eastAsia"/>
        </w:rPr>
        <w:t>覆土厚度0.</w:t>
      </w:r>
      <w:r>
        <w:rPr>
          <w:rFonts w:hint="eastAsia"/>
          <w:lang w:val="en-US" w:eastAsia="zh-CN"/>
        </w:rPr>
        <w:t>3</w:t>
      </w:r>
      <w:r>
        <w:rPr>
          <w:rFonts w:hint="eastAsia"/>
        </w:rPr>
        <w:t>m，需覆表土</w:t>
      </w:r>
      <w:r>
        <w:rPr>
          <w:rFonts w:hint="eastAsia" w:ascii="Times New Roman" w:hAnsi="Times New Roman" w:cs="Times New Roman"/>
          <w:szCs w:val="28"/>
          <w:lang w:val="en-US" w:eastAsia="zh-CN"/>
        </w:rPr>
        <w:t>4586.4</w:t>
      </w:r>
      <w:r>
        <w:rPr>
          <w:rFonts w:hint="eastAsia"/>
          <w:szCs w:val="28"/>
        </w:rPr>
        <w:t>m</w:t>
      </w:r>
      <w:r>
        <w:rPr>
          <w:rFonts w:hint="default" w:ascii="Times New Roman" w:hAnsi="Times New Roman" w:cs="Times New Roman"/>
          <w:szCs w:val="28"/>
        </w:rPr>
        <w:t>³</w:t>
      </w:r>
      <w:r>
        <w:rPr>
          <w:rFonts w:hint="eastAsia"/>
        </w:rPr>
        <w:t>。</w:t>
      </w:r>
    </w:p>
    <w:p w14:paraId="6F4C5972">
      <w:pPr>
        <w:ind w:firstLine="560"/>
        <w:rPr>
          <w:rFonts w:hint="eastAsia"/>
          <w:lang w:val="en-US" w:eastAsia="zh-CN"/>
        </w:rPr>
      </w:pPr>
      <w:r>
        <w:rPr>
          <w:rFonts w:hint="eastAsia"/>
        </w:rPr>
        <w:t>（</w:t>
      </w:r>
      <w:r>
        <w:rPr>
          <w:rFonts w:hint="eastAsia"/>
          <w:lang w:val="en-US" w:eastAsia="zh-CN"/>
        </w:rPr>
        <w:t>7</w:t>
      </w:r>
      <w:r>
        <w:rPr>
          <w:rFonts w:hint="eastAsia"/>
        </w:rPr>
        <w:t>）</w:t>
      </w:r>
      <w:r>
        <w:rPr>
          <w:rFonts w:hint="eastAsia"/>
          <w:lang w:val="en-US" w:eastAsia="zh-CN"/>
        </w:rPr>
        <w:t>栽植乔木</w:t>
      </w:r>
    </w:p>
    <w:p w14:paraId="7C2D5F43">
      <w:pPr>
        <w:ind w:firstLine="560"/>
      </w:pPr>
      <w:r>
        <w:rPr>
          <w:rFonts w:hint="eastAsia"/>
          <w:lang w:val="en-US" w:eastAsia="zh-CN"/>
        </w:rPr>
        <w:t>栽植乔木</w:t>
      </w:r>
      <w:r>
        <w:rPr>
          <w:rFonts w:hint="eastAsia"/>
        </w:rPr>
        <w:t>：</w:t>
      </w:r>
      <w:r>
        <w:t>设计选用2-3年生容器苗，地径</w:t>
      </w:r>
      <w:r>
        <w:rPr>
          <w:rFonts w:hint="eastAsia"/>
        </w:rPr>
        <w:t>＞</w:t>
      </w:r>
      <w:r>
        <w:t>2.0cm，苗高</w:t>
      </w:r>
      <w:r>
        <w:rPr>
          <w:rFonts w:hint="eastAsia"/>
        </w:rPr>
        <w:t>＞50c</w:t>
      </w:r>
      <w:r>
        <w:t>m，无病虫害、无机械损伤，根系完整植株健壮的</w:t>
      </w:r>
      <w:r>
        <w:rPr>
          <w:rFonts w:hint="eastAsia"/>
          <w:lang w:eastAsia="zh-CN"/>
        </w:rPr>
        <w:t>落叶松</w:t>
      </w:r>
      <w:r>
        <w:t>树苗</w:t>
      </w:r>
      <w:r>
        <w:rPr>
          <w:rFonts w:hint="eastAsia"/>
        </w:rPr>
        <w:t>，</w:t>
      </w:r>
      <w:r>
        <w:t>穴状整地，规格穴径×穴深=0.50m×0.40m，</w:t>
      </w:r>
      <w:r>
        <w:rPr>
          <w:rFonts w:hint="eastAsia"/>
        </w:rPr>
        <w:t>范围</w:t>
      </w:r>
      <w:r>
        <w:t>按照</w:t>
      </w:r>
      <w:r>
        <w:rPr>
          <w:rFonts w:hint="eastAsia"/>
        </w:rPr>
        <w:t>乔木</w:t>
      </w:r>
      <w:r>
        <w:t>林地面积</w:t>
      </w:r>
      <w:r>
        <w:rPr>
          <w:rFonts w:hint="eastAsia"/>
          <w:lang w:eastAsia="zh-CN"/>
        </w:rPr>
        <w:t>1.5288</w:t>
      </w:r>
      <w:r>
        <w:t>hm</w:t>
      </w:r>
      <w:r>
        <w:rPr>
          <w:vertAlign w:val="superscript"/>
        </w:rPr>
        <w:t>2</w:t>
      </w:r>
      <w:r>
        <w:t>，密度2500株/hm</w:t>
      </w:r>
      <w:r>
        <w:rPr>
          <w:vertAlign w:val="superscript"/>
        </w:rPr>
        <w:t>2</w:t>
      </w:r>
      <w:r>
        <w:t>，补栽率10%，需要</w:t>
      </w:r>
      <w:r>
        <w:rPr>
          <w:rFonts w:hint="eastAsia"/>
          <w:lang w:val="en-US" w:eastAsia="zh-CN"/>
        </w:rPr>
        <w:t>乔木</w:t>
      </w:r>
      <w:r>
        <w:rPr>
          <w:rFonts w:hint="eastAsia"/>
          <w:lang w:eastAsia="zh-CN"/>
        </w:rPr>
        <w:t>4205</w:t>
      </w:r>
      <w:r>
        <w:t>株。</w:t>
      </w:r>
    </w:p>
    <w:p w14:paraId="69DC9B4C">
      <w:pPr>
        <w:ind w:firstLine="560"/>
        <w:rPr>
          <w:rFonts w:hint="default" w:eastAsia="宋体"/>
          <w:lang w:val="en-US" w:eastAsia="zh-CN"/>
        </w:rPr>
      </w:pPr>
      <w:r>
        <w:rPr>
          <w:rFonts w:hint="eastAsia"/>
        </w:rPr>
        <w:t>（</w:t>
      </w:r>
      <w:r>
        <w:rPr>
          <w:rFonts w:hint="eastAsia"/>
          <w:lang w:val="en-US" w:eastAsia="zh-CN"/>
        </w:rPr>
        <w:t>8</w:t>
      </w:r>
      <w:r>
        <w:rPr>
          <w:rFonts w:hint="eastAsia"/>
        </w:rPr>
        <w:t>）</w:t>
      </w:r>
      <w:r>
        <w:rPr>
          <w:rFonts w:hint="eastAsia"/>
          <w:lang w:val="en-US" w:eastAsia="zh-CN"/>
        </w:rPr>
        <w:t>表土养护</w:t>
      </w:r>
    </w:p>
    <w:p w14:paraId="43746B9E">
      <w:pPr>
        <w:ind w:firstLine="560"/>
        <w:rPr>
          <w:rFonts w:hint="eastAsia" w:eastAsia="宋体"/>
          <w:lang w:eastAsia="zh-CN"/>
        </w:rPr>
      </w:pPr>
      <w:r>
        <w:rPr>
          <w:rFonts w:hint="eastAsia"/>
        </w:rPr>
        <w:t>对</w:t>
      </w:r>
      <w:r>
        <w:rPr>
          <w:rFonts w:hint="eastAsia"/>
          <w:lang w:val="en-US" w:eastAsia="zh-CN"/>
        </w:rPr>
        <w:t>前期拟损毁土地剥离的表土3504</w:t>
      </w:r>
      <w:r>
        <w:rPr>
          <w:rFonts w:hint="eastAsia"/>
          <w:szCs w:val="28"/>
        </w:rPr>
        <w:t>m</w:t>
      </w:r>
      <w:r>
        <w:rPr>
          <w:rFonts w:hint="default" w:ascii="Times New Roman" w:hAnsi="Times New Roman" w:cs="Times New Roman"/>
          <w:szCs w:val="28"/>
        </w:rPr>
        <w:t>³</w:t>
      </w:r>
      <w:r>
        <w:rPr>
          <w:rFonts w:hint="eastAsia" w:cs="Times New Roman"/>
          <w:szCs w:val="28"/>
          <w:lang w:eastAsia="zh-CN"/>
        </w:rPr>
        <w:t>，</w:t>
      </w:r>
      <w:r>
        <w:rPr>
          <w:rFonts w:hint="eastAsia" w:cs="Times New Roman"/>
          <w:szCs w:val="28"/>
          <w:lang w:val="en-US" w:eastAsia="zh-CN"/>
        </w:rPr>
        <w:t>放在表土堆场养护，每年撒播紫花苜蓿。撒播面积0.3</w:t>
      </w:r>
      <w:r>
        <w:t>hm</w:t>
      </w:r>
      <w:r>
        <w:rPr>
          <w:vertAlign w:val="superscript"/>
        </w:rPr>
        <w:t>2</w:t>
      </w:r>
      <w:r>
        <w:t>，</w:t>
      </w:r>
      <w:r>
        <w:rPr>
          <w:rFonts w:hint="eastAsia"/>
          <w:lang w:val="en-US" w:eastAsia="zh-CN"/>
        </w:rPr>
        <w:t>生产期为8年，共计撒播面积2.4</w:t>
      </w:r>
      <w:r>
        <w:t>hm</w:t>
      </w:r>
      <w:r>
        <w:rPr>
          <w:vertAlign w:val="superscript"/>
        </w:rPr>
        <w:t>2</w:t>
      </w:r>
      <w:r>
        <w:t>。</w:t>
      </w:r>
    </w:p>
    <w:p w14:paraId="217121FB">
      <w:pPr>
        <w:pStyle w:val="5"/>
        <w:ind w:firstLine="562"/>
      </w:pPr>
      <w:bookmarkStart w:id="181" w:name="_Toc8314"/>
      <w:r>
        <w:t>（</w:t>
      </w:r>
      <w:r>
        <w:rPr>
          <w:rFonts w:hint="eastAsia"/>
        </w:rPr>
        <w:t>二</w:t>
      </w:r>
      <w:r>
        <w:t>）</w:t>
      </w:r>
      <w:bookmarkEnd w:id="181"/>
      <w:r>
        <w:t>地貌重塑</w:t>
      </w:r>
    </w:p>
    <w:p w14:paraId="1679BFE3">
      <w:pPr>
        <w:autoSpaceDE w:val="0"/>
        <w:autoSpaceDN w:val="0"/>
        <w:ind w:firstLine="560"/>
      </w:pPr>
      <w:r>
        <w:rPr>
          <w:rFonts w:hint="eastAsia"/>
        </w:rPr>
        <w:t>1</w:t>
      </w:r>
      <w:r>
        <w:t>.拆除建构筑物工程</w:t>
      </w:r>
    </w:p>
    <w:p w14:paraId="0B07E02E">
      <w:pPr>
        <w:autoSpaceDE w:val="0"/>
        <w:autoSpaceDN w:val="0"/>
        <w:ind w:firstLine="560"/>
        <w:rPr>
          <w:lang w:val="zh-CN"/>
        </w:rPr>
      </w:pPr>
      <w:r>
        <w:rPr>
          <w:rFonts w:hint="eastAsia"/>
          <w:lang w:val="en-US" w:eastAsia="zh-CN"/>
        </w:rPr>
        <w:t>490m</w:t>
      </w:r>
      <w:r>
        <w:rPr>
          <w:rFonts w:hint="eastAsia"/>
          <w:lang w:val="zh-CN"/>
        </w:rPr>
        <w:t>工业广场内临时建筑总占地面积</w:t>
      </w:r>
      <w:r>
        <w:rPr>
          <w:rFonts w:hint="eastAsia"/>
          <w:lang w:val="en-US" w:eastAsia="zh-CN"/>
        </w:rPr>
        <w:t>0.03</w:t>
      </w:r>
      <w:r>
        <w:rPr>
          <w:rFonts w:hint="eastAsia"/>
        </w:rPr>
        <w:t>hm</w:t>
      </w:r>
      <w:r>
        <w:rPr>
          <w:rFonts w:hint="eastAsia"/>
          <w:vertAlign w:val="superscript"/>
        </w:rPr>
        <w:t>2</w:t>
      </w:r>
      <w:r>
        <w:rPr>
          <w:rFonts w:hint="eastAsia"/>
          <w:lang w:val="zh-CN"/>
        </w:rPr>
        <w:t>，</w:t>
      </w:r>
      <w:r>
        <w:rPr>
          <w:rFonts w:hint="eastAsia"/>
          <w:lang w:val="en-US" w:eastAsia="zh-CN"/>
        </w:rPr>
        <w:t>520m</w:t>
      </w:r>
      <w:r>
        <w:rPr>
          <w:rFonts w:hint="eastAsia"/>
          <w:lang w:val="zh-CN"/>
        </w:rPr>
        <w:t>工业广场内临时建筑总占地面积</w:t>
      </w:r>
      <w:r>
        <w:rPr>
          <w:rFonts w:hint="eastAsia"/>
          <w:lang w:val="en-US" w:eastAsia="zh-CN"/>
        </w:rPr>
        <w:t>0.06</w:t>
      </w:r>
      <w:r>
        <w:rPr>
          <w:rFonts w:hint="eastAsia"/>
        </w:rPr>
        <w:t>hm</w:t>
      </w:r>
      <w:r>
        <w:rPr>
          <w:rFonts w:hint="eastAsia"/>
          <w:vertAlign w:val="superscript"/>
        </w:rPr>
        <w:t>2</w:t>
      </w:r>
      <w:r>
        <w:rPr>
          <w:rFonts w:hint="eastAsia"/>
          <w:lang w:val="zh-CN"/>
        </w:rPr>
        <w:t>，</w:t>
      </w:r>
      <w:r>
        <w:rPr>
          <w:rFonts w:hint="eastAsia"/>
          <w:lang w:val="en-US" w:eastAsia="zh-CN"/>
        </w:rPr>
        <w:t>548m</w:t>
      </w:r>
      <w:r>
        <w:rPr>
          <w:rFonts w:hint="eastAsia"/>
          <w:lang w:val="zh-CN"/>
        </w:rPr>
        <w:t>工业广场内临时建筑总占地面积</w:t>
      </w:r>
      <w:r>
        <w:rPr>
          <w:rFonts w:hint="eastAsia"/>
          <w:lang w:val="en-US" w:eastAsia="zh-CN"/>
        </w:rPr>
        <w:t>0.004</w:t>
      </w:r>
      <w:r>
        <w:rPr>
          <w:rFonts w:hint="eastAsia"/>
        </w:rPr>
        <w:t>hm</w:t>
      </w:r>
      <w:r>
        <w:rPr>
          <w:rFonts w:hint="eastAsia"/>
          <w:vertAlign w:val="superscript"/>
        </w:rPr>
        <w:t>2</w:t>
      </w:r>
      <w:r>
        <w:rPr>
          <w:rFonts w:hint="eastAsia"/>
          <w:lang w:val="zh-CN"/>
        </w:rPr>
        <w:t>，</w:t>
      </w:r>
      <w:r>
        <w:rPr>
          <w:rFonts w:hint="eastAsia"/>
          <w:lang w:val="en-US" w:eastAsia="zh-CN"/>
        </w:rPr>
        <w:t>建筑物面积共计0.094</w:t>
      </w:r>
      <w:r>
        <w:rPr>
          <w:rFonts w:hint="eastAsia"/>
        </w:rPr>
        <w:t>hm</w:t>
      </w:r>
      <w:r>
        <w:rPr>
          <w:rFonts w:hint="eastAsia"/>
          <w:vertAlign w:val="superscript"/>
        </w:rPr>
        <w:t>2</w:t>
      </w:r>
      <w:r>
        <w:rPr>
          <w:rFonts w:hint="eastAsia"/>
          <w:lang w:val="zh-CN"/>
        </w:rPr>
        <w:t>，</w:t>
      </w:r>
      <w:r>
        <w:rPr>
          <w:rFonts w:hint="eastAsia"/>
          <w:lang w:val="en-US" w:eastAsia="zh-CN"/>
        </w:rPr>
        <w:t>全部为</w:t>
      </w:r>
      <w:r>
        <w:rPr>
          <w:rFonts w:hint="eastAsia"/>
          <w:lang w:val="zh-CN"/>
        </w:rPr>
        <w:t>水泥浆砌砖建筑</w:t>
      </w:r>
      <w:r>
        <w:t>矿山闭坑后，对建筑物场地的废弃建构筑物进行拆除，恢复地形地貌景观。</w:t>
      </w:r>
      <w:r>
        <w:rPr>
          <w:rFonts w:hint="eastAsia"/>
          <w:lang w:val="zh-CN"/>
        </w:rPr>
        <w:t>水泥浆砌砖建筑拆除按</w:t>
      </w:r>
      <w:r>
        <w:t>折减系数0.</w:t>
      </w:r>
      <w:r>
        <w:rPr>
          <w:rFonts w:hint="eastAsia"/>
        </w:rPr>
        <w:t>3</w:t>
      </w:r>
      <w:r>
        <w:t>计算</w:t>
      </w:r>
      <w:r>
        <w:rPr>
          <w:rFonts w:hint="eastAsia"/>
        </w:rPr>
        <w:t>，拆除量</w:t>
      </w:r>
      <w:r>
        <w:rPr>
          <w:rFonts w:hint="eastAsia"/>
          <w:lang w:val="en-US" w:eastAsia="zh-CN"/>
        </w:rPr>
        <w:t>1692</w:t>
      </w:r>
      <w:r>
        <w:rPr>
          <w:rFonts w:hint="eastAsia"/>
        </w:rPr>
        <w:t>m</w:t>
      </w:r>
      <w:r>
        <w:rPr>
          <w:rFonts w:hint="eastAsia"/>
          <w:vertAlign w:val="superscript"/>
        </w:rPr>
        <w:t>3</w:t>
      </w:r>
      <w:r>
        <w:rPr>
          <w:rFonts w:hint="eastAsia"/>
          <w:lang w:val="zh-CN"/>
        </w:rPr>
        <w:t>；</w:t>
      </w:r>
    </w:p>
    <w:p w14:paraId="2F0FAC83">
      <w:pPr>
        <w:pStyle w:val="57"/>
        <w:rPr>
          <w:rFonts w:hint="eastAsia"/>
        </w:rPr>
      </w:pPr>
      <w:r>
        <w:rPr>
          <w:rFonts w:hint="eastAsia"/>
        </w:rPr>
        <w:t>表4-</w:t>
      </w:r>
      <w:r>
        <w:rPr>
          <w:rFonts w:hint="eastAsia"/>
          <w:lang w:val="en-US" w:eastAsia="zh-CN"/>
        </w:rPr>
        <w:t>5</w:t>
      </w:r>
      <w:r>
        <w:rPr>
          <w:rFonts w:hint="eastAsia"/>
        </w:rPr>
        <w:t>建构筑物拆除量计算表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6"/>
        <w:gridCol w:w="1773"/>
        <w:gridCol w:w="1986"/>
        <w:gridCol w:w="1986"/>
        <w:gridCol w:w="1277"/>
        <w:gridCol w:w="672"/>
      </w:tblGrid>
      <w:tr w14:paraId="7572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80" w:type="pct"/>
            <w:vAlign w:val="center"/>
          </w:tcPr>
          <w:p w14:paraId="0759F27D">
            <w:pPr>
              <w:pStyle w:val="72"/>
              <w:rPr>
                <w:rFonts w:hint="eastAsia"/>
              </w:rPr>
            </w:pPr>
            <w:r>
              <w:rPr>
                <w:rFonts w:hint="eastAsia"/>
              </w:rPr>
              <w:t>结构类型</w:t>
            </w:r>
          </w:p>
        </w:tc>
        <w:tc>
          <w:tcPr>
            <w:tcW w:w="926" w:type="pct"/>
            <w:vAlign w:val="center"/>
          </w:tcPr>
          <w:p w14:paraId="023A535F">
            <w:pPr>
              <w:pStyle w:val="72"/>
              <w:rPr>
                <w:rFonts w:hint="eastAsia"/>
              </w:rPr>
            </w:pPr>
            <w:r>
              <w:rPr>
                <w:rFonts w:hint="eastAsia"/>
              </w:rPr>
              <w:t>投影面积（hm</w:t>
            </w:r>
            <w:r>
              <w:rPr>
                <w:rFonts w:hint="eastAsia"/>
                <w:vertAlign w:val="superscript"/>
              </w:rPr>
              <w:t>2</w:t>
            </w:r>
            <w:r>
              <w:rPr>
                <w:rFonts w:hint="eastAsia"/>
              </w:rPr>
              <w:t>）</w:t>
            </w:r>
          </w:p>
        </w:tc>
        <w:tc>
          <w:tcPr>
            <w:tcW w:w="1037" w:type="pct"/>
            <w:vAlign w:val="center"/>
          </w:tcPr>
          <w:p w14:paraId="129D0B27">
            <w:pPr>
              <w:pStyle w:val="72"/>
              <w:rPr>
                <w:rFonts w:hint="eastAsia"/>
              </w:rPr>
            </w:pPr>
            <w:r>
              <w:rPr>
                <w:rFonts w:hint="eastAsia"/>
              </w:rPr>
              <w:t>平均高度</w:t>
            </w:r>
          </w:p>
        </w:tc>
        <w:tc>
          <w:tcPr>
            <w:tcW w:w="1037" w:type="pct"/>
            <w:vAlign w:val="center"/>
          </w:tcPr>
          <w:p w14:paraId="3D235BA1">
            <w:pPr>
              <w:pStyle w:val="72"/>
              <w:rPr>
                <w:rFonts w:hint="eastAsia"/>
              </w:rPr>
            </w:pPr>
            <w:r>
              <w:rPr>
                <w:rFonts w:hint="eastAsia"/>
              </w:rPr>
              <w:t>折减系数</w:t>
            </w:r>
          </w:p>
        </w:tc>
        <w:tc>
          <w:tcPr>
            <w:tcW w:w="667" w:type="pct"/>
            <w:vAlign w:val="center"/>
          </w:tcPr>
          <w:p w14:paraId="2DC18E05">
            <w:pPr>
              <w:pStyle w:val="72"/>
              <w:rPr>
                <w:rFonts w:hint="eastAsia"/>
              </w:rPr>
            </w:pPr>
            <w:r>
              <w:rPr>
                <w:rFonts w:hint="eastAsia"/>
              </w:rPr>
              <w:t>拆除量（m</w:t>
            </w:r>
            <w:r>
              <w:rPr>
                <w:rFonts w:hint="eastAsia"/>
                <w:vertAlign w:val="superscript"/>
              </w:rPr>
              <w:t>3</w:t>
            </w:r>
            <w:r>
              <w:rPr>
                <w:rFonts w:hint="eastAsia"/>
              </w:rPr>
              <w:t>）</w:t>
            </w:r>
          </w:p>
        </w:tc>
        <w:tc>
          <w:tcPr>
            <w:tcW w:w="351" w:type="pct"/>
            <w:vAlign w:val="center"/>
          </w:tcPr>
          <w:p w14:paraId="6977EDAC">
            <w:pPr>
              <w:pStyle w:val="72"/>
              <w:rPr>
                <w:rFonts w:hint="eastAsia"/>
              </w:rPr>
            </w:pPr>
            <w:r>
              <w:rPr>
                <w:rFonts w:hint="eastAsia"/>
              </w:rPr>
              <w:t>用途</w:t>
            </w:r>
          </w:p>
        </w:tc>
      </w:tr>
      <w:tr w14:paraId="78D6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980" w:type="pct"/>
            <w:vAlign w:val="center"/>
          </w:tcPr>
          <w:p w14:paraId="1DE744BA">
            <w:pPr>
              <w:pStyle w:val="72"/>
              <w:rPr>
                <w:rFonts w:hint="eastAsia"/>
              </w:rPr>
            </w:pPr>
            <w:r>
              <w:rPr>
                <w:rFonts w:hint="eastAsia"/>
              </w:rPr>
              <w:t>水泥浆砌砖</w:t>
            </w:r>
          </w:p>
        </w:tc>
        <w:tc>
          <w:tcPr>
            <w:tcW w:w="926" w:type="pct"/>
            <w:vAlign w:val="center"/>
          </w:tcPr>
          <w:p w14:paraId="6779C2B8">
            <w:pPr>
              <w:widowControl/>
              <w:adjustRightInd/>
              <w:snapToGrid/>
              <w:spacing w:line="240" w:lineRule="auto"/>
              <w:ind w:firstLine="0" w:firstLineChars="0"/>
              <w:jc w:val="center"/>
              <w:rPr>
                <w:rFonts w:hint="default"/>
                <w:color w:val="000000"/>
                <w:sz w:val="21"/>
                <w:szCs w:val="21"/>
                <w:lang w:val="en-US" w:eastAsia="zh-CN"/>
              </w:rPr>
            </w:pPr>
            <w:r>
              <w:rPr>
                <w:rFonts w:hint="eastAsia"/>
                <w:color w:val="000000"/>
                <w:sz w:val="21"/>
                <w:szCs w:val="21"/>
                <w:lang w:val="en-US" w:eastAsia="zh-CN"/>
              </w:rPr>
              <w:t>0.094</w:t>
            </w:r>
          </w:p>
        </w:tc>
        <w:tc>
          <w:tcPr>
            <w:tcW w:w="1037" w:type="pct"/>
            <w:vAlign w:val="center"/>
          </w:tcPr>
          <w:p w14:paraId="45300627">
            <w:pPr>
              <w:widowControl/>
              <w:adjustRightInd/>
              <w:snapToGrid/>
              <w:spacing w:line="240" w:lineRule="auto"/>
              <w:ind w:firstLine="0" w:firstLineChars="0"/>
              <w:jc w:val="center"/>
              <w:rPr>
                <w:rFonts w:hint="eastAsia"/>
                <w:color w:val="000000"/>
                <w:sz w:val="21"/>
                <w:szCs w:val="21"/>
                <w:lang w:val="en-US" w:eastAsia="zh-CN"/>
              </w:rPr>
            </w:pPr>
            <w:r>
              <w:rPr>
                <w:rFonts w:hint="eastAsia"/>
                <w:color w:val="000000"/>
                <w:sz w:val="21"/>
                <w:szCs w:val="21"/>
                <w:lang w:val="en-US" w:eastAsia="zh-CN"/>
              </w:rPr>
              <w:t>6</w:t>
            </w:r>
          </w:p>
        </w:tc>
        <w:tc>
          <w:tcPr>
            <w:tcW w:w="1037" w:type="pct"/>
            <w:vAlign w:val="center"/>
          </w:tcPr>
          <w:p w14:paraId="46D7FE18">
            <w:pPr>
              <w:widowControl/>
              <w:adjustRightInd/>
              <w:snapToGrid/>
              <w:spacing w:line="240" w:lineRule="auto"/>
              <w:ind w:firstLine="0" w:firstLineChars="0"/>
              <w:jc w:val="center"/>
              <w:rPr>
                <w:rFonts w:hint="eastAsia"/>
                <w:color w:val="000000"/>
                <w:sz w:val="21"/>
                <w:szCs w:val="21"/>
                <w:lang w:val="en-US" w:eastAsia="zh-CN"/>
              </w:rPr>
            </w:pPr>
            <w:r>
              <w:rPr>
                <w:rFonts w:hint="eastAsia"/>
                <w:color w:val="000000"/>
                <w:sz w:val="21"/>
                <w:szCs w:val="21"/>
                <w:lang w:val="en-US" w:eastAsia="zh-CN"/>
              </w:rPr>
              <w:t>0.3</w:t>
            </w:r>
          </w:p>
        </w:tc>
        <w:tc>
          <w:tcPr>
            <w:tcW w:w="667" w:type="pct"/>
            <w:vAlign w:val="center"/>
          </w:tcPr>
          <w:p w14:paraId="5E68E2ED">
            <w:pPr>
              <w:widowControl/>
              <w:adjustRightInd/>
              <w:snapToGrid/>
              <w:spacing w:line="240" w:lineRule="auto"/>
              <w:ind w:firstLine="0" w:firstLineChars="0"/>
              <w:jc w:val="center"/>
              <w:rPr>
                <w:rFonts w:hint="default"/>
                <w:color w:val="000000"/>
                <w:sz w:val="21"/>
                <w:szCs w:val="21"/>
                <w:lang w:val="en-US" w:eastAsia="zh-CN"/>
              </w:rPr>
            </w:pPr>
            <w:r>
              <w:rPr>
                <w:rFonts w:hint="eastAsia"/>
                <w:color w:val="000000"/>
                <w:sz w:val="21"/>
                <w:szCs w:val="21"/>
                <w:lang w:val="en-US" w:eastAsia="zh-CN"/>
              </w:rPr>
              <w:t>1692</w:t>
            </w:r>
          </w:p>
        </w:tc>
        <w:tc>
          <w:tcPr>
            <w:tcW w:w="351" w:type="pct"/>
            <w:vAlign w:val="center"/>
          </w:tcPr>
          <w:p w14:paraId="47D70428">
            <w:pPr>
              <w:pStyle w:val="72"/>
              <w:rPr>
                <w:rFonts w:hint="eastAsia"/>
              </w:rPr>
            </w:pPr>
            <w:r>
              <w:rPr>
                <w:rFonts w:hint="eastAsia"/>
              </w:rPr>
              <w:t>回填井筒</w:t>
            </w:r>
          </w:p>
        </w:tc>
      </w:tr>
      <w:tr w14:paraId="7973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80" w:type="pct"/>
            <w:vAlign w:val="center"/>
          </w:tcPr>
          <w:p w14:paraId="16670C32">
            <w:pPr>
              <w:pStyle w:val="72"/>
              <w:rPr>
                <w:rFonts w:hint="eastAsia"/>
              </w:rPr>
            </w:pPr>
            <w:r>
              <w:rPr>
                <w:rFonts w:hint="eastAsia"/>
              </w:rPr>
              <w:t>合计</w:t>
            </w:r>
          </w:p>
        </w:tc>
        <w:tc>
          <w:tcPr>
            <w:tcW w:w="926" w:type="pct"/>
            <w:vAlign w:val="center"/>
          </w:tcPr>
          <w:p w14:paraId="48C5248A">
            <w:pPr>
              <w:pStyle w:val="72"/>
              <w:rPr>
                <w:rFonts w:hint="eastAsia"/>
              </w:rPr>
            </w:pPr>
          </w:p>
        </w:tc>
        <w:tc>
          <w:tcPr>
            <w:tcW w:w="1037" w:type="pct"/>
            <w:vAlign w:val="center"/>
          </w:tcPr>
          <w:p w14:paraId="4E17A3EA">
            <w:pPr>
              <w:pStyle w:val="72"/>
              <w:rPr>
                <w:rFonts w:hint="eastAsia"/>
              </w:rPr>
            </w:pPr>
          </w:p>
        </w:tc>
        <w:tc>
          <w:tcPr>
            <w:tcW w:w="1037" w:type="pct"/>
            <w:vAlign w:val="center"/>
          </w:tcPr>
          <w:p w14:paraId="1866B2D7">
            <w:pPr>
              <w:pStyle w:val="72"/>
              <w:rPr>
                <w:rFonts w:hint="eastAsia"/>
              </w:rPr>
            </w:pPr>
          </w:p>
        </w:tc>
        <w:tc>
          <w:tcPr>
            <w:tcW w:w="667" w:type="pct"/>
            <w:vAlign w:val="center"/>
          </w:tcPr>
          <w:p w14:paraId="7BF8236B">
            <w:pPr>
              <w:widowControl/>
              <w:adjustRightInd/>
              <w:snapToGrid/>
              <w:spacing w:line="240" w:lineRule="auto"/>
              <w:ind w:firstLine="0" w:firstLineChars="0"/>
              <w:jc w:val="center"/>
              <w:rPr>
                <w:rFonts w:hint="eastAsia"/>
                <w:color w:val="000000"/>
                <w:sz w:val="21"/>
                <w:szCs w:val="21"/>
              </w:rPr>
            </w:pPr>
            <w:r>
              <w:rPr>
                <w:rFonts w:hint="eastAsia"/>
                <w:color w:val="000000"/>
                <w:sz w:val="21"/>
                <w:szCs w:val="21"/>
                <w:lang w:val="en-US" w:eastAsia="zh-CN"/>
              </w:rPr>
              <w:t>1692</w:t>
            </w:r>
          </w:p>
        </w:tc>
        <w:tc>
          <w:tcPr>
            <w:tcW w:w="351" w:type="pct"/>
            <w:vAlign w:val="center"/>
          </w:tcPr>
          <w:p w14:paraId="7C0C4012">
            <w:pPr>
              <w:widowControl/>
              <w:adjustRightInd/>
              <w:snapToGrid/>
              <w:spacing w:line="240" w:lineRule="auto"/>
              <w:ind w:firstLine="0" w:firstLineChars="0"/>
              <w:jc w:val="center"/>
              <w:rPr>
                <w:color w:val="000000"/>
                <w:sz w:val="21"/>
                <w:szCs w:val="21"/>
              </w:rPr>
            </w:pPr>
          </w:p>
        </w:tc>
      </w:tr>
    </w:tbl>
    <w:p w14:paraId="486B0431">
      <w:pPr>
        <w:autoSpaceDE w:val="0"/>
        <w:autoSpaceDN w:val="0"/>
        <w:ind w:firstLine="537" w:firstLineChars="192"/>
        <w:rPr>
          <w:rFonts w:hint="default" w:eastAsia="宋体"/>
          <w:lang w:val="en-US" w:eastAsia="zh-CN"/>
        </w:rPr>
      </w:pPr>
      <w:r>
        <w:rPr>
          <w:rFonts w:hint="eastAsia"/>
        </w:rPr>
        <w:t>2.</w:t>
      </w:r>
      <w:r>
        <w:rPr>
          <w:rFonts w:hint="eastAsia"/>
          <w:lang w:val="en-US" w:eastAsia="zh-CN"/>
        </w:rPr>
        <w:t>清理硬盖层</w:t>
      </w:r>
    </w:p>
    <w:p w14:paraId="43BDCA65">
      <w:pPr>
        <w:autoSpaceDE w:val="0"/>
        <w:autoSpaceDN w:val="0"/>
        <w:ind w:firstLine="560"/>
      </w:pPr>
      <w:r>
        <w:rPr>
          <w:rFonts w:hint="eastAsia"/>
        </w:rPr>
        <w:t>对场地内水泥硬覆盖进行清除，面积</w:t>
      </w:r>
      <w:r>
        <w:rPr>
          <w:rFonts w:hint="eastAsia"/>
          <w:lang w:eastAsia="zh-CN"/>
        </w:rPr>
        <w:t>1.5288</w:t>
      </w:r>
      <w:r>
        <w:rPr>
          <w:szCs w:val="28"/>
        </w:rPr>
        <w:t>h</w:t>
      </w:r>
      <w:r>
        <w:rPr>
          <w:rFonts w:hint="eastAsia"/>
          <w:szCs w:val="28"/>
        </w:rPr>
        <w:t>m²</w:t>
      </w:r>
      <w:r>
        <w:rPr>
          <w:szCs w:val="28"/>
        </w:rPr>
        <w:t>，</w:t>
      </w:r>
      <w:r>
        <w:rPr>
          <w:rFonts w:hint="eastAsia"/>
          <w:szCs w:val="28"/>
        </w:rPr>
        <w:t>清理</w:t>
      </w:r>
      <w:r>
        <w:rPr>
          <w:szCs w:val="28"/>
        </w:rPr>
        <w:t>厚度0.2m，</w:t>
      </w:r>
      <w:r>
        <w:rPr>
          <w:rFonts w:hint="eastAsia"/>
          <w:szCs w:val="28"/>
        </w:rPr>
        <w:t>清理</w:t>
      </w:r>
      <w:r>
        <w:rPr>
          <w:szCs w:val="28"/>
        </w:rPr>
        <w:t>工作量</w:t>
      </w:r>
      <w:r>
        <w:rPr>
          <w:rFonts w:hint="eastAsia"/>
          <w:szCs w:val="28"/>
        </w:rPr>
        <w:t>8730m³</w:t>
      </w:r>
      <w:r>
        <w:rPr>
          <w:szCs w:val="28"/>
        </w:rPr>
        <w:t>。</w:t>
      </w:r>
    </w:p>
    <w:p w14:paraId="1289E246">
      <w:pPr>
        <w:autoSpaceDE w:val="0"/>
        <w:autoSpaceDN w:val="0"/>
        <w:ind w:firstLine="560"/>
      </w:pPr>
      <w:r>
        <w:rPr>
          <w:rFonts w:hint="eastAsia"/>
          <w:lang w:val="en-US" w:eastAsia="zh-CN"/>
        </w:rPr>
        <w:t>3</w:t>
      </w:r>
      <w:r>
        <w:t>.场地平整工程</w:t>
      </w:r>
    </w:p>
    <w:p w14:paraId="4EBA49B5">
      <w:pPr>
        <w:autoSpaceDE w:val="0"/>
        <w:autoSpaceDN w:val="0"/>
        <w:ind w:firstLine="560"/>
        <w:rPr>
          <w:szCs w:val="28"/>
        </w:rPr>
      </w:pPr>
      <w:r>
        <w:rPr>
          <w:rFonts w:hint="eastAsia"/>
        </w:rPr>
        <w:t>对工业广场全区进行</w:t>
      </w:r>
      <w:r>
        <w:t>场地</w:t>
      </w:r>
      <w:r>
        <w:rPr>
          <w:szCs w:val="28"/>
        </w:rPr>
        <w:t>平整</w:t>
      </w:r>
      <w:r>
        <w:rPr>
          <w:rFonts w:hint="eastAsia"/>
          <w:szCs w:val="28"/>
        </w:rPr>
        <w:t>，平整</w:t>
      </w:r>
      <w:r>
        <w:rPr>
          <w:szCs w:val="28"/>
        </w:rPr>
        <w:t>面积</w:t>
      </w:r>
      <w:r>
        <w:rPr>
          <w:rFonts w:hint="eastAsia"/>
          <w:szCs w:val="28"/>
          <w:lang w:val="en-US" w:eastAsia="zh-CN"/>
        </w:rPr>
        <w:t>1.5288</w:t>
      </w:r>
      <w:r>
        <w:rPr>
          <w:szCs w:val="28"/>
        </w:rPr>
        <w:t>h</w:t>
      </w:r>
      <w:r>
        <w:rPr>
          <w:rFonts w:hint="eastAsia"/>
          <w:szCs w:val="28"/>
        </w:rPr>
        <w:t>m²</w:t>
      </w:r>
      <w:r>
        <w:rPr>
          <w:szCs w:val="28"/>
        </w:rPr>
        <w:t>，平整厚度0.2m，场地平整工作量</w:t>
      </w:r>
      <w:r>
        <w:rPr>
          <w:rFonts w:hint="eastAsia"/>
          <w:szCs w:val="28"/>
          <w:lang w:eastAsia="zh-CN"/>
        </w:rPr>
        <w:t>3057.6</w:t>
      </w:r>
      <w:r>
        <w:rPr>
          <w:rFonts w:hint="eastAsia"/>
          <w:szCs w:val="28"/>
        </w:rPr>
        <w:t>m³</w:t>
      </w:r>
      <w:r>
        <w:rPr>
          <w:szCs w:val="28"/>
        </w:rPr>
        <w:t>。</w:t>
      </w:r>
    </w:p>
    <w:p w14:paraId="55275010">
      <w:pPr>
        <w:pStyle w:val="5"/>
        <w:ind w:firstLine="562"/>
      </w:pPr>
      <w:r>
        <w:t>（三）主要工作量</w:t>
      </w:r>
    </w:p>
    <w:p w14:paraId="603753EC">
      <w:pPr>
        <w:ind w:firstLine="560"/>
        <w:rPr>
          <w:rFonts w:eastAsia="黑体"/>
          <w:b/>
          <w:sz w:val="24"/>
        </w:rPr>
      </w:pPr>
      <w:r>
        <w:rPr>
          <w:bCs/>
          <w:szCs w:val="28"/>
        </w:rPr>
        <w:t>根据本方案复垦目标设计的工程措施，可估算出矿区生态方案工程量详见表4-</w:t>
      </w:r>
      <w:r>
        <w:rPr>
          <w:rFonts w:hint="eastAsia"/>
          <w:bCs/>
          <w:szCs w:val="28"/>
        </w:rPr>
        <w:t>6</w:t>
      </w:r>
      <w:r>
        <w:rPr>
          <w:bCs/>
          <w:szCs w:val="28"/>
        </w:rPr>
        <w:t>。</w:t>
      </w:r>
    </w:p>
    <w:p w14:paraId="459B63F8">
      <w:pPr>
        <w:pStyle w:val="57"/>
        <w:rPr>
          <w:rFonts w:hint="eastAsia"/>
        </w:rPr>
      </w:pPr>
      <w:r>
        <w:rPr>
          <w:rFonts w:ascii="Times New Roman" w:hAnsi="Times New Roman"/>
        </w:rPr>
        <w:br w:type="textWrapping"/>
      </w:r>
      <w:r>
        <w:rPr>
          <w:rFonts w:ascii="Times New Roman" w:hAnsi="Times New Roman"/>
        </w:rPr>
        <w:t>表4-</w:t>
      </w:r>
      <w:r>
        <w:rPr>
          <w:rFonts w:hint="eastAsia" w:ascii="Times New Roman" w:hAnsi="Times New Roman"/>
        </w:rPr>
        <w:t>6</w:t>
      </w:r>
      <w:r>
        <w:rPr>
          <w:rFonts w:ascii="Times New Roman" w:hAnsi="Times New Roman"/>
        </w:rPr>
        <w:t>矿区生态修复工程工程量统计</w:t>
      </w:r>
    </w:p>
    <w:tbl>
      <w:tblPr>
        <w:tblStyle w:val="42"/>
        <w:tblW w:w="9552" w:type="dxa"/>
        <w:jc w:val="center"/>
        <w:tblLayout w:type="autofit"/>
        <w:tblCellMar>
          <w:top w:w="0" w:type="dxa"/>
          <w:left w:w="108" w:type="dxa"/>
          <w:bottom w:w="0" w:type="dxa"/>
          <w:right w:w="108" w:type="dxa"/>
        </w:tblCellMar>
      </w:tblPr>
      <w:tblGrid>
        <w:gridCol w:w="978"/>
        <w:gridCol w:w="4518"/>
        <w:gridCol w:w="979"/>
        <w:gridCol w:w="1458"/>
        <w:gridCol w:w="1619"/>
      </w:tblGrid>
      <w:tr w14:paraId="1C580FED">
        <w:tblPrEx>
          <w:tblCellMar>
            <w:top w:w="0" w:type="dxa"/>
            <w:left w:w="108" w:type="dxa"/>
            <w:bottom w:w="0" w:type="dxa"/>
            <w:right w:w="108" w:type="dxa"/>
          </w:tblCellMar>
        </w:tblPrEx>
        <w:trPr>
          <w:tblHeader/>
          <w:jc w:val="center"/>
        </w:trPr>
        <w:tc>
          <w:tcPr>
            <w:tcW w:w="978" w:type="dxa"/>
            <w:tcBorders>
              <w:top w:val="single" w:color="000000" w:sz="4" w:space="0"/>
              <w:left w:val="single" w:color="000000" w:sz="4" w:space="0"/>
              <w:bottom w:val="single" w:color="000000" w:sz="4" w:space="0"/>
              <w:right w:val="single" w:color="000000" w:sz="4" w:space="0"/>
            </w:tcBorders>
            <w:vAlign w:val="center"/>
          </w:tcPr>
          <w:p w14:paraId="7556F5C3">
            <w:pPr>
              <w:pStyle w:val="72"/>
              <w:rPr>
                <w:rFonts w:hint="eastAsia"/>
                <w:b/>
                <w:bCs w:val="0"/>
              </w:rPr>
            </w:pPr>
            <w:r>
              <w:rPr>
                <w:rFonts w:hint="eastAsia"/>
                <w:b/>
                <w:bCs w:val="0"/>
                <w:lang w:bidi="ar"/>
              </w:rPr>
              <w:t>序号</w:t>
            </w:r>
          </w:p>
        </w:tc>
        <w:tc>
          <w:tcPr>
            <w:tcW w:w="4518" w:type="dxa"/>
            <w:tcBorders>
              <w:top w:val="single" w:color="000000" w:sz="4" w:space="0"/>
              <w:left w:val="single" w:color="000000" w:sz="4" w:space="0"/>
              <w:bottom w:val="single" w:color="000000" w:sz="4" w:space="0"/>
              <w:right w:val="single" w:color="000000" w:sz="4" w:space="0"/>
            </w:tcBorders>
            <w:vAlign w:val="center"/>
          </w:tcPr>
          <w:p w14:paraId="241F1D6C">
            <w:pPr>
              <w:pStyle w:val="72"/>
              <w:rPr>
                <w:rFonts w:hint="eastAsia"/>
                <w:b/>
                <w:bCs w:val="0"/>
              </w:rPr>
            </w:pPr>
            <w:r>
              <w:rPr>
                <w:rFonts w:hint="eastAsia"/>
                <w:b/>
                <w:bCs w:val="0"/>
                <w:lang w:bidi="ar"/>
              </w:rPr>
              <w:t>工程类别</w:t>
            </w:r>
          </w:p>
        </w:tc>
        <w:tc>
          <w:tcPr>
            <w:tcW w:w="979" w:type="dxa"/>
            <w:tcBorders>
              <w:top w:val="single" w:color="000000" w:sz="4" w:space="0"/>
              <w:left w:val="single" w:color="000000" w:sz="4" w:space="0"/>
              <w:bottom w:val="single" w:color="000000" w:sz="4" w:space="0"/>
              <w:right w:val="single" w:color="000000" w:sz="4" w:space="0"/>
            </w:tcBorders>
            <w:vAlign w:val="center"/>
          </w:tcPr>
          <w:p w14:paraId="58B87B25">
            <w:pPr>
              <w:pStyle w:val="72"/>
              <w:rPr>
                <w:rFonts w:hint="eastAsia"/>
                <w:b/>
                <w:bCs w:val="0"/>
              </w:rPr>
            </w:pPr>
            <w:r>
              <w:rPr>
                <w:rFonts w:hint="eastAsia"/>
                <w:b/>
                <w:bCs w:val="0"/>
                <w:lang w:bidi="ar"/>
              </w:rPr>
              <w:t>单位</w:t>
            </w:r>
          </w:p>
        </w:tc>
        <w:tc>
          <w:tcPr>
            <w:tcW w:w="1458" w:type="dxa"/>
            <w:tcBorders>
              <w:top w:val="single" w:color="000000" w:sz="4" w:space="0"/>
              <w:left w:val="single" w:color="000000" w:sz="4" w:space="0"/>
              <w:bottom w:val="single" w:color="000000" w:sz="4" w:space="0"/>
              <w:right w:val="single" w:color="000000" w:sz="4" w:space="0"/>
            </w:tcBorders>
            <w:vAlign w:val="center"/>
          </w:tcPr>
          <w:p w14:paraId="38591C26">
            <w:pPr>
              <w:pStyle w:val="72"/>
              <w:rPr>
                <w:rFonts w:hint="eastAsia"/>
                <w:b/>
                <w:bCs w:val="0"/>
              </w:rPr>
            </w:pPr>
            <w:r>
              <w:rPr>
                <w:rFonts w:hint="eastAsia"/>
                <w:b/>
                <w:bCs w:val="0"/>
                <w:lang w:bidi="ar"/>
              </w:rPr>
              <w:t>工程量</w:t>
            </w:r>
          </w:p>
        </w:tc>
        <w:tc>
          <w:tcPr>
            <w:tcW w:w="1619" w:type="dxa"/>
            <w:tcBorders>
              <w:top w:val="single" w:color="000000" w:sz="4" w:space="0"/>
              <w:left w:val="single" w:color="000000" w:sz="4" w:space="0"/>
              <w:bottom w:val="single" w:color="000000" w:sz="4" w:space="0"/>
              <w:right w:val="single" w:color="000000" w:sz="4" w:space="0"/>
            </w:tcBorders>
            <w:vAlign w:val="center"/>
          </w:tcPr>
          <w:p w14:paraId="4D99B240">
            <w:pPr>
              <w:pStyle w:val="72"/>
              <w:rPr>
                <w:rFonts w:hint="eastAsia"/>
                <w:b/>
                <w:bCs w:val="0"/>
              </w:rPr>
            </w:pPr>
            <w:r>
              <w:rPr>
                <w:rFonts w:hint="eastAsia"/>
                <w:b/>
                <w:bCs w:val="0"/>
                <w:lang w:bidi="ar"/>
              </w:rPr>
              <w:t>备注</w:t>
            </w:r>
          </w:p>
        </w:tc>
      </w:tr>
      <w:tr w14:paraId="4A4F868D">
        <w:tblPrEx>
          <w:tblCellMar>
            <w:top w:w="0" w:type="dxa"/>
            <w:left w:w="108" w:type="dxa"/>
            <w:bottom w:w="0" w:type="dxa"/>
            <w:right w:w="108" w:type="dxa"/>
          </w:tblCellMar>
        </w:tblPrEx>
        <w:trPr>
          <w:jc w:val="center"/>
        </w:trPr>
        <w:tc>
          <w:tcPr>
            <w:tcW w:w="978" w:type="dxa"/>
            <w:tcBorders>
              <w:top w:val="single" w:color="000000" w:sz="4" w:space="0"/>
              <w:left w:val="single" w:color="000000" w:sz="4" w:space="0"/>
              <w:bottom w:val="single" w:color="000000" w:sz="4" w:space="0"/>
              <w:right w:val="single" w:color="000000" w:sz="4" w:space="0"/>
            </w:tcBorders>
            <w:vAlign w:val="center"/>
          </w:tcPr>
          <w:p w14:paraId="7967C64B">
            <w:pPr>
              <w:pStyle w:val="72"/>
              <w:rPr>
                <w:rFonts w:hint="eastAsia"/>
              </w:rPr>
            </w:pPr>
            <w:r>
              <w:rPr>
                <w:rFonts w:hint="eastAsia"/>
                <w:lang w:bidi="ar"/>
              </w:rPr>
              <w:t>一</w:t>
            </w:r>
          </w:p>
        </w:tc>
        <w:tc>
          <w:tcPr>
            <w:tcW w:w="4518" w:type="dxa"/>
            <w:tcBorders>
              <w:top w:val="single" w:color="000000" w:sz="4" w:space="0"/>
              <w:left w:val="single" w:color="000000" w:sz="4" w:space="0"/>
              <w:bottom w:val="single" w:color="000000" w:sz="4" w:space="0"/>
              <w:right w:val="single" w:color="000000" w:sz="4" w:space="0"/>
            </w:tcBorders>
            <w:vAlign w:val="center"/>
          </w:tcPr>
          <w:p w14:paraId="1D2F2B3A">
            <w:pPr>
              <w:pStyle w:val="72"/>
              <w:rPr>
                <w:rFonts w:hint="eastAsia"/>
              </w:rPr>
            </w:pPr>
            <w:r>
              <w:rPr>
                <w:rFonts w:hint="eastAsia"/>
                <w:lang w:bidi="ar"/>
              </w:rPr>
              <w:t>地质灾害治理</w:t>
            </w:r>
          </w:p>
        </w:tc>
        <w:tc>
          <w:tcPr>
            <w:tcW w:w="979" w:type="dxa"/>
            <w:tcBorders>
              <w:top w:val="single" w:color="000000" w:sz="4" w:space="0"/>
              <w:left w:val="single" w:color="000000" w:sz="4" w:space="0"/>
              <w:bottom w:val="single" w:color="000000" w:sz="4" w:space="0"/>
              <w:right w:val="single" w:color="000000" w:sz="4" w:space="0"/>
            </w:tcBorders>
            <w:vAlign w:val="center"/>
          </w:tcPr>
          <w:p w14:paraId="359A0CD7">
            <w:pPr>
              <w:pStyle w:val="72"/>
              <w:rPr>
                <w:rFonts w:hint="default" w:ascii="Times New Roman" w:hAnsi="Times New Roman" w:cs="Times New Roman"/>
              </w:rPr>
            </w:pPr>
          </w:p>
        </w:tc>
        <w:tc>
          <w:tcPr>
            <w:tcW w:w="1458" w:type="dxa"/>
            <w:tcBorders>
              <w:top w:val="single" w:color="000000" w:sz="4" w:space="0"/>
              <w:left w:val="single" w:color="000000" w:sz="4" w:space="0"/>
              <w:bottom w:val="single" w:color="000000" w:sz="4" w:space="0"/>
              <w:right w:val="single" w:color="000000" w:sz="4" w:space="0"/>
            </w:tcBorders>
            <w:vAlign w:val="center"/>
          </w:tcPr>
          <w:p w14:paraId="71EB537E">
            <w:pPr>
              <w:pStyle w:val="72"/>
              <w:rPr>
                <w:rFonts w:hint="eastAsia"/>
              </w:rPr>
            </w:pPr>
          </w:p>
        </w:tc>
        <w:tc>
          <w:tcPr>
            <w:tcW w:w="1619" w:type="dxa"/>
            <w:tcBorders>
              <w:top w:val="single" w:color="000000" w:sz="4" w:space="0"/>
              <w:left w:val="single" w:color="000000" w:sz="4" w:space="0"/>
              <w:bottom w:val="single" w:color="000000" w:sz="4" w:space="0"/>
              <w:right w:val="single" w:color="000000" w:sz="4" w:space="0"/>
            </w:tcBorders>
            <w:noWrap/>
            <w:vAlign w:val="center"/>
          </w:tcPr>
          <w:p w14:paraId="6BEEFC3C">
            <w:pPr>
              <w:pStyle w:val="72"/>
              <w:rPr>
                <w:rFonts w:hint="eastAsia"/>
              </w:rPr>
            </w:pPr>
          </w:p>
        </w:tc>
      </w:tr>
      <w:tr w14:paraId="1122428C">
        <w:tblPrEx>
          <w:tblCellMar>
            <w:top w:w="0" w:type="dxa"/>
            <w:left w:w="108" w:type="dxa"/>
            <w:bottom w:w="0" w:type="dxa"/>
            <w:right w:w="108" w:type="dxa"/>
          </w:tblCellMar>
        </w:tblPrEx>
        <w:trPr>
          <w:jc w:val="center"/>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0E9">
            <w:pPr>
              <w:pStyle w:val="72"/>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4518" w:type="dxa"/>
            <w:tcBorders>
              <w:top w:val="single" w:color="000000" w:sz="4" w:space="0"/>
              <w:left w:val="single" w:color="000000" w:sz="4" w:space="0"/>
              <w:bottom w:val="single" w:color="000000" w:sz="4" w:space="0"/>
              <w:right w:val="single" w:color="000000" w:sz="4" w:space="0"/>
            </w:tcBorders>
            <w:vAlign w:val="center"/>
          </w:tcPr>
          <w:p w14:paraId="4E88F0B1">
            <w:pPr>
              <w:pStyle w:val="72"/>
              <w:rPr>
                <w:rFonts w:hint="eastAsia"/>
                <w:lang w:bidi="ar"/>
              </w:rPr>
            </w:pPr>
            <w:r>
              <w:rPr>
                <w:rFonts w:hint="eastAsia"/>
              </w:rPr>
              <w:t>表土剥离</w:t>
            </w:r>
          </w:p>
        </w:tc>
        <w:tc>
          <w:tcPr>
            <w:tcW w:w="979" w:type="dxa"/>
            <w:tcBorders>
              <w:top w:val="single" w:color="000000" w:sz="4" w:space="0"/>
              <w:left w:val="single" w:color="000000" w:sz="4" w:space="0"/>
              <w:bottom w:val="single" w:color="000000" w:sz="4" w:space="0"/>
              <w:right w:val="single" w:color="000000" w:sz="4" w:space="0"/>
            </w:tcBorders>
            <w:vAlign w:val="center"/>
          </w:tcPr>
          <w:p w14:paraId="7F7DD841">
            <w:pPr>
              <w:pStyle w:val="72"/>
              <w:rPr>
                <w:rFonts w:hint="default" w:ascii="Times New Roman" w:hAnsi="Times New Roman" w:cs="Times New Roman"/>
              </w:rPr>
            </w:pPr>
            <w:r>
              <w:rPr>
                <w:rFonts w:hint="default" w:ascii="Times New Roman" w:hAnsi="Times New Roman" w:cs="Times New Roman"/>
                <w:lang w:bidi="ar"/>
              </w:rPr>
              <w:t>m³</w:t>
            </w:r>
          </w:p>
        </w:tc>
        <w:tc>
          <w:tcPr>
            <w:tcW w:w="1458" w:type="dxa"/>
            <w:tcBorders>
              <w:top w:val="single" w:color="000000" w:sz="4" w:space="0"/>
              <w:left w:val="single" w:color="000000" w:sz="4" w:space="0"/>
              <w:bottom w:val="single" w:color="000000" w:sz="4" w:space="0"/>
              <w:right w:val="single" w:color="000000" w:sz="4" w:space="0"/>
            </w:tcBorders>
            <w:vAlign w:val="center"/>
          </w:tcPr>
          <w:p w14:paraId="56072C38">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3504</w:t>
            </w:r>
          </w:p>
        </w:tc>
        <w:tc>
          <w:tcPr>
            <w:tcW w:w="1619" w:type="dxa"/>
            <w:tcBorders>
              <w:top w:val="single" w:color="000000" w:sz="4" w:space="0"/>
              <w:left w:val="single" w:color="000000" w:sz="4" w:space="0"/>
              <w:bottom w:val="single" w:color="000000" w:sz="4" w:space="0"/>
              <w:right w:val="single" w:color="000000" w:sz="4" w:space="0"/>
            </w:tcBorders>
            <w:noWrap/>
            <w:vAlign w:val="center"/>
          </w:tcPr>
          <w:p w14:paraId="1DAB94AF">
            <w:pPr>
              <w:pStyle w:val="72"/>
              <w:rPr>
                <w:rFonts w:hint="default" w:ascii="Times New Roman" w:hAnsi="Times New Roman" w:cs="Times New Roman"/>
              </w:rPr>
            </w:pPr>
          </w:p>
        </w:tc>
      </w:tr>
      <w:tr w14:paraId="6E22CCB5">
        <w:tblPrEx>
          <w:tblCellMar>
            <w:top w:w="0" w:type="dxa"/>
            <w:left w:w="108" w:type="dxa"/>
            <w:bottom w:w="0" w:type="dxa"/>
            <w:right w:w="108" w:type="dxa"/>
          </w:tblCellMar>
        </w:tblPrEx>
        <w:trPr>
          <w:jc w:val="center"/>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4E01">
            <w:pPr>
              <w:pStyle w:val="72"/>
              <w:rPr>
                <w:rFonts w:hint="eastAsia" w:ascii="Times New Roman" w:hAnsi="Times New Roman" w:cs="Times New Roman"/>
                <w:lang w:val="en-US" w:eastAsia="zh-CN"/>
              </w:rPr>
            </w:pPr>
            <w:r>
              <w:rPr>
                <w:rFonts w:hint="eastAsia" w:ascii="Times New Roman" w:hAnsi="Times New Roman" w:cs="Times New Roman"/>
                <w:lang w:val="en-US" w:eastAsia="zh-CN"/>
              </w:rPr>
              <w:t>2</w:t>
            </w:r>
          </w:p>
        </w:tc>
        <w:tc>
          <w:tcPr>
            <w:tcW w:w="4518" w:type="dxa"/>
            <w:tcBorders>
              <w:top w:val="single" w:color="000000" w:sz="4" w:space="0"/>
              <w:left w:val="single" w:color="000000" w:sz="4" w:space="0"/>
              <w:bottom w:val="single" w:color="000000" w:sz="4" w:space="0"/>
              <w:right w:val="single" w:color="000000" w:sz="4" w:space="0"/>
            </w:tcBorders>
            <w:vAlign w:val="center"/>
          </w:tcPr>
          <w:p w14:paraId="593A8F69">
            <w:pPr>
              <w:pStyle w:val="72"/>
              <w:rPr>
                <w:rFonts w:hint="eastAsia" w:eastAsia="仿宋"/>
                <w:lang w:val="en-US" w:eastAsia="zh-CN" w:bidi="ar"/>
              </w:rPr>
            </w:pPr>
            <w:r>
              <w:rPr>
                <w:rFonts w:hint="eastAsia"/>
                <w:lang w:val="en-US" w:eastAsia="zh-CN" w:bidi="ar"/>
              </w:rPr>
              <w:t>挡土墙</w:t>
            </w:r>
          </w:p>
        </w:tc>
        <w:tc>
          <w:tcPr>
            <w:tcW w:w="979" w:type="dxa"/>
            <w:tcBorders>
              <w:top w:val="single" w:color="000000" w:sz="4" w:space="0"/>
              <w:left w:val="single" w:color="000000" w:sz="4" w:space="0"/>
              <w:bottom w:val="single" w:color="000000" w:sz="4" w:space="0"/>
              <w:right w:val="single" w:color="000000" w:sz="4" w:space="0"/>
            </w:tcBorders>
            <w:vAlign w:val="center"/>
          </w:tcPr>
          <w:p w14:paraId="51C6F083">
            <w:pPr>
              <w:pStyle w:val="72"/>
              <w:rPr>
                <w:rFonts w:hint="default" w:ascii="Times New Roman" w:hAnsi="Times New Roman" w:cs="Times New Roman"/>
              </w:rPr>
            </w:pPr>
            <w:r>
              <w:rPr>
                <w:rFonts w:hint="default" w:ascii="Times New Roman" w:hAnsi="Times New Roman" w:cs="Times New Roman"/>
                <w:lang w:bidi="ar"/>
              </w:rPr>
              <w:t>m</w:t>
            </w:r>
          </w:p>
        </w:tc>
        <w:tc>
          <w:tcPr>
            <w:tcW w:w="1458" w:type="dxa"/>
            <w:tcBorders>
              <w:top w:val="single" w:color="000000" w:sz="4" w:space="0"/>
              <w:left w:val="single" w:color="000000" w:sz="4" w:space="0"/>
              <w:bottom w:val="single" w:color="000000" w:sz="4" w:space="0"/>
              <w:right w:val="single" w:color="000000" w:sz="4" w:space="0"/>
            </w:tcBorders>
            <w:vAlign w:val="center"/>
          </w:tcPr>
          <w:p w14:paraId="24563CBB">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75</w:t>
            </w:r>
          </w:p>
        </w:tc>
        <w:tc>
          <w:tcPr>
            <w:tcW w:w="1619" w:type="dxa"/>
            <w:tcBorders>
              <w:top w:val="single" w:color="000000" w:sz="4" w:space="0"/>
              <w:left w:val="single" w:color="000000" w:sz="4" w:space="0"/>
              <w:bottom w:val="single" w:color="000000" w:sz="4" w:space="0"/>
              <w:right w:val="single" w:color="000000" w:sz="4" w:space="0"/>
            </w:tcBorders>
            <w:noWrap/>
            <w:vAlign w:val="center"/>
          </w:tcPr>
          <w:p w14:paraId="0F777B5C">
            <w:pPr>
              <w:pStyle w:val="72"/>
              <w:rPr>
                <w:rFonts w:hint="default" w:ascii="Times New Roman" w:hAnsi="Times New Roman" w:cs="Times New Roman"/>
              </w:rPr>
            </w:pPr>
          </w:p>
        </w:tc>
      </w:tr>
      <w:tr w14:paraId="6856CEFD">
        <w:tblPrEx>
          <w:tblCellMar>
            <w:top w:w="0" w:type="dxa"/>
            <w:left w:w="108" w:type="dxa"/>
            <w:bottom w:w="0" w:type="dxa"/>
            <w:right w:w="108" w:type="dxa"/>
          </w:tblCellMar>
        </w:tblPrEx>
        <w:trPr>
          <w:jc w:val="center"/>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BCB55">
            <w:pPr>
              <w:pStyle w:val="72"/>
              <w:rPr>
                <w:rFonts w:hint="eastAsia" w:ascii="Times New Roman" w:hAnsi="Times New Roman" w:cs="Times New Roman"/>
                <w:lang w:val="en-US" w:eastAsia="zh-CN"/>
              </w:rPr>
            </w:pPr>
            <w:r>
              <w:rPr>
                <w:rFonts w:hint="eastAsia" w:ascii="Times New Roman" w:hAnsi="Times New Roman" w:cs="Times New Roman"/>
                <w:lang w:val="en-US" w:eastAsia="zh-CN"/>
              </w:rPr>
              <w:t>3</w:t>
            </w:r>
          </w:p>
        </w:tc>
        <w:tc>
          <w:tcPr>
            <w:tcW w:w="4518" w:type="dxa"/>
            <w:tcBorders>
              <w:top w:val="single" w:color="000000" w:sz="4" w:space="0"/>
              <w:left w:val="single" w:color="000000" w:sz="4" w:space="0"/>
              <w:bottom w:val="single" w:color="000000" w:sz="4" w:space="0"/>
              <w:right w:val="single" w:color="000000" w:sz="4" w:space="0"/>
            </w:tcBorders>
            <w:vAlign w:val="center"/>
          </w:tcPr>
          <w:p w14:paraId="6F09D49F">
            <w:pPr>
              <w:pStyle w:val="72"/>
              <w:rPr>
                <w:rFonts w:hint="eastAsia"/>
                <w:lang w:bidi="ar"/>
              </w:rPr>
            </w:pPr>
            <w:r>
              <w:rPr>
                <w:rFonts w:hint="eastAsia"/>
              </w:rPr>
              <w:t>地裂缝充填</w:t>
            </w:r>
          </w:p>
        </w:tc>
        <w:tc>
          <w:tcPr>
            <w:tcW w:w="979" w:type="dxa"/>
            <w:tcBorders>
              <w:top w:val="single" w:color="000000" w:sz="4" w:space="0"/>
              <w:left w:val="single" w:color="000000" w:sz="4" w:space="0"/>
              <w:bottom w:val="single" w:color="000000" w:sz="4" w:space="0"/>
              <w:right w:val="single" w:color="000000" w:sz="4" w:space="0"/>
            </w:tcBorders>
            <w:vAlign w:val="center"/>
          </w:tcPr>
          <w:p w14:paraId="5FE3C268">
            <w:pPr>
              <w:pStyle w:val="72"/>
              <w:rPr>
                <w:rFonts w:hint="default" w:ascii="Times New Roman" w:hAnsi="Times New Roman" w:cs="Times New Roman"/>
              </w:rPr>
            </w:pPr>
            <w:r>
              <w:rPr>
                <w:rFonts w:hint="default" w:ascii="Times New Roman" w:hAnsi="Times New Roman" w:cs="Times New Roman"/>
                <w:lang w:bidi="ar"/>
              </w:rPr>
              <w:t>m³</w:t>
            </w:r>
          </w:p>
        </w:tc>
        <w:tc>
          <w:tcPr>
            <w:tcW w:w="1458" w:type="dxa"/>
            <w:tcBorders>
              <w:top w:val="single" w:color="000000" w:sz="4" w:space="0"/>
              <w:left w:val="single" w:color="000000" w:sz="4" w:space="0"/>
              <w:bottom w:val="single" w:color="000000" w:sz="4" w:space="0"/>
              <w:right w:val="single" w:color="000000" w:sz="4" w:space="0"/>
            </w:tcBorders>
            <w:vAlign w:val="center"/>
          </w:tcPr>
          <w:p w14:paraId="67A4EC37">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270</w:t>
            </w:r>
          </w:p>
        </w:tc>
        <w:tc>
          <w:tcPr>
            <w:tcW w:w="1619" w:type="dxa"/>
            <w:tcBorders>
              <w:top w:val="single" w:color="000000" w:sz="4" w:space="0"/>
              <w:left w:val="single" w:color="000000" w:sz="4" w:space="0"/>
              <w:bottom w:val="single" w:color="000000" w:sz="4" w:space="0"/>
              <w:right w:val="single" w:color="000000" w:sz="4" w:space="0"/>
            </w:tcBorders>
            <w:noWrap/>
            <w:vAlign w:val="center"/>
          </w:tcPr>
          <w:p w14:paraId="327DA2B5">
            <w:pPr>
              <w:pStyle w:val="72"/>
              <w:rPr>
                <w:rFonts w:hint="default" w:ascii="Times New Roman" w:hAnsi="Times New Roman" w:cs="Times New Roman"/>
              </w:rPr>
            </w:pPr>
          </w:p>
        </w:tc>
      </w:tr>
      <w:tr w14:paraId="6A63550C">
        <w:tblPrEx>
          <w:tblCellMar>
            <w:top w:w="0" w:type="dxa"/>
            <w:left w:w="108" w:type="dxa"/>
            <w:bottom w:w="0" w:type="dxa"/>
            <w:right w:w="108" w:type="dxa"/>
          </w:tblCellMar>
        </w:tblPrEx>
        <w:trPr>
          <w:jc w:val="center"/>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9B9B2">
            <w:pPr>
              <w:pStyle w:val="72"/>
              <w:rPr>
                <w:rFonts w:hint="eastAsia" w:ascii="Times New Roman" w:hAnsi="Times New Roman" w:cs="Times New Roman"/>
                <w:lang w:val="en-US" w:eastAsia="zh-CN"/>
              </w:rPr>
            </w:pPr>
            <w:r>
              <w:rPr>
                <w:rFonts w:hint="eastAsia" w:ascii="Times New Roman" w:hAnsi="Times New Roman" w:cs="Times New Roman"/>
                <w:lang w:val="en-US" w:eastAsia="zh-CN"/>
              </w:rPr>
              <w:t>4</w:t>
            </w:r>
          </w:p>
        </w:tc>
        <w:tc>
          <w:tcPr>
            <w:tcW w:w="4518" w:type="dxa"/>
            <w:tcBorders>
              <w:top w:val="single" w:color="000000" w:sz="4" w:space="0"/>
              <w:left w:val="single" w:color="000000" w:sz="4" w:space="0"/>
              <w:bottom w:val="single" w:color="000000" w:sz="4" w:space="0"/>
              <w:right w:val="single" w:color="000000" w:sz="4" w:space="0"/>
            </w:tcBorders>
            <w:vAlign w:val="center"/>
          </w:tcPr>
          <w:p w14:paraId="0C85BFC7">
            <w:pPr>
              <w:pStyle w:val="72"/>
              <w:rPr>
                <w:rFonts w:hint="default" w:eastAsia="仿宋"/>
                <w:lang w:val="en-US" w:eastAsia="zh-CN"/>
              </w:rPr>
            </w:pPr>
            <w:r>
              <w:rPr>
                <w:rFonts w:hint="eastAsia"/>
                <w:lang w:val="en-US" w:eastAsia="zh-CN"/>
              </w:rPr>
              <w:t>原三处废弃平硐封堵浆砌石砌筑</w:t>
            </w:r>
          </w:p>
        </w:tc>
        <w:tc>
          <w:tcPr>
            <w:tcW w:w="979" w:type="dxa"/>
            <w:tcBorders>
              <w:top w:val="single" w:color="000000" w:sz="4" w:space="0"/>
              <w:left w:val="single" w:color="000000" w:sz="4" w:space="0"/>
              <w:bottom w:val="single" w:color="000000" w:sz="4" w:space="0"/>
              <w:right w:val="single" w:color="000000" w:sz="4" w:space="0"/>
            </w:tcBorders>
            <w:vAlign w:val="center"/>
          </w:tcPr>
          <w:p w14:paraId="021AEE2B">
            <w:pPr>
              <w:pStyle w:val="72"/>
              <w:rPr>
                <w:rFonts w:hint="default" w:ascii="Times New Roman" w:hAnsi="Times New Roman" w:cs="Times New Roman"/>
              </w:rPr>
            </w:pPr>
            <w:r>
              <w:rPr>
                <w:rFonts w:hint="default" w:ascii="Times New Roman" w:hAnsi="Times New Roman" w:cs="Times New Roman"/>
                <w:lang w:bidi="ar"/>
              </w:rPr>
              <w:t>m³</w:t>
            </w:r>
          </w:p>
        </w:tc>
        <w:tc>
          <w:tcPr>
            <w:tcW w:w="1458" w:type="dxa"/>
            <w:tcBorders>
              <w:top w:val="single" w:color="000000" w:sz="4" w:space="0"/>
              <w:left w:val="single" w:color="000000" w:sz="4" w:space="0"/>
              <w:bottom w:val="single" w:color="000000" w:sz="4" w:space="0"/>
              <w:right w:val="single" w:color="000000" w:sz="4" w:space="0"/>
            </w:tcBorders>
            <w:vAlign w:val="center"/>
          </w:tcPr>
          <w:p w14:paraId="5E2F95ED">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68.94</w:t>
            </w:r>
          </w:p>
        </w:tc>
        <w:tc>
          <w:tcPr>
            <w:tcW w:w="1619" w:type="dxa"/>
            <w:tcBorders>
              <w:top w:val="single" w:color="000000" w:sz="4" w:space="0"/>
              <w:left w:val="single" w:color="000000" w:sz="4" w:space="0"/>
              <w:bottom w:val="single" w:color="000000" w:sz="4" w:space="0"/>
              <w:right w:val="single" w:color="000000" w:sz="4" w:space="0"/>
            </w:tcBorders>
            <w:noWrap/>
            <w:vAlign w:val="center"/>
          </w:tcPr>
          <w:p w14:paraId="629788AE">
            <w:pPr>
              <w:pStyle w:val="72"/>
              <w:rPr>
                <w:rFonts w:hint="default" w:ascii="Times New Roman" w:hAnsi="Times New Roman" w:cs="Times New Roman"/>
              </w:rPr>
            </w:pPr>
          </w:p>
        </w:tc>
      </w:tr>
      <w:tr w14:paraId="6B459DF5">
        <w:tblPrEx>
          <w:tblCellMar>
            <w:top w:w="0" w:type="dxa"/>
            <w:left w:w="108" w:type="dxa"/>
            <w:bottom w:w="0" w:type="dxa"/>
            <w:right w:w="108" w:type="dxa"/>
          </w:tblCellMar>
        </w:tblPrEx>
        <w:trPr>
          <w:jc w:val="center"/>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8CD28">
            <w:pPr>
              <w:pStyle w:val="72"/>
              <w:rPr>
                <w:rFonts w:hint="eastAsia" w:ascii="Times New Roman" w:hAnsi="Times New Roman" w:cs="Times New Roman"/>
                <w:lang w:val="en-US" w:eastAsia="zh-CN"/>
              </w:rPr>
            </w:pPr>
            <w:r>
              <w:rPr>
                <w:rFonts w:hint="eastAsia" w:ascii="Times New Roman" w:hAnsi="Times New Roman" w:cs="Times New Roman"/>
                <w:lang w:val="en-US" w:eastAsia="zh-CN"/>
              </w:rPr>
              <w:t>5</w:t>
            </w:r>
          </w:p>
        </w:tc>
        <w:tc>
          <w:tcPr>
            <w:tcW w:w="4518" w:type="dxa"/>
            <w:tcBorders>
              <w:top w:val="single" w:color="000000" w:sz="4" w:space="0"/>
              <w:left w:val="single" w:color="000000" w:sz="4" w:space="0"/>
              <w:bottom w:val="single" w:color="000000" w:sz="4" w:space="0"/>
              <w:right w:val="single" w:color="000000" w:sz="4" w:space="0"/>
            </w:tcBorders>
            <w:vAlign w:val="center"/>
          </w:tcPr>
          <w:p w14:paraId="4C5328DC">
            <w:pPr>
              <w:pStyle w:val="72"/>
              <w:rPr>
                <w:rFonts w:hint="eastAsia"/>
                <w:lang w:val="en-US" w:eastAsia="zh-CN"/>
              </w:rPr>
            </w:pPr>
            <w:r>
              <w:rPr>
                <w:rFonts w:hint="eastAsia"/>
                <w:lang w:val="en-US" w:eastAsia="zh-CN"/>
              </w:rPr>
              <w:t>原三处废弃平硐封堵浆废石回填</w:t>
            </w:r>
          </w:p>
        </w:tc>
        <w:tc>
          <w:tcPr>
            <w:tcW w:w="979" w:type="dxa"/>
            <w:tcBorders>
              <w:top w:val="single" w:color="000000" w:sz="4" w:space="0"/>
              <w:left w:val="single" w:color="000000" w:sz="4" w:space="0"/>
              <w:bottom w:val="single" w:color="000000" w:sz="4" w:space="0"/>
              <w:right w:val="single" w:color="000000" w:sz="4" w:space="0"/>
            </w:tcBorders>
            <w:vAlign w:val="center"/>
          </w:tcPr>
          <w:p w14:paraId="1E45025F">
            <w:pPr>
              <w:pStyle w:val="72"/>
              <w:rPr>
                <w:rFonts w:hint="default" w:ascii="Times New Roman" w:hAnsi="Times New Roman" w:cs="Times New Roman"/>
                <w:lang w:bidi="ar"/>
              </w:rPr>
            </w:pPr>
            <w:r>
              <w:rPr>
                <w:rFonts w:hint="default" w:ascii="Times New Roman" w:hAnsi="Times New Roman" w:cs="Times New Roman"/>
                <w:lang w:bidi="ar"/>
              </w:rPr>
              <w:t>m³</w:t>
            </w:r>
          </w:p>
        </w:tc>
        <w:tc>
          <w:tcPr>
            <w:tcW w:w="1458" w:type="dxa"/>
            <w:tcBorders>
              <w:top w:val="single" w:color="000000" w:sz="4" w:space="0"/>
              <w:left w:val="single" w:color="000000" w:sz="4" w:space="0"/>
              <w:bottom w:val="single" w:color="000000" w:sz="4" w:space="0"/>
              <w:right w:val="single" w:color="000000" w:sz="4" w:space="0"/>
            </w:tcBorders>
            <w:vAlign w:val="center"/>
          </w:tcPr>
          <w:p w14:paraId="10FB537C">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3600</w:t>
            </w:r>
          </w:p>
        </w:tc>
        <w:tc>
          <w:tcPr>
            <w:tcW w:w="1619" w:type="dxa"/>
            <w:tcBorders>
              <w:top w:val="single" w:color="000000" w:sz="4" w:space="0"/>
              <w:left w:val="single" w:color="000000" w:sz="4" w:space="0"/>
              <w:bottom w:val="single" w:color="000000" w:sz="4" w:space="0"/>
              <w:right w:val="single" w:color="000000" w:sz="4" w:space="0"/>
            </w:tcBorders>
            <w:noWrap/>
            <w:vAlign w:val="center"/>
          </w:tcPr>
          <w:p w14:paraId="69309B76">
            <w:pPr>
              <w:pStyle w:val="72"/>
              <w:rPr>
                <w:rFonts w:hint="default" w:ascii="Times New Roman" w:hAnsi="Times New Roman" w:cs="Times New Roman"/>
              </w:rPr>
            </w:pPr>
            <w:r>
              <w:rPr>
                <w:rFonts w:hint="default" w:ascii="Times New Roman" w:hAnsi="Times New Roman" w:cs="Times New Roman"/>
              </w:rPr>
              <w:t>运距0.5～1km</w:t>
            </w:r>
          </w:p>
        </w:tc>
      </w:tr>
      <w:tr w14:paraId="53AE36B8">
        <w:tblPrEx>
          <w:tblCellMar>
            <w:top w:w="0" w:type="dxa"/>
            <w:left w:w="108" w:type="dxa"/>
            <w:bottom w:w="0" w:type="dxa"/>
            <w:right w:w="108" w:type="dxa"/>
          </w:tblCellMar>
        </w:tblPrEx>
        <w:trPr>
          <w:jc w:val="center"/>
        </w:trPr>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8A28A">
            <w:pPr>
              <w:pStyle w:val="72"/>
              <w:rPr>
                <w:rFonts w:hint="eastAsia" w:ascii="Times New Roman" w:hAnsi="Times New Roman" w:cs="Times New Roman"/>
                <w:lang w:val="en-US" w:eastAsia="zh-CN"/>
              </w:rPr>
            </w:pPr>
            <w:r>
              <w:rPr>
                <w:rFonts w:hint="eastAsia" w:ascii="Times New Roman" w:hAnsi="Times New Roman" w:cs="Times New Roman"/>
                <w:lang w:val="en-US" w:eastAsia="zh-CN"/>
              </w:rPr>
              <w:t>6</w:t>
            </w:r>
          </w:p>
        </w:tc>
        <w:tc>
          <w:tcPr>
            <w:tcW w:w="4518" w:type="dxa"/>
            <w:tcBorders>
              <w:top w:val="single" w:color="000000" w:sz="4" w:space="0"/>
              <w:left w:val="single" w:color="000000" w:sz="4" w:space="0"/>
              <w:bottom w:val="single" w:color="000000" w:sz="4" w:space="0"/>
              <w:right w:val="single" w:color="000000" w:sz="4" w:space="0"/>
            </w:tcBorders>
            <w:vAlign w:val="center"/>
          </w:tcPr>
          <w:p w14:paraId="694FED14">
            <w:pPr>
              <w:pStyle w:val="72"/>
              <w:rPr>
                <w:rFonts w:hint="eastAsia"/>
              </w:rPr>
            </w:pPr>
            <w:r>
              <w:rPr>
                <w:rFonts w:hint="eastAsia"/>
              </w:rPr>
              <w:t>场地平整</w:t>
            </w:r>
          </w:p>
        </w:tc>
        <w:tc>
          <w:tcPr>
            <w:tcW w:w="979" w:type="dxa"/>
            <w:tcBorders>
              <w:top w:val="single" w:color="000000" w:sz="4" w:space="0"/>
              <w:left w:val="single" w:color="000000" w:sz="4" w:space="0"/>
              <w:bottom w:val="single" w:color="000000" w:sz="4" w:space="0"/>
              <w:right w:val="single" w:color="000000" w:sz="4" w:space="0"/>
            </w:tcBorders>
            <w:vAlign w:val="center"/>
          </w:tcPr>
          <w:p w14:paraId="3A470CEE">
            <w:pPr>
              <w:pStyle w:val="72"/>
              <w:rPr>
                <w:rFonts w:hint="default" w:ascii="Times New Roman" w:hAnsi="Times New Roman" w:cs="Times New Roman"/>
              </w:rPr>
            </w:pPr>
            <w:r>
              <w:rPr>
                <w:rFonts w:hint="default" w:ascii="Times New Roman" w:hAnsi="Times New Roman" w:cs="Times New Roman"/>
                <w:lang w:bidi="ar"/>
              </w:rPr>
              <w:t>m³</w:t>
            </w:r>
          </w:p>
        </w:tc>
        <w:tc>
          <w:tcPr>
            <w:tcW w:w="1458" w:type="dxa"/>
            <w:tcBorders>
              <w:top w:val="single" w:color="000000" w:sz="4" w:space="0"/>
              <w:left w:val="single" w:color="000000" w:sz="4" w:space="0"/>
              <w:bottom w:val="single" w:color="000000" w:sz="4" w:space="0"/>
              <w:right w:val="single" w:color="000000" w:sz="4" w:space="0"/>
            </w:tcBorders>
            <w:noWrap/>
            <w:vAlign w:val="center"/>
          </w:tcPr>
          <w:p w14:paraId="52C7D92E">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2336</w:t>
            </w:r>
          </w:p>
        </w:tc>
        <w:tc>
          <w:tcPr>
            <w:tcW w:w="1619" w:type="dxa"/>
            <w:tcBorders>
              <w:top w:val="single" w:color="000000" w:sz="4" w:space="0"/>
              <w:left w:val="single" w:color="000000" w:sz="4" w:space="0"/>
              <w:bottom w:val="single" w:color="000000" w:sz="4" w:space="0"/>
              <w:right w:val="single" w:color="000000" w:sz="4" w:space="0"/>
            </w:tcBorders>
            <w:noWrap/>
            <w:vAlign w:val="center"/>
          </w:tcPr>
          <w:p w14:paraId="57E3A7EE">
            <w:pPr>
              <w:pStyle w:val="72"/>
              <w:rPr>
                <w:rFonts w:hint="default" w:ascii="Times New Roman" w:hAnsi="Times New Roman" w:cs="Times New Roman"/>
              </w:rPr>
            </w:pPr>
          </w:p>
        </w:tc>
      </w:tr>
      <w:tr w14:paraId="665145CC">
        <w:tblPrEx>
          <w:tblCellMar>
            <w:top w:w="0" w:type="dxa"/>
            <w:left w:w="108" w:type="dxa"/>
            <w:bottom w:w="0" w:type="dxa"/>
            <w:right w:w="108" w:type="dxa"/>
          </w:tblCellMar>
        </w:tblPrEx>
        <w:trPr>
          <w:jc w:val="center"/>
        </w:trPr>
        <w:tc>
          <w:tcPr>
            <w:tcW w:w="978" w:type="dxa"/>
            <w:tcBorders>
              <w:top w:val="single" w:color="000000" w:sz="4" w:space="0"/>
              <w:left w:val="single" w:color="000000" w:sz="4" w:space="0"/>
              <w:bottom w:val="single" w:color="000000" w:sz="4" w:space="0"/>
              <w:right w:val="single" w:color="000000" w:sz="4" w:space="0"/>
            </w:tcBorders>
            <w:noWrap/>
            <w:vAlign w:val="center"/>
          </w:tcPr>
          <w:p w14:paraId="5D7601D7">
            <w:pPr>
              <w:pStyle w:val="72"/>
              <w:rPr>
                <w:rFonts w:hint="eastAsia" w:ascii="Times New Roman" w:hAnsi="Times New Roman" w:cs="Times New Roman"/>
                <w:lang w:val="en-US" w:eastAsia="zh-CN"/>
              </w:rPr>
            </w:pPr>
            <w:r>
              <w:rPr>
                <w:rFonts w:hint="eastAsia" w:ascii="Times New Roman" w:hAnsi="Times New Roman" w:cs="Times New Roman"/>
                <w:lang w:val="en-US" w:eastAsia="zh-CN"/>
              </w:rPr>
              <w:t>7</w:t>
            </w:r>
          </w:p>
        </w:tc>
        <w:tc>
          <w:tcPr>
            <w:tcW w:w="4518" w:type="dxa"/>
            <w:tcBorders>
              <w:top w:val="single" w:color="000000" w:sz="4" w:space="0"/>
              <w:left w:val="single" w:color="000000" w:sz="4" w:space="0"/>
              <w:bottom w:val="single" w:color="000000" w:sz="4" w:space="0"/>
              <w:right w:val="single" w:color="000000" w:sz="4" w:space="0"/>
            </w:tcBorders>
            <w:noWrap/>
            <w:vAlign w:val="center"/>
          </w:tcPr>
          <w:p w14:paraId="13317C82">
            <w:pPr>
              <w:pStyle w:val="72"/>
              <w:rPr>
                <w:rFonts w:hint="default" w:eastAsia="仿宋"/>
                <w:lang w:val="en-US" w:eastAsia="zh-CN"/>
              </w:rPr>
            </w:pPr>
            <w:r>
              <w:rPr>
                <w:rFonts w:hint="eastAsia"/>
                <w:lang w:val="en-US" w:eastAsia="zh-CN"/>
              </w:rPr>
              <w:t>购买表土</w:t>
            </w:r>
          </w:p>
        </w:tc>
        <w:tc>
          <w:tcPr>
            <w:tcW w:w="979" w:type="dxa"/>
            <w:tcBorders>
              <w:top w:val="single" w:color="000000" w:sz="4" w:space="0"/>
              <w:left w:val="single" w:color="000000" w:sz="4" w:space="0"/>
              <w:bottom w:val="single" w:color="000000" w:sz="4" w:space="0"/>
              <w:right w:val="single" w:color="000000" w:sz="4" w:space="0"/>
            </w:tcBorders>
            <w:vAlign w:val="center"/>
          </w:tcPr>
          <w:p w14:paraId="6C82542D">
            <w:pPr>
              <w:pStyle w:val="72"/>
              <w:rPr>
                <w:rFonts w:hint="default" w:ascii="Times New Roman" w:hAnsi="Times New Roman" w:cs="Times New Roman"/>
              </w:rPr>
            </w:pPr>
            <w:r>
              <w:rPr>
                <w:rFonts w:hint="default" w:ascii="Times New Roman" w:hAnsi="Times New Roman" w:cs="Times New Roman"/>
                <w:lang w:bidi="ar"/>
              </w:rPr>
              <w:t>m³</w:t>
            </w:r>
          </w:p>
        </w:tc>
        <w:tc>
          <w:tcPr>
            <w:tcW w:w="1458" w:type="dxa"/>
            <w:tcBorders>
              <w:top w:val="single" w:color="000000" w:sz="4" w:space="0"/>
              <w:left w:val="single" w:color="000000" w:sz="4" w:space="0"/>
              <w:bottom w:val="single" w:color="000000" w:sz="4" w:space="0"/>
              <w:right w:val="single" w:color="000000" w:sz="4" w:space="0"/>
            </w:tcBorders>
            <w:noWrap/>
            <w:vAlign w:val="center"/>
          </w:tcPr>
          <w:p w14:paraId="5EE43117">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1082.4</w:t>
            </w:r>
          </w:p>
        </w:tc>
        <w:tc>
          <w:tcPr>
            <w:tcW w:w="1619" w:type="dxa"/>
            <w:tcBorders>
              <w:top w:val="single" w:color="000000" w:sz="4" w:space="0"/>
              <w:left w:val="single" w:color="000000" w:sz="4" w:space="0"/>
              <w:bottom w:val="single" w:color="000000" w:sz="4" w:space="0"/>
              <w:right w:val="single" w:color="000000" w:sz="4" w:space="0"/>
            </w:tcBorders>
            <w:noWrap/>
            <w:vAlign w:val="center"/>
          </w:tcPr>
          <w:p w14:paraId="733C2B2D">
            <w:pPr>
              <w:pStyle w:val="72"/>
              <w:rPr>
                <w:rFonts w:hint="default" w:ascii="Times New Roman" w:hAnsi="Times New Roman" w:cs="Times New Roman"/>
              </w:rPr>
            </w:pPr>
          </w:p>
        </w:tc>
      </w:tr>
      <w:tr w14:paraId="64234FDD">
        <w:tblPrEx>
          <w:tblCellMar>
            <w:top w:w="0" w:type="dxa"/>
            <w:left w:w="108" w:type="dxa"/>
            <w:bottom w:w="0" w:type="dxa"/>
            <w:right w:w="108" w:type="dxa"/>
          </w:tblCellMar>
        </w:tblPrEx>
        <w:trPr>
          <w:jc w:val="center"/>
        </w:trPr>
        <w:tc>
          <w:tcPr>
            <w:tcW w:w="978" w:type="dxa"/>
            <w:tcBorders>
              <w:top w:val="single" w:color="000000" w:sz="4" w:space="0"/>
              <w:left w:val="single" w:color="000000" w:sz="4" w:space="0"/>
              <w:bottom w:val="single" w:color="000000" w:sz="4" w:space="0"/>
              <w:right w:val="single" w:color="000000" w:sz="4" w:space="0"/>
            </w:tcBorders>
            <w:noWrap/>
            <w:vAlign w:val="center"/>
          </w:tcPr>
          <w:p w14:paraId="56EF850A">
            <w:pPr>
              <w:pStyle w:val="72"/>
              <w:rPr>
                <w:rFonts w:hint="eastAsia" w:ascii="Times New Roman" w:hAnsi="Times New Roman" w:cs="Times New Roman"/>
                <w:lang w:val="en-US" w:eastAsia="zh-CN"/>
              </w:rPr>
            </w:pPr>
            <w:r>
              <w:rPr>
                <w:rFonts w:hint="eastAsia" w:ascii="Times New Roman" w:hAnsi="Times New Roman" w:cs="Times New Roman"/>
                <w:lang w:val="en-US" w:eastAsia="zh-CN"/>
              </w:rPr>
              <w:t>8</w:t>
            </w:r>
          </w:p>
        </w:tc>
        <w:tc>
          <w:tcPr>
            <w:tcW w:w="4518" w:type="dxa"/>
            <w:tcBorders>
              <w:top w:val="single" w:color="000000" w:sz="4" w:space="0"/>
              <w:left w:val="single" w:color="000000" w:sz="4" w:space="0"/>
              <w:bottom w:val="single" w:color="000000" w:sz="4" w:space="0"/>
              <w:right w:val="single" w:color="000000" w:sz="4" w:space="0"/>
            </w:tcBorders>
            <w:noWrap/>
            <w:vAlign w:val="center"/>
          </w:tcPr>
          <w:p w14:paraId="3DCFB9FC">
            <w:pPr>
              <w:pStyle w:val="72"/>
              <w:rPr>
                <w:rFonts w:hint="eastAsia"/>
              </w:rPr>
            </w:pPr>
            <w:r>
              <w:rPr>
                <w:rFonts w:hint="eastAsia"/>
              </w:rPr>
              <w:t>表土回填</w:t>
            </w:r>
          </w:p>
        </w:tc>
        <w:tc>
          <w:tcPr>
            <w:tcW w:w="979" w:type="dxa"/>
            <w:tcBorders>
              <w:top w:val="single" w:color="000000" w:sz="4" w:space="0"/>
              <w:left w:val="single" w:color="000000" w:sz="4" w:space="0"/>
              <w:bottom w:val="single" w:color="000000" w:sz="4" w:space="0"/>
              <w:right w:val="single" w:color="000000" w:sz="4" w:space="0"/>
            </w:tcBorders>
            <w:vAlign w:val="center"/>
          </w:tcPr>
          <w:p w14:paraId="651EBADB">
            <w:pPr>
              <w:pStyle w:val="72"/>
              <w:rPr>
                <w:rFonts w:hint="default" w:ascii="Times New Roman" w:hAnsi="Times New Roman" w:cs="Times New Roman"/>
              </w:rPr>
            </w:pPr>
            <w:r>
              <w:rPr>
                <w:rFonts w:hint="default" w:ascii="Times New Roman" w:hAnsi="Times New Roman" w:cs="Times New Roman"/>
                <w:lang w:bidi="ar"/>
              </w:rPr>
              <w:t>m³</w:t>
            </w:r>
          </w:p>
        </w:tc>
        <w:tc>
          <w:tcPr>
            <w:tcW w:w="1458" w:type="dxa"/>
            <w:tcBorders>
              <w:top w:val="single" w:color="000000" w:sz="4" w:space="0"/>
              <w:left w:val="single" w:color="000000" w:sz="4" w:space="0"/>
              <w:bottom w:val="single" w:color="000000" w:sz="4" w:space="0"/>
              <w:right w:val="single" w:color="000000" w:sz="4" w:space="0"/>
            </w:tcBorders>
            <w:noWrap/>
            <w:vAlign w:val="center"/>
          </w:tcPr>
          <w:p w14:paraId="66F35A3E">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4586.4</w:t>
            </w:r>
          </w:p>
        </w:tc>
        <w:tc>
          <w:tcPr>
            <w:tcW w:w="1619" w:type="dxa"/>
            <w:tcBorders>
              <w:top w:val="single" w:color="000000" w:sz="4" w:space="0"/>
              <w:left w:val="single" w:color="000000" w:sz="4" w:space="0"/>
              <w:bottom w:val="single" w:color="000000" w:sz="4" w:space="0"/>
              <w:right w:val="single" w:color="000000" w:sz="4" w:space="0"/>
            </w:tcBorders>
            <w:noWrap/>
            <w:vAlign w:val="center"/>
          </w:tcPr>
          <w:p w14:paraId="20D9F1F0">
            <w:pPr>
              <w:pStyle w:val="72"/>
              <w:rPr>
                <w:rFonts w:hint="default" w:ascii="Times New Roman" w:hAnsi="Times New Roman" w:cs="Times New Roman"/>
              </w:rPr>
            </w:pPr>
          </w:p>
        </w:tc>
      </w:tr>
      <w:tr w14:paraId="2D4473A1">
        <w:tblPrEx>
          <w:tblCellMar>
            <w:top w:w="0" w:type="dxa"/>
            <w:left w:w="108" w:type="dxa"/>
            <w:bottom w:w="0" w:type="dxa"/>
            <w:right w:w="108" w:type="dxa"/>
          </w:tblCellMar>
        </w:tblPrEx>
        <w:trPr>
          <w:jc w:val="center"/>
        </w:trPr>
        <w:tc>
          <w:tcPr>
            <w:tcW w:w="978" w:type="dxa"/>
            <w:tcBorders>
              <w:top w:val="single" w:color="000000" w:sz="4" w:space="0"/>
              <w:left w:val="single" w:color="000000" w:sz="4" w:space="0"/>
              <w:bottom w:val="single" w:color="000000" w:sz="4" w:space="0"/>
              <w:right w:val="single" w:color="000000" w:sz="4" w:space="0"/>
            </w:tcBorders>
            <w:noWrap/>
            <w:vAlign w:val="center"/>
          </w:tcPr>
          <w:p w14:paraId="39BBBCA8">
            <w:pPr>
              <w:pStyle w:val="72"/>
              <w:rPr>
                <w:rFonts w:hint="eastAsia" w:ascii="Times New Roman" w:hAnsi="Times New Roman" w:cs="Times New Roman"/>
                <w:lang w:val="en-US" w:eastAsia="zh-CN"/>
              </w:rPr>
            </w:pPr>
            <w:r>
              <w:rPr>
                <w:rFonts w:hint="eastAsia" w:ascii="Times New Roman" w:hAnsi="Times New Roman" w:cs="Times New Roman"/>
                <w:lang w:val="en-US" w:eastAsia="zh-CN"/>
              </w:rPr>
              <w:t>9</w:t>
            </w:r>
          </w:p>
        </w:tc>
        <w:tc>
          <w:tcPr>
            <w:tcW w:w="4518" w:type="dxa"/>
            <w:tcBorders>
              <w:top w:val="single" w:color="000000" w:sz="4" w:space="0"/>
              <w:left w:val="single" w:color="000000" w:sz="4" w:space="0"/>
              <w:bottom w:val="single" w:color="000000" w:sz="4" w:space="0"/>
              <w:right w:val="single" w:color="000000" w:sz="4" w:space="0"/>
            </w:tcBorders>
            <w:noWrap/>
            <w:vAlign w:val="center"/>
          </w:tcPr>
          <w:p w14:paraId="72415E08">
            <w:pPr>
              <w:pStyle w:val="72"/>
              <w:rPr>
                <w:rFonts w:hint="default" w:eastAsia="仿宋"/>
                <w:lang w:val="en-US" w:eastAsia="zh-CN"/>
              </w:rPr>
            </w:pPr>
            <w:r>
              <w:rPr>
                <w:rFonts w:hint="eastAsia"/>
                <w:lang w:val="en-US" w:eastAsia="zh-CN"/>
              </w:rPr>
              <w:t>栽植乔木</w:t>
            </w:r>
          </w:p>
        </w:tc>
        <w:tc>
          <w:tcPr>
            <w:tcW w:w="979" w:type="dxa"/>
            <w:tcBorders>
              <w:top w:val="single" w:color="000000" w:sz="4" w:space="0"/>
              <w:left w:val="single" w:color="000000" w:sz="4" w:space="0"/>
              <w:bottom w:val="single" w:color="000000" w:sz="4" w:space="0"/>
              <w:right w:val="single" w:color="000000" w:sz="4" w:space="0"/>
            </w:tcBorders>
            <w:vAlign w:val="center"/>
          </w:tcPr>
          <w:p w14:paraId="50C1536A">
            <w:pPr>
              <w:pStyle w:val="72"/>
              <w:rPr>
                <w:rFonts w:hint="default" w:ascii="Times New Roman" w:hAnsi="Times New Roman" w:cs="Times New Roman"/>
              </w:rPr>
            </w:pPr>
            <w:r>
              <w:rPr>
                <w:rFonts w:hint="default" w:ascii="Times New Roman" w:hAnsi="Times New Roman" w:cs="Times New Roman"/>
              </w:rPr>
              <w:t>株</w:t>
            </w:r>
          </w:p>
        </w:tc>
        <w:tc>
          <w:tcPr>
            <w:tcW w:w="1458" w:type="dxa"/>
            <w:tcBorders>
              <w:top w:val="single" w:color="000000" w:sz="4" w:space="0"/>
              <w:left w:val="single" w:color="000000" w:sz="4" w:space="0"/>
              <w:bottom w:val="single" w:color="000000" w:sz="4" w:space="0"/>
              <w:right w:val="single" w:color="000000" w:sz="4" w:space="0"/>
            </w:tcBorders>
            <w:noWrap/>
            <w:vAlign w:val="center"/>
          </w:tcPr>
          <w:p w14:paraId="23A9E2C0">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4205</w:t>
            </w:r>
          </w:p>
        </w:tc>
        <w:tc>
          <w:tcPr>
            <w:tcW w:w="1619" w:type="dxa"/>
            <w:tcBorders>
              <w:top w:val="single" w:color="000000" w:sz="4" w:space="0"/>
              <w:left w:val="single" w:color="000000" w:sz="4" w:space="0"/>
              <w:bottom w:val="single" w:color="000000" w:sz="4" w:space="0"/>
              <w:right w:val="single" w:color="000000" w:sz="4" w:space="0"/>
            </w:tcBorders>
            <w:noWrap/>
            <w:vAlign w:val="center"/>
          </w:tcPr>
          <w:p w14:paraId="476CA00A">
            <w:pPr>
              <w:pStyle w:val="72"/>
              <w:rPr>
                <w:rFonts w:hint="default" w:ascii="Times New Roman" w:hAnsi="Times New Roman" w:cs="Times New Roman"/>
              </w:rPr>
            </w:pPr>
          </w:p>
        </w:tc>
      </w:tr>
      <w:tr w14:paraId="41BFB47B">
        <w:tblPrEx>
          <w:tblCellMar>
            <w:top w:w="0" w:type="dxa"/>
            <w:left w:w="108" w:type="dxa"/>
            <w:bottom w:w="0" w:type="dxa"/>
            <w:right w:w="108" w:type="dxa"/>
          </w:tblCellMar>
        </w:tblPrEx>
        <w:trPr>
          <w:jc w:val="center"/>
        </w:trPr>
        <w:tc>
          <w:tcPr>
            <w:tcW w:w="978" w:type="dxa"/>
            <w:tcBorders>
              <w:top w:val="single" w:color="000000" w:sz="4" w:space="0"/>
              <w:left w:val="single" w:color="000000" w:sz="4" w:space="0"/>
              <w:bottom w:val="single" w:color="000000" w:sz="4" w:space="0"/>
              <w:right w:val="single" w:color="000000" w:sz="4" w:space="0"/>
            </w:tcBorders>
            <w:noWrap/>
            <w:vAlign w:val="center"/>
          </w:tcPr>
          <w:p w14:paraId="3614B2B8">
            <w:pPr>
              <w:pStyle w:val="72"/>
              <w:rPr>
                <w:rFonts w:hint="default" w:ascii="Times New Roman" w:hAnsi="Times New Roman" w:cs="Times New Roman"/>
                <w:lang w:val="en-US" w:eastAsia="zh-CN"/>
              </w:rPr>
            </w:pPr>
            <w:r>
              <w:rPr>
                <w:rFonts w:hint="eastAsia" w:ascii="Times New Roman" w:hAnsi="Times New Roman" w:cs="Times New Roman"/>
                <w:lang w:val="en-US" w:eastAsia="zh-CN"/>
              </w:rPr>
              <w:t>10</w:t>
            </w:r>
          </w:p>
        </w:tc>
        <w:tc>
          <w:tcPr>
            <w:tcW w:w="4518" w:type="dxa"/>
            <w:tcBorders>
              <w:top w:val="single" w:color="000000" w:sz="4" w:space="0"/>
              <w:left w:val="single" w:color="000000" w:sz="4" w:space="0"/>
              <w:bottom w:val="single" w:color="000000" w:sz="4" w:space="0"/>
              <w:right w:val="single" w:color="000000" w:sz="4" w:space="0"/>
            </w:tcBorders>
            <w:noWrap/>
            <w:vAlign w:val="center"/>
          </w:tcPr>
          <w:p w14:paraId="5318FE68">
            <w:pPr>
              <w:pStyle w:val="72"/>
              <w:rPr>
                <w:rFonts w:hint="default" w:eastAsia="仿宋"/>
                <w:lang w:val="en-US" w:eastAsia="zh-CN"/>
              </w:rPr>
            </w:pPr>
            <w:r>
              <w:rPr>
                <w:rFonts w:hint="eastAsia"/>
                <w:lang w:val="en-US" w:eastAsia="zh-CN"/>
              </w:rPr>
              <w:t>表土养护紫花苜蓿</w:t>
            </w:r>
          </w:p>
        </w:tc>
        <w:tc>
          <w:tcPr>
            <w:tcW w:w="979" w:type="dxa"/>
            <w:tcBorders>
              <w:top w:val="single" w:color="000000" w:sz="4" w:space="0"/>
              <w:left w:val="single" w:color="000000" w:sz="4" w:space="0"/>
              <w:bottom w:val="single" w:color="000000" w:sz="4" w:space="0"/>
              <w:right w:val="single" w:color="000000" w:sz="4" w:space="0"/>
            </w:tcBorders>
            <w:vAlign w:val="center"/>
          </w:tcPr>
          <w:p w14:paraId="00E4B327">
            <w:pPr>
              <w:pStyle w:val="72"/>
              <w:rPr>
                <w:rFonts w:hint="default" w:ascii="Times New Roman" w:hAnsi="Times New Roman" w:cs="Times New Roman"/>
              </w:rPr>
            </w:pPr>
            <w:r>
              <w:rPr>
                <w:rFonts w:hint="default" w:ascii="Times New Roman" w:hAnsi="Times New Roman" w:cs="Times New Roman"/>
                <w:lang w:bidi="ar"/>
              </w:rPr>
              <w:t>hm</w:t>
            </w:r>
            <w:r>
              <w:rPr>
                <w:rFonts w:hint="default" w:ascii="Times New Roman" w:hAnsi="Times New Roman" w:cs="Times New Roman"/>
                <w:vertAlign w:val="superscript"/>
                <w:lang w:bidi="ar"/>
              </w:rPr>
              <w:t>2</w:t>
            </w:r>
          </w:p>
        </w:tc>
        <w:tc>
          <w:tcPr>
            <w:tcW w:w="1458" w:type="dxa"/>
            <w:tcBorders>
              <w:top w:val="single" w:color="000000" w:sz="4" w:space="0"/>
              <w:left w:val="single" w:color="000000" w:sz="4" w:space="0"/>
              <w:bottom w:val="single" w:color="000000" w:sz="4" w:space="0"/>
              <w:right w:val="single" w:color="000000" w:sz="4" w:space="0"/>
            </w:tcBorders>
            <w:noWrap/>
            <w:vAlign w:val="center"/>
          </w:tcPr>
          <w:p w14:paraId="60B98AB3">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2.4</w:t>
            </w:r>
          </w:p>
        </w:tc>
        <w:tc>
          <w:tcPr>
            <w:tcW w:w="1619" w:type="dxa"/>
            <w:tcBorders>
              <w:top w:val="single" w:color="000000" w:sz="4" w:space="0"/>
              <w:left w:val="single" w:color="000000" w:sz="4" w:space="0"/>
              <w:bottom w:val="single" w:color="000000" w:sz="4" w:space="0"/>
              <w:right w:val="single" w:color="000000" w:sz="4" w:space="0"/>
            </w:tcBorders>
            <w:noWrap/>
            <w:vAlign w:val="center"/>
          </w:tcPr>
          <w:p w14:paraId="490AE353">
            <w:pPr>
              <w:pStyle w:val="72"/>
              <w:rPr>
                <w:rFonts w:hint="default" w:ascii="Times New Roman" w:hAnsi="Times New Roman" w:cs="Times New Roman"/>
              </w:rPr>
            </w:pPr>
          </w:p>
        </w:tc>
      </w:tr>
      <w:tr w14:paraId="0CECFCD6">
        <w:tblPrEx>
          <w:tblCellMar>
            <w:top w:w="0" w:type="dxa"/>
            <w:left w:w="108" w:type="dxa"/>
            <w:bottom w:w="0" w:type="dxa"/>
            <w:right w:w="108" w:type="dxa"/>
          </w:tblCellMar>
        </w:tblPrEx>
        <w:trPr>
          <w:jc w:val="center"/>
        </w:trPr>
        <w:tc>
          <w:tcPr>
            <w:tcW w:w="978" w:type="dxa"/>
            <w:tcBorders>
              <w:top w:val="single" w:color="000000" w:sz="4" w:space="0"/>
              <w:left w:val="single" w:color="000000" w:sz="4" w:space="0"/>
              <w:bottom w:val="single" w:color="000000" w:sz="4" w:space="0"/>
              <w:right w:val="single" w:color="000000" w:sz="4" w:space="0"/>
            </w:tcBorders>
            <w:noWrap/>
            <w:vAlign w:val="center"/>
          </w:tcPr>
          <w:p w14:paraId="2E4144D3">
            <w:pPr>
              <w:pStyle w:val="72"/>
              <w:rPr>
                <w:rFonts w:hint="eastAsia" w:ascii="Times New Roman" w:hAnsi="Times New Roman" w:cs="Times New Roman"/>
                <w:lang w:val="en-US" w:eastAsia="zh-CN"/>
              </w:rPr>
            </w:pPr>
            <w:r>
              <w:rPr>
                <w:rFonts w:hint="eastAsia" w:ascii="Times New Roman" w:hAnsi="Times New Roman" w:cs="Times New Roman"/>
                <w:lang w:val="en-US" w:eastAsia="zh-CN"/>
              </w:rPr>
              <w:t>二</w:t>
            </w:r>
          </w:p>
        </w:tc>
        <w:tc>
          <w:tcPr>
            <w:tcW w:w="4518" w:type="dxa"/>
            <w:tcBorders>
              <w:top w:val="single" w:color="000000" w:sz="4" w:space="0"/>
              <w:left w:val="single" w:color="000000" w:sz="4" w:space="0"/>
              <w:bottom w:val="single" w:color="000000" w:sz="4" w:space="0"/>
              <w:right w:val="single" w:color="000000" w:sz="4" w:space="0"/>
            </w:tcBorders>
            <w:noWrap/>
            <w:vAlign w:val="center"/>
          </w:tcPr>
          <w:p w14:paraId="18FA11BF">
            <w:pPr>
              <w:pStyle w:val="72"/>
              <w:rPr>
                <w:rFonts w:hint="eastAsia"/>
              </w:rPr>
            </w:pPr>
            <w:r>
              <w:rPr>
                <w:rFonts w:hint="eastAsia"/>
                <w:lang w:bidi="ar"/>
              </w:rPr>
              <w:t>地貌重塑</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4C877D9D">
            <w:pPr>
              <w:pStyle w:val="72"/>
              <w:rPr>
                <w:rFonts w:hint="default" w:ascii="Times New Roman" w:hAnsi="Times New Roman" w:cs="Times New Roman"/>
              </w:rPr>
            </w:pPr>
          </w:p>
        </w:tc>
        <w:tc>
          <w:tcPr>
            <w:tcW w:w="1458" w:type="dxa"/>
            <w:tcBorders>
              <w:top w:val="single" w:color="000000" w:sz="4" w:space="0"/>
              <w:left w:val="single" w:color="000000" w:sz="4" w:space="0"/>
              <w:bottom w:val="single" w:color="000000" w:sz="4" w:space="0"/>
              <w:right w:val="single" w:color="000000" w:sz="4" w:space="0"/>
            </w:tcBorders>
            <w:noWrap/>
            <w:vAlign w:val="center"/>
          </w:tcPr>
          <w:p w14:paraId="04EAD6D7">
            <w:pPr>
              <w:pStyle w:val="72"/>
              <w:rPr>
                <w:rFonts w:hint="default" w:ascii="Times New Roman" w:hAnsi="Times New Roman" w:cs="Times New Roman"/>
              </w:rPr>
            </w:pPr>
          </w:p>
        </w:tc>
        <w:tc>
          <w:tcPr>
            <w:tcW w:w="1619" w:type="dxa"/>
            <w:tcBorders>
              <w:top w:val="single" w:color="000000" w:sz="4" w:space="0"/>
              <w:left w:val="single" w:color="000000" w:sz="4" w:space="0"/>
              <w:bottom w:val="single" w:color="000000" w:sz="4" w:space="0"/>
              <w:right w:val="single" w:color="000000" w:sz="4" w:space="0"/>
            </w:tcBorders>
            <w:noWrap/>
            <w:vAlign w:val="center"/>
          </w:tcPr>
          <w:p w14:paraId="4040B1AC">
            <w:pPr>
              <w:pStyle w:val="72"/>
              <w:rPr>
                <w:rFonts w:hint="default" w:ascii="Times New Roman" w:hAnsi="Times New Roman" w:cs="Times New Roman"/>
              </w:rPr>
            </w:pPr>
          </w:p>
        </w:tc>
      </w:tr>
      <w:tr w14:paraId="65B00566">
        <w:tblPrEx>
          <w:tblCellMar>
            <w:top w:w="0" w:type="dxa"/>
            <w:left w:w="108" w:type="dxa"/>
            <w:bottom w:w="0" w:type="dxa"/>
            <w:right w:w="108" w:type="dxa"/>
          </w:tblCellMar>
        </w:tblPrEx>
        <w:trPr>
          <w:jc w:val="center"/>
        </w:trPr>
        <w:tc>
          <w:tcPr>
            <w:tcW w:w="978" w:type="dxa"/>
            <w:tcBorders>
              <w:top w:val="single" w:color="000000" w:sz="4" w:space="0"/>
              <w:left w:val="single" w:color="000000" w:sz="4" w:space="0"/>
              <w:bottom w:val="single" w:color="000000" w:sz="4" w:space="0"/>
              <w:right w:val="single" w:color="000000" w:sz="4" w:space="0"/>
            </w:tcBorders>
            <w:vAlign w:val="center"/>
          </w:tcPr>
          <w:p w14:paraId="7AAC600D">
            <w:pPr>
              <w:pStyle w:val="72"/>
              <w:rPr>
                <w:rFonts w:hint="eastAsia" w:ascii="Times New Roman" w:hAnsi="Times New Roman" w:cs="Times New Roman"/>
                <w:lang w:val="en-US" w:eastAsia="zh-CN"/>
              </w:rPr>
            </w:pPr>
            <w:r>
              <w:rPr>
                <w:rFonts w:hint="eastAsia" w:ascii="Times New Roman" w:hAnsi="Times New Roman" w:cs="Times New Roman"/>
                <w:lang w:val="en-US" w:eastAsia="zh-CN"/>
              </w:rPr>
              <w:t>11</w:t>
            </w:r>
          </w:p>
        </w:tc>
        <w:tc>
          <w:tcPr>
            <w:tcW w:w="4518" w:type="dxa"/>
            <w:tcBorders>
              <w:top w:val="single" w:color="000000" w:sz="4" w:space="0"/>
              <w:left w:val="single" w:color="000000" w:sz="4" w:space="0"/>
              <w:bottom w:val="single" w:color="000000" w:sz="4" w:space="0"/>
              <w:right w:val="single" w:color="000000" w:sz="4" w:space="0"/>
            </w:tcBorders>
            <w:vAlign w:val="center"/>
          </w:tcPr>
          <w:p w14:paraId="41EDC969">
            <w:pPr>
              <w:pStyle w:val="72"/>
              <w:rPr>
                <w:rFonts w:hint="eastAsia"/>
              </w:rPr>
            </w:pPr>
            <w:r>
              <w:rPr>
                <w:rFonts w:hint="eastAsia"/>
              </w:rPr>
              <w:t>水泥浆砌砖建筑拆除</w:t>
            </w:r>
          </w:p>
        </w:tc>
        <w:tc>
          <w:tcPr>
            <w:tcW w:w="979" w:type="dxa"/>
            <w:tcBorders>
              <w:top w:val="single" w:color="000000" w:sz="4" w:space="0"/>
              <w:left w:val="single" w:color="000000" w:sz="4" w:space="0"/>
              <w:bottom w:val="single" w:color="000000" w:sz="4" w:space="0"/>
              <w:right w:val="single" w:color="000000" w:sz="4" w:space="0"/>
            </w:tcBorders>
            <w:vAlign w:val="center"/>
          </w:tcPr>
          <w:p w14:paraId="5A549031">
            <w:pPr>
              <w:pStyle w:val="72"/>
              <w:rPr>
                <w:rFonts w:hint="default" w:ascii="Times New Roman" w:hAnsi="Times New Roman" w:cs="Times New Roman"/>
              </w:rPr>
            </w:pPr>
            <w:r>
              <w:rPr>
                <w:rFonts w:hint="default" w:ascii="Times New Roman" w:hAnsi="Times New Roman" w:cs="Times New Roman"/>
                <w:lang w:bidi="ar"/>
              </w:rPr>
              <w:t>m³</w:t>
            </w:r>
          </w:p>
        </w:tc>
        <w:tc>
          <w:tcPr>
            <w:tcW w:w="1458" w:type="dxa"/>
            <w:tcBorders>
              <w:top w:val="single" w:color="000000" w:sz="4" w:space="0"/>
              <w:left w:val="single" w:color="000000" w:sz="4" w:space="0"/>
              <w:bottom w:val="single" w:color="000000" w:sz="4" w:space="0"/>
              <w:right w:val="single" w:color="000000" w:sz="4" w:space="0"/>
            </w:tcBorders>
            <w:noWrap/>
          </w:tcPr>
          <w:p w14:paraId="792C99D7">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1693</w:t>
            </w:r>
          </w:p>
        </w:tc>
        <w:tc>
          <w:tcPr>
            <w:tcW w:w="1619" w:type="dxa"/>
            <w:tcBorders>
              <w:top w:val="single" w:color="000000" w:sz="4" w:space="0"/>
              <w:left w:val="single" w:color="000000" w:sz="4" w:space="0"/>
              <w:bottom w:val="single" w:color="000000" w:sz="4" w:space="0"/>
              <w:right w:val="single" w:color="000000" w:sz="4" w:space="0"/>
            </w:tcBorders>
            <w:noWrap/>
            <w:vAlign w:val="center"/>
          </w:tcPr>
          <w:p w14:paraId="3F16B87A">
            <w:pPr>
              <w:pStyle w:val="72"/>
              <w:rPr>
                <w:rFonts w:hint="default" w:ascii="Times New Roman" w:hAnsi="Times New Roman" w:cs="Times New Roman"/>
              </w:rPr>
            </w:pPr>
          </w:p>
        </w:tc>
      </w:tr>
      <w:tr w14:paraId="56B95D6B">
        <w:tblPrEx>
          <w:tblCellMar>
            <w:top w:w="0" w:type="dxa"/>
            <w:left w:w="108" w:type="dxa"/>
            <w:bottom w:w="0" w:type="dxa"/>
            <w:right w:w="108" w:type="dxa"/>
          </w:tblCellMar>
        </w:tblPrEx>
        <w:trPr>
          <w:jc w:val="center"/>
        </w:trPr>
        <w:tc>
          <w:tcPr>
            <w:tcW w:w="978" w:type="dxa"/>
            <w:tcBorders>
              <w:top w:val="single" w:color="000000" w:sz="4" w:space="0"/>
              <w:left w:val="single" w:color="000000" w:sz="4" w:space="0"/>
              <w:bottom w:val="single" w:color="000000" w:sz="4" w:space="0"/>
              <w:right w:val="single" w:color="000000" w:sz="4" w:space="0"/>
            </w:tcBorders>
            <w:vAlign w:val="center"/>
          </w:tcPr>
          <w:p w14:paraId="2CCBF52B">
            <w:pPr>
              <w:pStyle w:val="72"/>
              <w:rPr>
                <w:rFonts w:hint="eastAsia" w:ascii="Times New Roman" w:hAnsi="Times New Roman" w:cs="Times New Roman"/>
                <w:lang w:val="en-US" w:eastAsia="zh-CN"/>
              </w:rPr>
            </w:pPr>
            <w:r>
              <w:rPr>
                <w:rFonts w:hint="eastAsia" w:ascii="Times New Roman" w:hAnsi="Times New Roman" w:cs="Times New Roman"/>
                <w:lang w:val="en-US" w:eastAsia="zh-CN"/>
              </w:rPr>
              <w:t>12</w:t>
            </w:r>
          </w:p>
        </w:tc>
        <w:tc>
          <w:tcPr>
            <w:tcW w:w="4518" w:type="dxa"/>
            <w:tcBorders>
              <w:top w:val="single" w:color="000000" w:sz="4" w:space="0"/>
              <w:left w:val="single" w:color="000000" w:sz="4" w:space="0"/>
              <w:bottom w:val="single" w:color="000000" w:sz="4" w:space="0"/>
              <w:right w:val="single" w:color="000000" w:sz="4" w:space="0"/>
            </w:tcBorders>
            <w:vAlign w:val="center"/>
          </w:tcPr>
          <w:p w14:paraId="278947AB">
            <w:pPr>
              <w:pStyle w:val="72"/>
              <w:rPr>
                <w:rFonts w:hint="default" w:eastAsia="仿宋"/>
                <w:lang w:val="en-US" w:eastAsia="zh-CN"/>
              </w:rPr>
            </w:pPr>
            <w:r>
              <w:rPr>
                <w:rFonts w:hint="eastAsia"/>
                <w:lang w:val="en-US" w:eastAsia="zh-CN"/>
              </w:rPr>
              <w:t>清理硬盖层</w:t>
            </w:r>
          </w:p>
        </w:tc>
        <w:tc>
          <w:tcPr>
            <w:tcW w:w="979" w:type="dxa"/>
            <w:tcBorders>
              <w:top w:val="single" w:color="000000" w:sz="4" w:space="0"/>
              <w:left w:val="single" w:color="000000" w:sz="4" w:space="0"/>
              <w:bottom w:val="single" w:color="000000" w:sz="4" w:space="0"/>
              <w:right w:val="single" w:color="000000" w:sz="4" w:space="0"/>
            </w:tcBorders>
            <w:vAlign w:val="center"/>
          </w:tcPr>
          <w:p w14:paraId="588F24D1">
            <w:pPr>
              <w:pStyle w:val="72"/>
              <w:rPr>
                <w:rFonts w:hint="default" w:ascii="Times New Roman" w:hAnsi="Times New Roman" w:cs="Times New Roman"/>
              </w:rPr>
            </w:pPr>
            <w:r>
              <w:rPr>
                <w:rFonts w:hint="default" w:ascii="Times New Roman" w:hAnsi="Times New Roman" w:cs="Times New Roman"/>
                <w:lang w:bidi="ar"/>
              </w:rPr>
              <w:t>m³</w:t>
            </w:r>
          </w:p>
        </w:tc>
        <w:tc>
          <w:tcPr>
            <w:tcW w:w="1458" w:type="dxa"/>
            <w:tcBorders>
              <w:top w:val="single" w:color="000000" w:sz="4" w:space="0"/>
              <w:left w:val="single" w:color="000000" w:sz="4" w:space="0"/>
              <w:bottom w:val="single" w:color="000000" w:sz="4" w:space="0"/>
              <w:right w:val="single" w:color="000000" w:sz="4" w:space="0"/>
            </w:tcBorders>
            <w:noWrap/>
          </w:tcPr>
          <w:p w14:paraId="06843A86">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3057.6</w:t>
            </w:r>
          </w:p>
        </w:tc>
        <w:tc>
          <w:tcPr>
            <w:tcW w:w="1619" w:type="dxa"/>
            <w:tcBorders>
              <w:top w:val="single" w:color="000000" w:sz="4" w:space="0"/>
              <w:left w:val="single" w:color="000000" w:sz="4" w:space="0"/>
              <w:bottom w:val="single" w:color="000000" w:sz="4" w:space="0"/>
              <w:right w:val="single" w:color="000000" w:sz="4" w:space="0"/>
            </w:tcBorders>
            <w:noWrap/>
            <w:vAlign w:val="center"/>
          </w:tcPr>
          <w:p w14:paraId="19C5DCEE">
            <w:pPr>
              <w:pStyle w:val="72"/>
              <w:rPr>
                <w:rFonts w:hint="default" w:ascii="Times New Roman" w:hAnsi="Times New Roman" w:cs="Times New Roman"/>
              </w:rPr>
            </w:pPr>
          </w:p>
        </w:tc>
      </w:tr>
      <w:tr w14:paraId="5AC168FE">
        <w:tblPrEx>
          <w:tblCellMar>
            <w:top w:w="0" w:type="dxa"/>
            <w:left w:w="108" w:type="dxa"/>
            <w:bottom w:w="0" w:type="dxa"/>
            <w:right w:w="108" w:type="dxa"/>
          </w:tblCellMar>
        </w:tblPrEx>
        <w:trPr>
          <w:jc w:val="center"/>
        </w:trPr>
        <w:tc>
          <w:tcPr>
            <w:tcW w:w="978" w:type="dxa"/>
            <w:tcBorders>
              <w:top w:val="single" w:color="000000" w:sz="4" w:space="0"/>
              <w:left w:val="single" w:color="000000" w:sz="4" w:space="0"/>
              <w:bottom w:val="single" w:color="000000" w:sz="4" w:space="0"/>
              <w:right w:val="single" w:color="000000" w:sz="4" w:space="0"/>
            </w:tcBorders>
            <w:vAlign w:val="center"/>
          </w:tcPr>
          <w:p w14:paraId="2041AC3D">
            <w:pPr>
              <w:pStyle w:val="72"/>
              <w:rPr>
                <w:rFonts w:hint="eastAsia" w:ascii="Times New Roman" w:hAnsi="Times New Roman" w:cs="Times New Roman"/>
                <w:lang w:val="en-US" w:eastAsia="zh-CN"/>
              </w:rPr>
            </w:pPr>
            <w:r>
              <w:rPr>
                <w:rFonts w:hint="eastAsia" w:ascii="Times New Roman" w:hAnsi="Times New Roman" w:cs="Times New Roman"/>
                <w:lang w:val="en-US" w:eastAsia="zh-CN"/>
              </w:rPr>
              <w:t>13</w:t>
            </w:r>
          </w:p>
        </w:tc>
        <w:tc>
          <w:tcPr>
            <w:tcW w:w="4518" w:type="dxa"/>
            <w:tcBorders>
              <w:top w:val="single" w:color="000000" w:sz="4" w:space="0"/>
              <w:left w:val="single" w:color="000000" w:sz="4" w:space="0"/>
              <w:bottom w:val="single" w:color="000000" w:sz="4" w:space="0"/>
              <w:right w:val="single" w:color="000000" w:sz="4" w:space="0"/>
            </w:tcBorders>
            <w:vAlign w:val="center"/>
          </w:tcPr>
          <w:p w14:paraId="127955E3">
            <w:pPr>
              <w:pStyle w:val="72"/>
              <w:rPr>
                <w:rFonts w:hint="default" w:eastAsia="仿宋"/>
                <w:lang w:val="en-US" w:eastAsia="zh-CN"/>
              </w:rPr>
            </w:pPr>
            <w:r>
              <w:rPr>
                <w:rFonts w:hint="eastAsia"/>
                <w:lang w:val="en-US" w:eastAsia="zh-CN"/>
              </w:rPr>
              <w:t>运输拆除建筑物及硬盖层回填井下</w:t>
            </w:r>
          </w:p>
        </w:tc>
        <w:tc>
          <w:tcPr>
            <w:tcW w:w="979" w:type="dxa"/>
            <w:tcBorders>
              <w:top w:val="single" w:color="000000" w:sz="4" w:space="0"/>
              <w:left w:val="single" w:color="000000" w:sz="4" w:space="0"/>
              <w:bottom w:val="single" w:color="000000" w:sz="4" w:space="0"/>
              <w:right w:val="single" w:color="000000" w:sz="4" w:space="0"/>
            </w:tcBorders>
            <w:vAlign w:val="center"/>
          </w:tcPr>
          <w:p w14:paraId="53E0A202">
            <w:pPr>
              <w:pStyle w:val="72"/>
              <w:rPr>
                <w:rFonts w:hint="default" w:ascii="Times New Roman" w:hAnsi="Times New Roman" w:cs="Times New Roman"/>
              </w:rPr>
            </w:pPr>
            <w:r>
              <w:rPr>
                <w:rFonts w:hint="default" w:ascii="Times New Roman" w:hAnsi="Times New Roman" w:cs="Times New Roman"/>
                <w:lang w:bidi="ar"/>
              </w:rPr>
              <w:t>m³</w:t>
            </w:r>
          </w:p>
        </w:tc>
        <w:tc>
          <w:tcPr>
            <w:tcW w:w="1458" w:type="dxa"/>
            <w:tcBorders>
              <w:top w:val="single" w:color="000000" w:sz="4" w:space="0"/>
              <w:left w:val="single" w:color="000000" w:sz="4" w:space="0"/>
              <w:bottom w:val="single" w:color="000000" w:sz="4" w:space="0"/>
              <w:right w:val="single" w:color="000000" w:sz="4" w:space="0"/>
            </w:tcBorders>
            <w:noWrap/>
          </w:tcPr>
          <w:p w14:paraId="6BB3F792">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4749.6</w:t>
            </w:r>
          </w:p>
        </w:tc>
        <w:tc>
          <w:tcPr>
            <w:tcW w:w="1619" w:type="dxa"/>
            <w:tcBorders>
              <w:top w:val="single" w:color="000000" w:sz="4" w:space="0"/>
              <w:left w:val="single" w:color="000000" w:sz="4" w:space="0"/>
              <w:bottom w:val="single" w:color="000000" w:sz="4" w:space="0"/>
              <w:right w:val="single" w:color="000000" w:sz="4" w:space="0"/>
            </w:tcBorders>
            <w:noWrap/>
            <w:vAlign w:val="center"/>
          </w:tcPr>
          <w:p w14:paraId="722D9BDD">
            <w:pPr>
              <w:pStyle w:val="72"/>
              <w:rPr>
                <w:rFonts w:hint="default" w:ascii="Times New Roman" w:hAnsi="Times New Roman" w:cs="Times New Roman"/>
              </w:rPr>
            </w:pPr>
          </w:p>
        </w:tc>
      </w:tr>
      <w:tr w14:paraId="1646ECE5">
        <w:tblPrEx>
          <w:tblCellMar>
            <w:top w:w="0" w:type="dxa"/>
            <w:left w:w="108" w:type="dxa"/>
            <w:bottom w:w="0" w:type="dxa"/>
            <w:right w:w="108" w:type="dxa"/>
          </w:tblCellMar>
        </w:tblPrEx>
        <w:trPr>
          <w:jc w:val="center"/>
        </w:trPr>
        <w:tc>
          <w:tcPr>
            <w:tcW w:w="978" w:type="dxa"/>
            <w:tcBorders>
              <w:top w:val="single" w:color="000000" w:sz="4" w:space="0"/>
              <w:left w:val="single" w:color="000000" w:sz="4" w:space="0"/>
              <w:bottom w:val="single" w:color="000000" w:sz="4" w:space="0"/>
              <w:right w:val="single" w:color="000000" w:sz="4" w:space="0"/>
            </w:tcBorders>
            <w:vAlign w:val="center"/>
          </w:tcPr>
          <w:p w14:paraId="00DE3758">
            <w:pPr>
              <w:pStyle w:val="72"/>
              <w:rPr>
                <w:rFonts w:hint="eastAsia" w:ascii="Times New Roman" w:hAnsi="Times New Roman" w:cs="Times New Roman"/>
                <w:lang w:val="en-US" w:eastAsia="zh-CN"/>
              </w:rPr>
            </w:pPr>
            <w:r>
              <w:rPr>
                <w:rFonts w:hint="eastAsia" w:ascii="Times New Roman" w:hAnsi="Times New Roman" w:cs="Times New Roman"/>
                <w:lang w:val="en-US" w:eastAsia="zh-CN"/>
              </w:rPr>
              <w:t>14</w:t>
            </w:r>
          </w:p>
        </w:tc>
        <w:tc>
          <w:tcPr>
            <w:tcW w:w="4518" w:type="dxa"/>
            <w:tcBorders>
              <w:top w:val="single" w:color="000000" w:sz="4" w:space="0"/>
              <w:left w:val="single" w:color="000000" w:sz="4" w:space="0"/>
              <w:bottom w:val="single" w:color="000000" w:sz="4" w:space="0"/>
              <w:right w:val="single" w:color="000000" w:sz="4" w:space="0"/>
            </w:tcBorders>
            <w:vAlign w:val="center"/>
          </w:tcPr>
          <w:p w14:paraId="67FDE689">
            <w:pPr>
              <w:pStyle w:val="72"/>
              <w:rPr>
                <w:rFonts w:hint="default" w:eastAsia="仿宋"/>
                <w:lang w:val="en-US" w:eastAsia="zh-CN"/>
              </w:rPr>
            </w:pPr>
            <w:r>
              <w:rPr>
                <w:rFonts w:hint="eastAsia"/>
                <w:lang w:val="en-US" w:eastAsia="zh-CN"/>
              </w:rPr>
              <w:t>土地平整</w:t>
            </w:r>
          </w:p>
        </w:tc>
        <w:tc>
          <w:tcPr>
            <w:tcW w:w="979" w:type="dxa"/>
            <w:tcBorders>
              <w:top w:val="single" w:color="000000" w:sz="4" w:space="0"/>
              <w:left w:val="single" w:color="000000" w:sz="4" w:space="0"/>
              <w:bottom w:val="single" w:color="000000" w:sz="4" w:space="0"/>
              <w:right w:val="single" w:color="000000" w:sz="4" w:space="0"/>
            </w:tcBorders>
          </w:tcPr>
          <w:p w14:paraId="1281FF1F">
            <w:pPr>
              <w:pStyle w:val="72"/>
              <w:rPr>
                <w:rFonts w:hint="default" w:ascii="Times New Roman" w:hAnsi="Times New Roman" w:cs="Times New Roman"/>
                <w:lang w:bidi="ar"/>
              </w:rPr>
            </w:pPr>
            <w:r>
              <w:rPr>
                <w:rFonts w:hint="default" w:ascii="Times New Roman" w:hAnsi="Times New Roman" w:cs="Times New Roman"/>
                <w:lang w:bidi="ar"/>
              </w:rPr>
              <w:t>m³</w:t>
            </w:r>
          </w:p>
        </w:tc>
        <w:tc>
          <w:tcPr>
            <w:tcW w:w="1458" w:type="dxa"/>
            <w:tcBorders>
              <w:top w:val="single" w:color="000000" w:sz="4" w:space="0"/>
              <w:left w:val="single" w:color="000000" w:sz="4" w:space="0"/>
              <w:bottom w:val="single" w:color="000000" w:sz="4" w:space="0"/>
              <w:right w:val="single" w:color="000000" w:sz="4" w:space="0"/>
            </w:tcBorders>
            <w:noWrap/>
            <w:vAlign w:val="center"/>
          </w:tcPr>
          <w:p w14:paraId="2025160A">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3057.6</w:t>
            </w:r>
          </w:p>
        </w:tc>
        <w:tc>
          <w:tcPr>
            <w:tcW w:w="1619" w:type="dxa"/>
            <w:tcBorders>
              <w:top w:val="single" w:color="000000" w:sz="4" w:space="0"/>
              <w:left w:val="single" w:color="000000" w:sz="4" w:space="0"/>
              <w:bottom w:val="single" w:color="000000" w:sz="4" w:space="0"/>
              <w:right w:val="single" w:color="000000" w:sz="4" w:space="0"/>
            </w:tcBorders>
            <w:noWrap/>
            <w:vAlign w:val="center"/>
          </w:tcPr>
          <w:p w14:paraId="49CB45F0">
            <w:pPr>
              <w:pStyle w:val="72"/>
              <w:rPr>
                <w:rFonts w:hint="default" w:ascii="Times New Roman" w:hAnsi="Times New Roman" w:cs="Times New Roman"/>
              </w:rPr>
            </w:pPr>
          </w:p>
        </w:tc>
      </w:tr>
    </w:tbl>
    <w:p w14:paraId="3E7D195C">
      <w:pPr>
        <w:pStyle w:val="15"/>
        <w:ind w:firstLine="0" w:firstLineChars="0"/>
        <w:sectPr>
          <w:pgSz w:w="11906" w:h="16838"/>
          <w:pgMar w:top="1134" w:right="1134" w:bottom="1134" w:left="1418" w:header="851" w:footer="567" w:gutter="0"/>
          <w:pgNumType w:fmt="decimal"/>
          <w:cols w:space="720" w:num="1"/>
          <w:docGrid w:type="linesAndChars" w:linePitch="381" w:charSpace="0"/>
        </w:sectPr>
      </w:pPr>
    </w:p>
    <w:p w14:paraId="21D31F14">
      <w:pPr>
        <w:pStyle w:val="3"/>
      </w:pPr>
      <w:bookmarkStart w:id="182" w:name="_Toc219050292"/>
      <w:bookmarkStart w:id="183" w:name="_Toc215692453"/>
      <w:bookmarkStart w:id="184" w:name="_Toc8981"/>
      <w:r>
        <w:t>第五章</w:t>
      </w:r>
      <w:bookmarkEnd w:id="169"/>
      <w:r>
        <w:t>监测与管护</w:t>
      </w:r>
      <w:bookmarkEnd w:id="182"/>
      <w:bookmarkEnd w:id="183"/>
      <w:bookmarkEnd w:id="184"/>
    </w:p>
    <w:p w14:paraId="3B5C0002">
      <w:pPr>
        <w:pStyle w:val="4"/>
        <w:ind w:firstLine="602"/>
        <w:rPr>
          <w:rFonts w:ascii="Times New Roman" w:hAnsi="Times New Roman"/>
          <w:szCs w:val="30"/>
        </w:rPr>
      </w:pPr>
      <w:bookmarkStart w:id="185" w:name="_Toc31011"/>
      <w:bookmarkStart w:id="186" w:name="_Toc23160"/>
      <w:bookmarkStart w:id="187" w:name="_Toc215692454"/>
      <w:bookmarkStart w:id="188" w:name="_Toc219050293"/>
      <w:r>
        <w:rPr>
          <w:rFonts w:ascii="Times New Roman" w:hAnsi="Times New Roman"/>
          <w:szCs w:val="30"/>
        </w:rPr>
        <w:t>一、</w:t>
      </w:r>
      <w:bookmarkEnd w:id="185"/>
      <w:r>
        <w:rPr>
          <w:rFonts w:ascii="Times New Roman" w:hAnsi="Times New Roman"/>
          <w:szCs w:val="30"/>
        </w:rPr>
        <w:t>监测目标与措施</w:t>
      </w:r>
      <w:bookmarkEnd w:id="186"/>
      <w:bookmarkEnd w:id="187"/>
      <w:bookmarkEnd w:id="188"/>
    </w:p>
    <w:p w14:paraId="189A78A6">
      <w:pPr>
        <w:pStyle w:val="5"/>
        <w:ind w:firstLine="562"/>
      </w:pPr>
      <w:r>
        <w:rPr>
          <w:rFonts w:hint="eastAsia"/>
        </w:rPr>
        <w:t>（一）监测目标</w:t>
      </w:r>
    </w:p>
    <w:p w14:paraId="44AC4021">
      <w:pPr>
        <w:ind w:firstLine="544"/>
        <w:rPr>
          <w:rFonts w:hint="eastAsia" w:ascii="宋体" w:hAnsi="宋体" w:cs="宋体"/>
          <w:spacing w:val="-4"/>
          <w:szCs w:val="28"/>
        </w:rPr>
      </w:pPr>
      <w:r>
        <w:rPr>
          <w:rFonts w:hint="eastAsia" w:ascii="宋体" w:hAnsi="宋体" w:cs="宋体"/>
          <w:spacing w:val="-4"/>
          <w:szCs w:val="28"/>
        </w:rPr>
        <w:t>矿山矿业活动是动态的，矿业活动过程中应对矿山地质环境影响范围适时进行监测，掌握矿山地质环境问题的变化，预测、预防矿山地质环境问题，为决策部门随时提供防治处理的决策依据。</w:t>
      </w:r>
    </w:p>
    <w:p w14:paraId="1F250B88">
      <w:pPr>
        <w:ind w:firstLine="544"/>
        <w:rPr>
          <w:rFonts w:hint="eastAsia" w:ascii="宋体" w:hAnsi="宋体" w:cs="宋体"/>
          <w:spacing w:val="-4"/>
          <w:szCs w:val="28"/>
        </w:rPr>
      </w:pPr>
      <w:r>
        <w:rPr>
          <w:rFonts w:hint="eastAsia" w:ascii="宋体" w:hAnsi="宋体" w:cs="宋体"/>
          <w:spacing w:val="-4"/>
          <w:szCs w:val="28"/>
        </w:rPr>
        <w:t>为了能够及时掌握实际情况，调整并采取及时、有效、正确的复垦措施而设置监测点，用来监测可能</w:t>
      </w:r>
      <w:r>
        <w:rPr>
          <w:rFonts w:hint="eastAsia" w:ascii="宋体" w:hAnsi="宋体" w:cs="宋体"/>
          <w:spacing w:val="-4"/>
          <w:szCs w:val="28"/>
          <w:lang w:val="en-US" w:eastAsia="zh-CN"/>
        </w:rPr>
        <w:t>地裂缝</w:t>
      </w:r>
      <w:r>
        <w:rPr>
          <w:rFonts w:hint="eastAsia" w:ascii="宋体" w:hAnsi="宋体" w:cs="宋体"/>
          <w:spacing w:val="-4"/>
          <w:szCs w:val="28"/>
        </w:rPr>
        <w:t>、沉降等破坏程度，确保复垦工作顺利进行，防止灾害发生。</w:t>
      </w:r>
    </w:p>
    <w:p w14:paraId="6B381634">
      <w:pPr>
        <w:ind w:firstLine="544"/>
        <w:rPr>
          <w:rFonts w:hint="eastAsia" w:ascii="宋体" w:hAnsi="宋体" w:cs="宋体"/>
          <w:spacing w:val="-4"/>
          <w:szCs w:val="28"/>
        </w:rPr>
      </w:pPr>
      <w:r>
        <w:rPr>
          <w:rFonts w:hint="eastAsia" w:ascii="宋体" w:hAnsi="宋体" w:cs="宋体"/>
          <w:spacing w:val="-4"/>
          <w:szCs w:val="28"/>
        </w:rPr>
        <w:t>1.损毁</w:t>
      </w:r>
      <w:r>
        <w:rPr>
          <w:rFonts w:ascii="宋体" w:hAnsi="宋体" w:cs="宋体"/>
          <w:spacing w:val="-4"/>
          <w:szCs w:val="28"/>
        </w:rPr>
        <w:t>现状与</w:t>
      </w:r>
      <w:r>
        <w:rPr>
          <w:rFonts w:hint="eastAsia" w:ascii="宋体" w:hAnsi="宋体" w:cs="宋体"/>
          <w:spacing w:val="-4"/>
          <w:szCs w:val="28"/>
        </w:rPr>
        <w:t>拟损毁监</w:t>
      </w:r>
      <w:r>
        <w:rPr>
          <w:rFonts w:ascii="宋体" w:hAnsi="宋体" w:cs="宋体"/>
          <w:spacing w:val="-4"/>
          <w:szCs w:val="28"/>
        </w:rPr>
        <w:t>测</w:t>
      </w:r>
    </w:p>
    <w:p w14:paraId="61B8B2C3">
      <w:pPr>
        <w:ind w:firstLine="544"/>
        <w:rPr>
          <w:rFonts w:hint="eastAsia" w:ascii="宋体" w:hAnsi="宋体" w:cs="宋体"/>
          <w:spacing w:val="-4"/>
          <w:sz w:val="24"/>
        </w:rPr>
      </w:pPr>
      <w:r>
        <w:rPr>
          <w:rFonts w:hint="eastAsia" w:ascii="宋体" w:hAnsi="宋体" w:cs="宋体"/>
          <w:spacing w:val="-4"/>
          <w:szCs w:val="28"/>
        </w:rPr>
        <w:t>在矿山正常生产期间的</w:t>
      </w:r>
      <w:r>
        <w:rPr>
          <w:rFonts w:hint="eastAsia" w:ascii="宋体" w:hAnsi="宋体" w:cs="宋体"/>
          <w:spacing w:val="-4"/>
          <w:szCs w:val="28"/>
          <w:lang w:eastAsia="zh-CN"/>
        </w:rPr>
        <w:t>地裂缝</w:t>
      </w:r>
      <w:r>
        <w:rPr>
          <w:rFonts w:hint="eastAsia" w:ascii="宋体" w:hAnsi="宋体" w:cs="宋体"/>
          <w:spacing w:val="-4"/>
          <w:szCs w:val="28"/>
        </w:rPr>
        <w:t>监测，同时进行地下水水位、水质、水量动态监测，</w:t>
      </w:r>
      <w:r>
        <w:rPr>
          <w:rFonts w:ascii="宋体" w:hAnsi="宋体" w:cs="宋体"/>
          <w:spacing w:val="-4"/>
          <w:szCs w:val="28"/>
        </w:rPr>
        <w:t>土地资源损毁以及</w:t>
      </w:r>
      <w:r>
        <w:rPr>
          <w:rFonts w:hint="eastAsia" w:ascii="宋体" w:hAnsi="宋体" w:cs="宋体"/>
          <w:spacing w:val="-4"/>
          <w:szCs w:val="28"/>
        </w:rPr>
        <w:t>对</w:t>
      </w:r>
      <w:r>
        <w:rPr>
          <w:rFonts w:ascii="宋体" w:hAnsi="宋体" w:cs="宋体"/>
          <w:spacing w:val="-4"/>
          <w:szCs w:val="28"/>
        </w:rPr>
        <w:t>周边土壤污染物监测</w:t>
      </w:r>
      <w:r>
        <w:rPr>
          <w:rFonts w:hint="eastAsia" w:ascii="宋体" w:hAnsi="宋体" w:cs="宋体"/>
          <w:spacing w:val="-4"/>
          <w:szCs w:val="28"/>
        </w:rPr>
        <w:t>。预防潜在地质灾害的发生、水质水量的变化以及</w:t>
      </w:r>
      <w:r>
        <w:rPr>
          <w:rFonts w:ascii="宋体" w:hAnsi="宋体" w:cs="宋体"/>
          <w:spacing w:val="-4"/>
          <w:szCs w:val="28"/>
        </w:rPr>
        <w:t>土地污染及</w:t>
      </w:r>
      <w:r>
        <w:rPr>
          <w:rFonts w:hint="eastAsia" w:ascii="宋体" w:hAnsi="宋体" w:cs="宋体"/>
          <w:spacing w:val="-4"/>
          <w:szCs w:val="28"/>
        </w:rPr>
        <w:t>超界</w:t>
      </w:r>
      <w:r>
        <w:rPr>
          <w:rFonts w:ascii="宋体" w:hAnsi="宋体" w:cs="宋体"/>
          <w:spacing w:val="-4"/>
          <w:szCs w:val="28"/>
        </w:rPr>
        <w:t>损毁</w:t>
      </w:r>
      <w:r>
        <w:rPr>
          <w:rFonts w:hint="eastAsia" w:ascii="宋体" w:hAnsi="宋体" w:cs="宋体"/>
          <w:spacing w:val="-4"/>
          <w:szCs w:val="28"/>
        </w:rPr>
        <w:t>影响居民的正常生活</w:t>
      </w:r>
      <w:r>
        <w:rPr>
          <w:rFonts w:hint="eastAsia" w:ascii="宋体" w:hAnsi="宋体" w:cs="宋体"/>
          <w:spacing w:val="-4"/>
          <w:sz w:val="24"/>
        </w:rPr>
        <w:t>。</w:t>
      </w:r>
    </w:p>
    <w:p w14:paraId="05AED602">
      <w:pPr>
        <w:ind w:firstLine="544"/>
        <w:rPr>
          <w:rFonts w:hint="eastAsia" w:ascii="宋体" w:hAnsi="宋体" w:cs="宋体"/>
          <w:spacing w:val="-4"/>
          <w:szCs w:val="28"/>
        </w:rPr>
      </w:pPr>
      <w:r>
        <w:rPr>
          <w:rFonts w:ascii="宋体" w:hAnsi="宋体" w:cs="宋体"/>
          <w:spacing w:val="-4"/>
          <w:szCs w:val="28"/>
        </w:rPr>
        <w:t>2.</w:t>
      </w:r>
      <w:r>
        <w:rPr>
          <w:rFonts w:hint="eastAsia" w:ascii="宋体" w:hAnsi="宋体" w:cs="宋体"/>
          <w:spacing w:val="-4"/>
          <w:szCs w:val="28"/>
        </w:rPr>
        <w:t>生态修复效果监测</w:t>
      </w:r>
    </w:p>
    <w:p w14:paraId="1F54C52C">
      <w:pPr>
        <w:ind w:firstLine="544"/>
        <w:rPr>
          <w:rFonts w:hint="eastAsia" w:ascii="宋体" w:hAnsi="宋体" w:cs="宋体"/>
          <w:spacing w:val="-4"/>
          <w:sz w:val="24"/>
        </w:rPr>
      </w:pPr>
      <w:r>
        <w:rPr>
          <w:rFonts w:hint="eastAsia" w:ascii="宋体" w:hAnsi="宋体" w:cs="宋体"/>
          <w:spacing w:val="-4"/>
          <w:szCs w:val="28"/>
        </w:rPr>
        <w:t>在矿山正常闭矿且</w:t>
      </w:r>
      <w:r>
        <w:rPr>
          <w:rFonts w:ascii="宋体" w:hAnsi="宋体" w:cs="宋体"/>
          <w:spacing w:val="-4"/>
          <w:szCs w:val="28"/>
        </w:rPr>
        <w:t>完成生态修复工程后</w:t>
      </w:r>
      <w:r>
        <w:rPr>
          <w:rFonts w:hint="eastAsia" w:ascii="宋体" w:hAnsi="宋体" w:cs="宋体"/>
          <w:spacing w:val="-4"/>
          <w:szCs w:val="28"/>
        </w:rPr>
        <w:t>，对修复</w:t>
      </w:r>
      <w:r>
        <w:rPr>
          <w:rFonts w:ascii="宋体" w:hAnsi="宋体" w:cs="宋体"/>
          <w:spacing w:val="-4"/>
          <w:szCs w:val="28"/>
        </w:rPr>
        <w:t>区内地质环境治理效果以及生态系统恢复</w:t>
      </w:r>
      <w:r>
        <w:rPr>
          <w:rFonts w:hint="eastAsia" w:ascii="宋体" w:hAnsi="宋体" w:cs="宋体"/>
          <w:spacing w:val="-4"/>
          <w:szCs w:val="28"/>
        </w:rPr>
        <w:t>状况</w:t>
      </w:r>
      <w:r>
        <w:rPr>
          <w:rFonts w:ascii="宋体" w:hAnsi="宋体" w:cs="宋体"/>
          <w:spacing w:val="-4"/>
          <w:szCs w:val="28"/>
        </w:rPr>
        <w:t>进行监测</w:t>
      </w:r>
      <w:r>
        <w:rPr>
          <w:rFonts w:hint="eastAsia" w:ascii="宋体" w:hAnsi="宋体" w:cs="宋体"/>
          <w:spacing w:val="-4"/>
          <w:szCs w:val="28"/>
        </w:rPr>
        <w:t>。发现</w:t>
      </w:r>
      <w:r>
        <w:rPr>
          <w:rFonts w:ascii="宋体" w:hAnsi="宋体" w:cs="宋体"/>
          <w:spacing w:val="-4"/>
          <w:szCs w:val="28"/>
        </w:rPr>
        <w:t>问题及时整改，</w:t>
      </w:r>
      <w:r>
        <w:rPr>
          <w:rFonts w:hint="eastAsia" w:ascii="宋体" w:hAnsi="宋体" w:cs="宋体"/>
          <w:spacing w:val="-4"/>
          <w:szCs w:val="28"/>
        </w:rPr>
        <w:t>确保生态</w:t>
      </w:r>
      <w:r>
        <w:rPr>
          <w:rFonts w:ascii="宋体" w:hAnsi="宋体" w:cs="宋体"/>
          <w:spacing w:val="-4"/>
          <w:szCs w:val="28"/>
        </w:rPr>
        <w:t>修复成果长期有效</w:t>
      </w:r>
      <w:r>
        <w:rPr>
          <w:rFonts w:hint="eastAsia" w:ascii="宋体" w:hAnsi="宋体" w:cs="宋体"/>
          <w:spacing w:val="-4"/>
          <w:sz w:val="24"/>
        </w:rPr>
        <w:t>。</w:t>
      </w:r>
    </w:p>
    <w:p w14:paraId="537919FA">
      <w:pPr>
        <w:pStyle w:val="5"/>
        <w:ind w:firstLine="562"/>
      </w:pPr>
      <w:bookmarkStart w:id="189" w:name="_Toc26018"/>
      <w:bookmarkStart w:id="190" w:name="_Toc499708062"/>
      <w:bookmarkStart w:id="191" w:name="_Toc3471"/>
      <w:r>
        <w:t>（</w:t>
      </w:r>
      <w:r>
        <w:rPr>
          <w:rFonts w:hint="eastAsia"/>
        </w:rPr>
        <w:t>二</w:t>
      </w:r>
      <w:r>
        <w:t>）</w:t>
      </w:r>
      <w:r>
        <w:rPr>
          <w:rFonts w:hint="eastAsia"/>
        </w:rPr>
        <w:t>监测措施</w:t>
      </w:r>
    </w:p>
    <w:p w14:paraId="67E67012">
      <w:pPr>
        <w:ind w:firstLine="562"/>
        <w:rPr>
          <w:b/>
          <w:bCs/>
        </w:rPr>
      </w:pPr>
      <w:r>
        <w:rPr>
          <w:rFonts w:hint="eastAsia"/>
          <w:b/>
          <w:bCs/>
        </w:rPr>
        <w:t>1.矿山地质环境监测</w:t>
      </w:r>
    </w:p>
    <w:bookmarkEnd w:id="189"/>
    <w:bookmarkEnd w:id="190"/>
    <w:p w14:paraId="382AC893">
      <w:pPr>
        <w:ind w:firstLine="560"/>
        <w:rPr>
          <w:rFonts w:hint="eastAsia" w:ascii="宋体" w:hAnsi="宋体" w:cs="宋体"/>
        </w:rPr>
      </w:pPr>
      <w:r>
        <w:rPr>
          <w:rFonts w:hint="eastAsia" w:ascii="宋体" w:hAnsi="宋体" w:cs="宋体"/>
        </w:rPr>
        <w:t>为了掌握</w:t>
      </w:r>
      <w:r>
        <w:rPr>
          <w:rFonts w:hint="eastAsia" w:ascii="宋体" w:hAnsi="宋体" w:cs="宋体"/>
          <w:lang w:val="en-US" w:eastAsia="zh-CN"/>
        </w:rPr>
        <w:t>岩石移动</w:t>
      </w:r>
      <w:r>
        <w:rPr>
          <w:rFonts w:hint="eastAsia" w:ascii="宋体" w:hAnsi="宋体" w:cs="宋体"/>
        </w:rPr>
        <w:t>地表的实际情况，设计对</w:t>
      </w:r>
      <w:r>
        <w:rPr>
          <w:rFonts w:hint="eastAsia" w:ascii="宋体" w:hAnsi="宋体" w:cs="宋体"/>
          <w:lang w:eastAsia="zh-CN"/>
        </w:rPr>
        <w:t>地裂缝</w:t>
      </w:r>
      <w:r>
        <w:rPr>
          <w:rFonts w:hint="eastAsia" w:ascii="宋体" w:hAnsi="宋体" w:cs="宋体"/>
        </w:rPr>
        <w:t>进行地表监测。地面变形监测由矿山自行组织技术队伍，定期利用高精度测量仪器对监测点的高程及坐标进行准确测量。</w:t>
      </w:r>
    </w:p>
    <w:p w14:paraId="5C5D84D2">
      <w:pPr>
        <w:ind w:firstLine="560"/>
        <w:rPr>
          <w:rFonts w:hint="eastAsia" w:ascii="宋体" w:hAnsi="宋体" w:cs="宋体"/>
        </w:rPr>
      </w:pPr>
      <w:r>
        <w:rPr>
          <w:rFonts w:hint="eastAsia" w:ascii="宋体" w:hAnsi="宋体" w:cs="宋体"/>
        </w:rPr>
        <w:t>（1）监测内容</w:t>
      </w:r>
    </w:p>
    <w:p w14:paraId="0ABD48D4">
      <w:pPr>
        <w:ind w:firstLine="560"/>
        <w:rPr>
          <w:rFonts w:hint="eastAsia" w:ascii="宋体" w:hAnsi="宋体" w:cs="宋体"/>
        </w:rPr>
      </w:pPr>
      <w:r>
        <w:rPr>
          <w:rFonts w:hint="eastAsia" w:ascii="宋体" w:hAnsi="宋体" w:cs="宋体"/>
        </w:rPr>
        <w:t>水平移动量</w:t>
      </w:r>
      <w:r>
        <w:rPr>
          <w:rFonts w:hint="eastAsia" w:ascii="宋体" w:hAnsi="宋体" w:cs="宋体"/>
          <w:lang w:eastAsia="zh-CN"/>
        </w:rPr>
        <w:t>、</w:t>
      </w:r>
      <w:r>
        <w:rPr>
          <w:rFonts w:hint="eastAsia" w:ascii="宋体" w:hAnsi="宋体" w:cs="宋体"/>
          <w:lang w:val="en-US" w:eastAsia="zh-CN"/>
        </w:rPr>
        <w:t>地裂缝宽度</w:t>
      </w:r>
      <w:r>
        <w:rPr>
          <w:rFonts w:hint="eastAsia" w:ascii="宋体" w:hAnsi="宋体" w:cs="宋体"/>
        </w:rPr>
        <w:t>等内容。</w:t>
      </w:r>
    </w:p>
    <w:p w14:paraId="1A9FAD02">
      <w:pPr>
        <w:ind w:firstLine="560"/>
        <w:rPr>
          <w:rFonts w:hint="eastAsia" w:ascii="宋体" w:hAnsi="宋体" w:cs="宋体"/>
        </w:rPr>
      </w:pPr>
      <w:r>
        <w:rPr>
          <w:rFonts w:hint="eastAsia" w:ascii="宋体" w:hAnsi="宋体" w:cs="宋体"/>
        </w:rPr>
        <w:t>（2）监测点布设原则</w:t>
      </w:r>
    </w:p>
    <w:p w14:paraId="7ABCDDD8">
      <w:pPr>
        <w:ind w:firstLine="560"/>
        <w:rPr>
          <w:rFonts w:hint="eastAsia" w:ascii="宋体" w:hAnsi="宋体" w:cs="宋体"/>
        </w:rPr>
      </w:pPr>
      <w:r>
        <w:rPr>
          <w:rFonts w:hint="eastAsia" w:ascii="宋体" w:hAnsi="宋体" w:cs="宋体"/>
        </w:rPr>
        <w:t>根据预测地表</w:t>
      </w:r>
      <w:r>
        <w:rPr>
          <w:rFonts w:hint="eastAsia" w:ascii="宋体" w:hAnsi="宋体" w:cs="宋体"/>
          <w:lang w:val="en-US" w:eastAsia="zh-CN"/>
        </w:rPr>
        <w:t>采空区</w:t>
      </w:r>
      <w:r>
        <w:rPr>
          <w:rFonts w:hint="eastAsia" w:ascii="宋体" w:hAnsi="宋体" w:cs="宋体"/>
        </w:rPr>
        <w:t>情况，确定采空</w:t>
      </w:r>
      <w:r>
        <w:rPr>
          <w:rFonts w:hint="eastAsia" w:ascii="宋体" w:hAnsi="宋体" w:cs="宋体"/>
          <w:lang w:val="en-US" w:eastAsia="zh-CN"/>
        </w:rPr>
        <w:t>区地裂缝</w:t>
      </w:r>
      <w:r>
        <w:rPr>
          <w:rFonts w:hint="eastAsia" w:ascii="宋体" w:hAnsi="宋体" w:cs="宋体"/>
        </w:rPr>
        <w:t>监测网分布范围。重点监测地表形变、地下形变、岩土体含水率、降雨量等要素，选择性监测孔隙水压力、土压力、地下水位等要素。</w:t>
      </w:r>
    </w:p>
    <w:p w14:paraId="3A97A98B">
      <w:pPr>
        <w:ind w:firstLine="560"/>
        <w:rPr>
          <w:rFonts w:hint="eastAsia" w:ascii="宋体" w:hAnsi="宋体" w:cs="宋体"/>
        </w:rPr>
      </w:pPr>
      <w:r>
        <w:rPr>
          <w:rFonts w:hint="eastAsia" w:ascii="宋体" w:hAnsi="宋体" w:cs="宋体"/>
        </w:rPr>
        <w:t>沿</w:t>
      </w:r>
      <w:r>
        <w:rPr>
          <w:rFonts w:hint="eastAsia" w:ascii="宋体" w:hAnsi="宋体" w:cs="宋体"/>
          <w:lang w:eastAsia="zh-CN"/>
        </w:rPr>
        <w:t>地裂缝</w:t>
      </w:r>
      <w:r>
        <w:rPr>
          <w:rFonts w:hint="eastAsia" w:ascii="宋体" w:hAnsi="宋体" w:cs="宋体"/>
        </w:rPr>
        <w:t>形态布设监测线。监测线长度大于该区范围，一端进入稳定的岩土体中。</w:t>
      </w:r>
    </w:p>
    <w:p w14:paraId="67501FEC">
      <w:pPr>
        <w:ind w:firstLine="560"/>
        <w:rPr>
          <w:rFonts w:hint="eastAsia" w:ascii="宋体" w:hAnsi="宋体" w:cs="宋体"/>
        </w:rPr>
      </w:pPr>
      <w:r>
        <w:rPr>
          <w:rFonts w:hint="eastAsia" w:ascii="宋体" w:hAnsi="宋体" w:cs="宋体"/>
        </w:rPr>
        <w:t>重点监测初始</w:t>
      </w:r>
      <w:r>
        <w:rPr>
          <w:rFonts w:hint="eastAsia" w:ascii="宋体" w:hAnsi="宋体" w:cs="宋体"/>
          <w:lang w:val="en-US" w:eastAsia="zh-CN"/>
        </w:rPr>
        <w:t>地裂缝</w:t>
      </w:r>
      <w:r>
        <w:rPr>
          <w:rFonts w:hint="eastAsia" w:ascii="宋体" w:hAnsi="宋体" w:cs="宋体"/>
        </w:rPr>
        <w:t>(从地表</w:t>
      </w:r>
      <w:r>
        <w:rPr>
          <w:rFonts w:hint="eastAsia" w:ascii="宋体" w:hAnsi="宋体" w:cs="宋体"/>
          <w:lang w:val="en-US" w:eastAsia="zh-CN"/>
        </w:rPr>
        <w:t>地裂缝</w:t>
      </w:r>
      <w:r>
        <w:rPr>
          <w:rFonts w:hint="eastAsia" w:ascii="宋体" w:hAnsi="宋体" w:cs="宋体"/>
        </w:rPr>
        <w:t>出现至活跃期开始的值)和累计(从活跃期开始至活跃期结束的值)。监测点总计25个，以网状布设于监测范围的中心及边缘。</w:t>
      </w:r>
    </w:p>
    <w:p w14:paraId="07E58631">
      <w:pPr>
        <w:ind w:firstLine="560"/>
        <w:rPr>
          <w:rFonts w:hint="eastAsia" w:ascii="宋体" w:hAnsi="宋体" w:cs="宋体"/>
        </w:rPr>
      </w:pPr>
      <w:r>
        <w:rPr>
          <w:rFonts w:hint="eastAsia" w:ascii="宋体" w:hAnsi="宋体" w:cs="宋体"/>
        </w:rPr>
        <w:t>（3）监测方法</w:t>
      </w:r>
    </w:p>
    <w:p w14:paraId="0B59B708">
      <w:pPr>
        <w:ind w:firstLine="560"/>
        <w:rPr>
          <w:rFonts w:hint="default" w:ascii="Times New Roman" w:hAnsi="Times New Roman" w:cs="Times New Roman"/>
        </w:rPr>
      </w:pPr>
      <w:r>
        <w:rPr>
          <w:rFonts w:hint="default" w:ascii="Times New Roman" w:hAnsi="Times New Roman" w:cs="Times New Roman"/>
        </w:rPr>
        <w:t>采用水准测量对采空区有可能引发的地裂缝进行监测，测量仪器选用S3型水准仪配合区格木质双面标尺，作业前对仪器和标尺应进行检查和检定。测量采用中丝法读数，直读视距，观测采用后一后一前一前顺序，精度达到三等，观测中误差&lt;2.5mm/km。</w:t>
      </w:r>
    </w:p>
    <w:p w14:paraId="0BCF6E59">
      <w:pPr>
        <w:ind w:firstLine="560"/>
        <w:rPr>
          <w:rFonts w:hint="eastAsia" w:ascii="宋体" w:hAnsi="宋体" w:cs="宋体"/>
        </w:rPr>
      </w:pPr>
      <w:r>
        <w:rPr>
          <w:rFonts w:hint="eastAsia" w:ascii="宋体" w:hAnsi="宋体" w:cs="宋体"/>
        </w:rPr>
        <w:t>（4）</w:t>
      </w:r>
      <w:r>
        <w:rPr>
          <w:rFonts w:ascii="宋体" w:hAnsi="宋体" w:cs="宋体"/>
        </w:rPr>
        <w:t>技术要求</w:t>
      </w:r>
    </w:p>
    <w:p w14:paraId="2BA6E598">
      <w:pPr>
        <w:ind w:firstLine="560"/>
      </w:pPr>
      <w:r>
        <w:t>严格按照纵横线设置监测点</w:t>
      </w:r>
      <w:r>
        <w:rPr>
          <w:rFonts w:hint="eastAsia"/>
        </w:rPr>
        <w:t>，</w:t>
      </w:r>
      <w:r>
        <w:t>使监测点建立在便于长期保存和寻找地段</w:t>
      </w:r>
      <w:r>
        <w:rPr>
          <w:rFonts w:hint="eastAsia"/>
        </w:rPr>
        <w:t>；</w:t>
      </w:r>
      <w:r>
        <w:t>每次</w:t>
      </w:r>
      <w:r>
        <w:rPr>
          <w:rFonts w:hint="eastAsia"/>
          <w:lang w:val="en-US" w:eastAsia="zh-CN"/>
        </w:rPr>
        <w:t>裂变</w:t>
      </w:r>
      <w:r>
        <w:t>观测宜采用相同的图形、统一仪器、观测方法、固定观测人员</w:t>
      </w:r>
      <w:r>
        <w:rPr>
          <w:rFonts w:hint="eastAsia"/>
        </w:rPr>
        <w:t>；</w:t>
      </w:r>
      <w:r>
        <w:t>其他技术要求必须满足《矿山地质环境监测技术规程》(DZT0287-2015)及《工程测量规范》(GB50026-2016)的要求。</w:t>
      </w:r>
    </w:p>
    <w:p w14:paraId="3CC2C88B">
      <w:pPr>
        <w:ind w:firstLine="560"/>
        <w:rPr>
          <w:rFonts w:hint="eastAsia" w:ascii="宋体" w:hAnsi="宋体" w:cs="宋体"/>
        </w:rPr>
      </w:pPr>
      <w:r>
        <w:rPr>
          <w:rFonts w:hint="eastAsia" w:ascii="宋体" w:hAnsi="宋体" w:cs="宋体"/>
        </w:rPr>
        <w:t>（5）</w:t>
      </w:r>
      <w:r>
        <w:rPr>
          <w:rFonts w:ascii="宋体" w:hAnsi="宋体" w:cs="宋体"/>
        </w:rPr>
        <w:t>监测周期</w:t>
      </w:r>
    </w:p>
    <w:p w14:paraId="17944B8C">
      <w:pPr>
        <w:ind w:firstLine="560"/>
        <w:rPr>
          <w:rFonts w:hint="default" w:ascii="Times New Roman" w:hAnsi="Times New Roman" w:cs="Times New Roman"/>
        </w:rPr>
      </w:pPr>
      <w:r>
        <w:rPr>
          <w:rFonts w:hint="default" w:ascii="Times New Roman" w:hAnsi="Times New Roman" w:cs="Times New Roman"/>
        </w:rPr>
        <w:t>监测频率为每月1次，雨季7.8.9月份加密，每月加密一次，每年15次，发现</w:t>
      </w:r>
      <w:r>
        <w:rPr>
          <w:rFonts w:hint="default" w:ascii="Times New Roman" w:hAnsi="Times New Roman" w:cs="Times New Roman"/>
          <w:lang w:val="en-US" w:eastAsia="zh-CN"/>
        </w:rPr>
        <w:t>裂缝</w:t>
      </w:r>
      <w:r>
        <w:rPr>
          <w:rFonts w:hint="default" w:ascii="Times New Roman" w:hAnsi="Times New Roman" w:cs="Times New Roman"/>
        </w:rPr>
        <w:t>明显增加时可增加监测频率。</w:t>
      </w:r>
    </w:p>
    <w:p w14:paraId="2F23058A">
      <w:pPr>
        <w:ind w:firstLine="560"/>
        <w:rPr>
          <w:rFonts w:hint="default" w:ascii="Times New Roman" w:hAnsi="Times New Roman" w:cs="Times New Roman"/>
        </w:rPr>
      </w:pPr>
      <w:r>
        <w:rPr>
          <w:rFonts w:hint="default" w:ascii="Times New Roman" w:hAnsi="Times New Roman" w:cs="Times New Roman"/>
        </w:rPr>
        <w:t>（6）监测时间</w:t>
      </w:r>
    </w:p>
    <w:p w14:paraId="6D984424">
      <w:pPr>
        <w:ind w:firstLine="560"/>
        <w:rPr>
          <w:rFonts w:hint="default" w:ascii="Times New Roman" w:hAnsi="Times New Roman" w:cs="Times New Roman"/>
        </w:rPr>
      </w:pPr>
      <w:r>
        <w:rPr>
          <w:rFonts w:hint="default" w:ascii="Times New Roman" w:hAnsi="Times New Roman" w:cs="Times New Roman"/>
        </w:rPr>
        <w:t>生产期：2026年1月至</w:t>
      </w:r>
      <w:r>
        <w:rPr>
          <w:rFonts w:hint="eastAsia" w:cs="Times New Roman"/>
          <w:lang w:eastAsia="zh-CN"/>
        </w:rPr>
        <w:t>2034</w:t>
      </w:r>
      <w:r>
        <w:rPr>
          <w:rFonts w:hint="default" w:ascii="Times New Roman" w:hAnsi="Times New Roman" w:cs="Times New Roman"/>
        </w:rPr>
        <w:t>年</w:t>
      </w:r>
      <w:r>
        <w:rPr>
          <w:rFonts w:hint="default" w:ascii="Times New Roman" w:hAnsi="Times New Roman" w:cs="Times New Roman"/>
          <w:lang w:val="en-US" w:eastAsia="zh-CN"/>
        </w:rPr>
        <w:t>1</w:t>
      </w:r>
      <w:r>
        <w:rPr>
          <w:rFonts w:hint="default" w:ascii="Times New Roman" w:hAnsi="Times New Roman" w:cs="Times New Roman"/>
        </w:rPr>
        <w:t>月；闭矿期及管护期：20</w:t>
      </w:r>
      <w:r>
        <w:rPr>
          <w:rFonts w:hint="default" w:ascii="Times New Roman" w:hAnsi="Times New Roman" w:cs="Times New Roman"/>
          <w:lang w:val="en-US" w:eastAsia="zh-CN"/>
        </w:rPr>
        <w:t>34</w:t>
      </w:r>
      <w:r>
        <w:rPr>
          <w:rFonts w:hint="default" w:ascii="Times New Roman" w:hAnsi="Times New Roman" w:cs="Times New Roman"/>
        </w:rPr>
        <w:t>年</w:t>
      </w:r>
      <w:r>
        <w:rPr>
          <w:rFonts w:hint="default" w:ascii="Times New Roman" w:hAnsi="Times New Roman" w:cs="Times New Roman"/>
          <w:lang w:val="en-US" w:eastAsia="zh-CN"/>
        </w:rPr>
        <w:t>1</w:t>
      </w:r>
      <w:r>
        <w:rPr>
          <w:rFonts w:hint="default" w:ascii="Times New Roman" w:hAnsi="Times New Roman" w:cs="Times New Roman"/>
        </w:rPr>
        <w:t>月至</w:t>
      </w:r>
      <w:r>
        <w:rPr>
          <w:rFonts w:hint="default" w:ascii="Times New Roman" w:hAnsi="Times New Roman" w:cs="Times New Roman"/>
          <w:lang w:eastAsia="zh-CN"/>
        </w:rPr>
        <w:t>203</w:t>
      </w:r>
      <w:r>
        <w:rPr>
          <w:rFonts w:hint="default" w:ascii="Times New Roman" w:hAnsi="Times New Roman" w:cs="Times New Roman"/>
          <w:lang w:val="en-US" w:eastAsia="zh-CN"/>
        </w:rPr>
        <w:t>5</w:t>
      </w:r>
      <w:r>
        <w:rPr>
          <w:rFonts w:hint="default" w:ascii="Times New Roman" w:hAnsi="Times New Roman" w:cs="Times New Roman"/>
          <w:lang w:eastAsia="zh-CN"/>
        </w:rPr>
        <w:t>年1月</w:t>
      </w:r>
      <w:r>
        <w:rPr>
          <w:rFonts w:hint="default" w:ascii="Times New Roman" w:hAnsi="Times New Roman" w:cs="Times New Roman"/>
        </w:rPr>
        <w:t>，共计</w:t>
      </w:r>
      <w:r>
        <w:rPr>
          <w:rFonts w:hint="default" w:ascii="Times New Roman" w:hAnsi="Times New Roman" w:cs="Times New Roman"/>
          <w:lang w:eastAsia="zh-CN"/>
        </w:rPr>
        <w:t>8年</w:t>
      </w:r>
      <w:r>
        <w:rPr>
          <w:rFonts w:hint="default" w:ascii="Times New Roman" w:hAnsi="Times New Roman" w:cs="Times New Roman"/>
        </w:rPr>
        <w:t>。</w:t>
      </w:r>
    </w:p>
    <w:p w14:paraId="057AFE16">
      <w:pPr>
        <w:ind w:firstLine="560"/>
        <w:rPr>
          <w:rFonts w:hint="default" w:ascii="Times New Roman" w:hAnsi="Times New Roman" w:cs="Times New Roman"/>
        </w:rPr>
      </w:pPr>
      <w:r>
        <w:rPr>
          <w:rFonts w:hint="default" w:ascii="Times New Roman" w:hAnsi="Times New Roman" w:cs="Times New Roman"/>
        </w:rPr>
        <w:t>(7)监测工程量</w:t>
      </w:r>
    </w:p>
    <w:p w14:paraId="5A723FC6">
      <w:pPr>
        <w:ind w:firstLine="560"/>
        <w:rPr>
          <w:rFonts w:hint="default" w:ascii="Times New Roman" w:hAnsi="Times New Roman" w:cs="Times New Roman"/>
        </w:rPr>
      </w:pPr>
      <w:r>
        <w:rPr>
          <w:rFonts w:hint="default" w:ascii="Times New Roman" w:hAnsi="Times New Roman" w:cs="Times New Roman"/>
        </w:rPr>
        <w:t>每年15次，生产期共</w:t>
      </w:r>
      <w:r>
        <w:rPr>
          <w:rFonts w:hint="default" w:ascii="Times New Roman" w:hAnsi="Times New Roman" w:cs="Times New Roman"/>
          <w:lang w:val="en-US" w:eastAsia="zh-CN"/>
        </w:rPr>
        <w:t>120</w:t>
      </w:r>
      <w:r>
        <w:rPr>
          <w:rFonts w:hint="default" w:ascii="Times New Roman" w:hAnsi="Times New Roman" w:cs="Times New Roman"/>
        </w:rPr>
        <w:t>次；闭矿期及管护期共</w:t>
      </w:r>
      <w:r>
        <w:rPr>
          <w:rFonts w:hint="default" w:ascii="Times New Roman" w:hAnsi="Times New Roman" w:cs="Times New Roman"/>
          <w:lang w:val="en-US" w:eastAsia="zh-CN"/>
        </w:rPr>
        <w:t>60</w:t>
      </w:r>
      <w:r>
        <w:rPr>
          <w:rFonts w:hint="default" w:ascii="Times New Roman" w:hAnsi="Times New Roman" w:cs="Times New Roman"/>
        </w:rPr>
        <w:t>次；合计监测次数</w:t>
      </w:r>
      <w:r>
        <w:rPr>
          <w:rFonts w:hint="default" w:ascii="Times New Roman" w:hAnsi="Times New Roman" w:cs="Times New Roman"/>
          <w:lang w:val="en-US" w:eastAsia="zh-CN"/>
        </w:rPr>
        <w:t>180</w:t>
      </w:r>
      <w:r>
        <w:rPr>
          <w:rFonts w:hint="default" w:ascii="Times New Roman" w:hAnsi="Times New Roman" w:cs="Times New Roman"/>
        </w:rPr>
        <w:t>次。</w:t>
      </w:r>
    </w:p>
    <w:p w14:paraId="20388F95">
      <w:pPr>
        <w:ind w:left="562" w:firstLine="0" w:firstLineChars="0"/>
        <w:rPr>
          <w:b/>
          <w:bCs/>
          <w:kern w:val="0"/>
          <w:szCs w:val="28"/>
        </w:rPr>
      </w:pPr>
      <w:bookmarkStart w:id="192" w:name="_Toc499708065"/>
      <w:bookmarkStart w:id="193" w:name="_Hlk216980405"/>
      <w:r>
        <w:rPr>
          <w:rFonts w:hint="eastAsia"/>
          <w:b/>
          <w:bCs/>
          <w:kern w:val="0"/>
          <w:szCs w:val="28"/>
        </w:rPr>
        <w:t>2.地下水水位、水量监测</w:t>
      </w:r>
    </w:p>
    <w:p w14:paraId="50790494">
      <w:pPr>
        <w:autoSpaceDE w:val="0"/>
        <w:autoSpaceDN w:val="0"/>
        <w:ind w:firstLine="560"/>
        <w:rPr>
          <w:rFonts w:hint="eastAsia" w:ascii="宋体" w:hAnsi="宋体"/>
          <w:szCs w:val="28"/>
        </w:rPr>
      </w:pPr>
      <w:r>
        <w:rPr>
          <w:rFonts w:hint="eastAsia" w:ascii="宋体" w:hAnsi="宋体"/>
          <w:szCs w:val="28"/>
        </w:rPr>
        <w:t>具体内容如下：</w:t>
      </w:r>
    </w:p>
    <w:p w14:paraId="34E9119C">
      <w:pPr>
        <w:autoSpaceDE w:val="0"/>
        <w:autoSpaceDN w:val="0"/>
        <w:ind w:firstLine="560"/>
        <w:rPr>
          <w:rFonts w:hint="eastAsia" w:ascii="宋体" w:hAnsi="宋体"/>
          <w:color w:val="000000"/>
          <w:szCs w:val="28"/>
        </w:rPr>
      </w:pPr>
      <w:r>
        <w:rPr>
          <w:rFonts w:hint="eastAsia" w:ascii="宋体" w:hAnsi="宋体"/>
          <w:szCs w:val="28"/>
        </w:rPr>
        <w:t>（1）</w:t>
      </w:r>
      <w:r>
        <w:rPr>
          <w:rFonts w:ascii="宋体" w:hAnsi="宋体"/>
          <w:color w:val="000000"/>
          <w:szCs w:val="28"/>
        </w:rPr>
        <w:t>监测内容</w:t>
      </w:r>
    </w:p>
    <w:p w14:paraId="6C555646">
      <w:pPr>
        <w:autoSpaceDE w:val="0"/>
        <w:autoSpaceDN w:val="0"/>
        <w:ind w:firstLine="560"/>
        <w:rPr>
          <w:rFonts w:hint="eastAsia" w:ascii="宋体" w:hAnsi="宋体"/>
          <w:color w:val="000000"/>
          <w:szCs w:val="28"/>
        </w:rPr>
      </w:pPr>
      <w:r>
        <w:rPr>
          <w:rFonts w:ascii="宋体" w:hAnsi="宋体"/>
          <w:color w:val="000000"/>
          <w:szCs w:val="28"/>
        </w:rPr>
        <w:t>定期</w:t>
      </w:r>
      <w:r>
        <w:rPr>
          <w:rFonts w:hint="eastAsia" w:ascii="宋体" w:hAnsi="宋体"/>
          <w:color w:val="000000"/>
          <w:szCs w:val="28"/>
        </w:rPr>
        <w:t>对</w:t>
      </w:r>
      <w:r>
        <w:rPr>
          <w:rFonts w:hint="eastAsia" w:ascii="宋体" w:hAnsi="宋体"/>
          <w:color w:val="000000"/>
          <w:szCs w:val="28"/>
          <w:lang w:eastAsia="zh-CN"/>
        </w:rPr>
        <w:t>矿山</w:t>
      </w:r>
      <w:r>
        <w:rPr>
          <w:rFonts w:hint="eastAsia" w:ascii="宋体" w:hAnsi="宋体"/>
          <w:color w:val="000000"/>
          <w:szCs w:val="28"/>
        </w:rPr>
        <w:t>涌水</w:t>
      </w:r>
      <w:r>
        <w:rPr>
          <w:rFonts w:ascii="宋体" w:hAnsi="宋体"/>
          <w:color w:val="000000"/>
          <w:szCs w:val="28"/>
        </w:rPr>
        <w:t>进行分析，水质监测项目主要有：</w:t>
      </w:r>
      <w:r>
        <w:rPr>
          <w:rFonts w:hint="eastAsia" w:ascii="宋体" w:hAnsi="宋体"/>
          <w:color w:val="000000"/>
          <w:szCs w:val="28"/>
        </w:rPr>
        <w:t>pH值、总硬度、溶解氧、硫酸盐、钙、游离二氧化碳</w:t>
      </w:r>
      <w:r>
        <w:rPr>
          <w:rFonts w:ascii="宋体" w:hAnsi="宋体"/>
          <w:color w:val="000000"/>
          <w:szCs w:val="28"/>
        </w:rPr>
        <w:t>等。</w:t>
      </w:r>
    </w:p>
    <w:p w14:paraId="20DBBC02">
      <w:pPr>
        <w:autoSpaceDE w:val="0"/>
        <w:autoSpaceDN w:val="0"/>
        <w:ind w:firstLine="560"/>
        <w:rPr>
          <w:rFonts w:hint="eastAsia" w:ascii="宋体" w:hAnsi="宋体"/>
          <w:color w:val="000000"/>
          <w:szCs w:val="28"/>
        </w:rPr>
      </w:pPr>
      <w:r>
        <w:rPr>
          <w:rFonts w:hint="eastAsia" w:ascii="宋体" w:hAnsi="宋体"/>
          <w:szCs w:val="28"/>
        </w:rPr>
        <w:t>（2）</w:t>
      </w:r>
      <w:r>
        <w:rPr>
          <w:rFonts w:ascii="宋体" w:hAnsi="宋体"/>
          <w:color w:val="000000"/>
          <w:szCs w:val="28"/>
        </w:rPr>
        <w:t>监测点的布设</w:t>
      </w:r>
    </w:p>
    <w:p w14:paraId="2B1F8A86">
      <w:pPr>
        <w:autoSpaceDE w:val="0"/>
        <w:autoSpaceDN w:val="0"/>
        <w:ind w:firstLine="560"/>
        <w:rPr>
          <w:rFonts w:hint="eastAsia" w:ascii="宋体" w:hAnsi="宋体"/>
          <w:color w:val="000000"/>
          <w:szCs w:val="28"/>
        </w:rPr>
      </w:pPr>
      <w:r>
        <w:rPr>
          <w:rFonts w:hint="eastAsia" w:ascii="宋体" w:hAnsi="宋体" w:cs="宋体"/>
          <w:szCs w:val="28"/>
        </w:rPr>
        <w:t>针对</w:t>
      </w:r>
      <w:r>
        <w:rPr>
          <w:rFonts w:hint="eastAsia" w:ascii="宋体" w:hAnsi="宋体"/>
          <w:szCs w:val="28"/>
        </w:rPr>
        <w:t>矿山生产产生的</w:t>
      </w:r>
      <w:r>
        <w:rPr>
          <w:rFonts w:hint="eastAsia" w:ascii="宋体" w:hAnsi="宋体"/>
          <w:szCs w:val="28"/>
          <w:lang w:eastAsia="zh-CN"/>
        </w:rPr>
        <w:t>矿山</w:t>
      </w:r>
      <w:r>
        <w:rPr>
          <w:rFonts w:hint="eastAsia" w:ascii="宋体" w:hAnsi="宋体"/>
          <w:szCs w:val="28"/>
        </w:rPr>
        <w:t>涌水进行水质及水量监测，监测点布置于井口排水口。</w:t>
      </w:r>
    </w:p>
    <w:p w14:paraId="3DA762D6">
      <w:pPr>
        <w:autoSpaceDE w:val="0"/>
        <w:autoSpaceDN w:val="0"/>
        <w:ind w:firstLine="560"/>
        <w:rPr>
          <w:kern w:val="0"/>
          <w:szCs w:val="28"/>
        </w:rPr>
      </w:pPr>
      <w:r>
        <w:rPr>
          <w:rFonts w:hint="eastAsia"/>
          <w:kern w:val="0"/>
          <w:szCs w:val="28"/>
        </w:rPr>
        <w:t>（3）监测周期</w:t>
      </w:r>
    </w:p>
    <w:p w14:paraId="59876FDA">
      <w:pPr>
        <w:autoSpaceDE w:val="0"/>
        <w:autoSpaceDN w:val="0"/>
        <w:ind w:firstLine="560"/>
        <w:rPr>
          <w:rFonts w:hint="default" w:ascii="Times New Roman" w:hAnsi="Times New Roman" w:cs="Times New Roman"/>
          <w:kern w:val="0"/>
          <w:szCs w:val="28"/>
        </w:rPr>
      </w:pPr>
      <w:r>
        <w:rPr>
          <w:rFonts w:hint="default" w:ascii="Times New Roman" w:hAnsi="Times New Roman" w:cs="Times New Roman"/>
          <w:kern w:val="0"/>
          <w:szCs w:val="28"/>
        </w:rPr>
        <w:t>水位、水量每月监测一次，每年7月及12月份各增加一次水质监测，在丰水期和枯水期进行监测。</w:t>
      </w:r>
    </w:p>
    <w:p w14:paraId="3BDADC4E">
      <w:pPr>
        <w:autoSpaceDE w:val="0"/>
        <w:autoSpaceDN w:val="0"/>
        <w:ind w:firstLine="560"/>
        <w:rPr>
          <w:rFonts w:hint="default" w:ascii="Times New Roman" w:hAnsi="Times New Roman" w:cs="Times New Roman"/>
          <w:kern w:val="0"/>
          <w:szCs w:val="28"/>
        </w:rPr>
      </w:pPr>
      <w:r>
        <w:rPr>
          <w:rFonts w:hint="default" w:ascii="Times New Roman" w:hAnsi="Times New Roman" w:cs="Times New Roman"/>
          <w:kern w:val="0"/>
          <w:szCs w:val="28"/>
        </w:rPr>
        <w:t>（4）监测时间</w:t>
      </w:r>
    </w:p>
    <w:p w14:paraId="56427B92">
      <w:pPr>
        <w:autoSpaceDE w:val="0"/>
        <w:autoSpaceDN w:val="0"/>
        <w:ind w:firstLine="560"/>
        <w:rPr>
          <w:rFonts w:hint="default" w:ascii="Times New Roman" w:hAnsi="Times New Roman" w:cs="Times New Roman"/>
          <w:kern w:val="0"/>
          <w:szCs w:val="28"/>
        </w:rPr>
      </w:pPr>
      <w:r>
        <w:rPr>
          <w:rFonts w:hint="default" w:ascii="Times New Roman" w:hAnsi="Times New Roman" w:cs="Times New Roman"/>
        </w:rPr>
        <w:t>生产期：2026年1月至20</w:t>
      </w:r>
      <w:r>
        <w:rPr>
          <w:rFonts w:hint="default" w:ascii="Times New Roman" w:hAnsi="Times New Roman" w:cs="Times New Roman"/>
          <w:lang w:val="en-US" w:eastAsia="zh-CN"/>
        </w:rPr>
        <w:t>34</w:t>
      </w:r>
      <w:r>
        <w:rPr>
          <w:rFonts w:hint="default" w:ascii="Times New Roman" w:hAnsi="Times New Roman" w:cs="Times New Roman"/>
        </w:rPr>
        <w:t>年</w:t>
      </w:r>
      <w:r>
        <w:rPr>
          <w:rFonts w:hint="default" w:ascii="Times New Roman" w:hAnsi="Times New Roman" w:cs="Times New Roman"/>
          <w:lang w:val="en-US" w:eastAsia="zh-CN"/>
        </w:rPr>
        <w:t>1</w:t>
      </w:r>
      <w:r>
        <w:rPr>
          <w:rFonts w:hint="default" w:ascii="Times New Roman" w:hAnsi="Times New Roman" w:cs="Times New Roman"/>
        </w:rPr>
        <w:t>月</w:t>
      </w:r>
      <w:r>
        <w:rPr>
          <w:rFonts w:hint="default" w:ascii="Times New Roman" w:hAnsi="Times New Roman" w:cs="Times New Roman"/>
          <w:kern w:val="0"/>
          <w:szCs w:val="28"/>
        </w:rPr>
        <w:t>。</w:t>
      </w:r>
    </w:p>
    <w:p w14:paraId="4F8B64B5">
      <w:pPr>
        <w:autoSpaceDE w:val="0"/>
        <w:autoSpaceDN w:val="0"/>
        <w:ind w:firstLine="560"/>
        <w:rPr>
          <w:rFonts w:hint="default" w:ascii="Times New Roman" w:hAnsi="Times New Roman" w:cs="Times New Roman"/>
          <w:kern w:val="0"/>
          <w:szCs w:val="28"/>
        </w:rPr>
      </w:pPr>
      <w:r>
        <w:rPr>
          <w:rFonts w:hint="default" w:ascii="Times New Roman" w:hAnsi="Times New Roman" w:cs="Times New Roman"/>
          <w:kern w:val="0"/>
          <w:szCs w:val="28"/>
        </w:rPr>
        <w:t>（5）监测工程量</w:t>
      </w:r>
    </w:p>
    <w:p w14:paraId="3650206E">
      <w:pPr>
        <w:ind w:firstLine="560"/>
        <w:rPr>
          <w:rFonts w:hint="default" w:ascii="Times New Roman" w:hAnsi="Times New Roman" w:cs="Times New Roman"/>
        </w:rPr>
      </w:pPr>
      <w:r>
        <w:rPr>
          <w:rFonts w:hint="default" w:ascii="Times New Roman" w:hAnsi="Times New Roman" w:cs="Times New Roman"/>
          <w:color w:val="000000"/>
          <w:szCs w:val="28"/>
          <w:lang w:eastAsia="zh-CN"/>
        </w:rPr>
        <w:t>矿山</w:t>
      </w:r>
      <w:r>
        <w:rPr>
          <w:rFonts w:hint="default" w:ascii="Times New Roman" w:hAnsi="Times New Roman" w:cs="Times New Roman"/>
          <w:color w:val="000000"/>
          <w:szCs w:val="28"/>
        </w:rPr>
        <w:t>涌水水质监测</w:t>
      </w:r>
      <w:r>
        <w:rPr>
          <w:rFonts w:hint="default" w:ascii="Times New Roman" w:hAnsi="Times New Roman" w:cs="Times New Roman"/>
        </w:rPr>
        <w:t>每年2次，生产期共</w:t>
      </w:r>
      <w:r>
        <w:rPr>
          <w:rFonts w:hint="default" w:ascii="Times New Roman" w:hAnsi="Times New Roman" w:cs="Times New Roman"/>
          <w:lang w:val="en-US" w:eastAsia="zh-CN"/>
        </w:rPr>
        <w:t>16</w:t>
      </w:r>
      <w:r>
        <w:rPr>
          <w:rFonts w:hint="default" w:ascii="Times New Roman" w:hAnsi="Times New Roman" w:cs="Times New Roman"/>
        </w:rPr>
        <w:t>次。</w:t>
      </w:r>
    </w:p>
    <w:p w14:paraId="38E0FA22">
      <w:pPr>
        <w:ind w:firstLine="560"/>
        <w:rPr>
          <w:rFonts w:hint="default" w:ascii="Times New Roman" w:hAnsi="Times New Roman" w:cs="Times New Roman"/>
        </w:rPr>
      </w:pPr>
      <w:r>
        <w:rPr>
          <w:rFonts w:hint="default" w:ascii="Times New Roman" w:hAnsi="Times New Roman" w:cs="Times New Roman"/>
          <w:color w:val="000000"/>
          <w:szCs w:val="28"/>
          <w:lang w:eastAsia="zh-CN"/>
        </w:rPr>
        <w:t>矿山</w:t>
      </w:r>
      <w:r>
        <w:rPr>
          <w:rFonts w:hint="default" w:ascii="Times New Roman" w:hAnsi="Times New Roman" w:cs="Times New Roman"/>
          <w:color w:val="000000"/>
          <w:szCs w:val="28"/>
        </w:rPr>
        <w:t>涌水水量监测</w:t>
      </w:r>
      <w:r>
        <w:rPr>
          <w:rFonts w:hint="default" w:ascii="Times New Roman" w:hAnsi="Times New Roman" w:cs="Times New Roman"/>
        </w:rPr>
        <w:t>每年12次，生产期共</w:t>
      </w:r>
      <w:r>
        <w:rPr>
          <w:rFonts w:hint="default" w:ascii="Times New Roman" w:hAnsi="Times New Roman" w:cs="Times New Roman"/>
          <w:lang w:val="en-US" w:eastAsia="zh-CN"/>
        </w:rPr>
        <w:t>96</w:t>
      </w:r>
      <w:r>
        <w:rPr>
          <w:rFonts w:hint="default" w:ascii="Times New Roman" w:hAnsi="Times New Roman" w:cs="Times New Roman"/>
        </w:rPr>
        <w:t>次</w:t>
      </w:r>
      <w:bookmarkEnd w:id="191"/>
      <w:bookmarkEnd w:id="192"/>
      <w:bookmarkEnd w:id="193"/>
      <w:bookmarkStart w:id="194" w:name="_Toc30483"/>
    </w:p>
    <w:p w14:paraId="741206C6">
      <w:pPr>
        <w:ind w:firstLine="560"/>
      </w:pPr>
      <w:r>
        <w:rPr>
          <w:rFonts w:hint="eastAsia"/>
        </w:rPr>
        <w:t>3.</w:t>
      </w:r>
      <w:r>
        <w:t>土地资源生态监测</w:t>
      </w:r>
    </w:p>
    <w:bookmarkEnd w:id="194"/>
    <w:p w14:paraId="295EA90D">
      <w:pPr>
        <w:autoSpaceDE w:val="0"/>
        <w:autoSpaceDN w:val="0"/>
        <w:ind w:firstLine="560"/>
        <w:rPr>
          <w:rFonts w:hint="eastAsia" w:ascii="宋体" w:hAnsi="宋体"/>
          <w:color w:val="000000"/>
          <w:szCs w:val="28"/>
        </w:rPr>
      </w:pPr>
      <w:r>
        <w:rPr>
          <w:rFonts w:hint="eastAsia" w:ascii="宋体" w:hAnsi="宋体"/>
          <w:szCs w:val="28"/>
        </w:rPr>
        <w:t>（1）</w:t>
      </w:r>
      <w:r>
        <w:rPr>
          <w:rFonts w:ascii="宋体" w:hAnsi="宋体"/>
          <w:color w:val="000000"/>
          <w:szCs w:val="28"/>
        </w:rPr>
        <w:t>监测内容</w:t>
      </w:r>
    </w:p>
    <w:p w14:paraId="02A878D6">
      <w:pPr>
        <w:ind w:firstLine="560"/>
        <w:rPr>
          <w:bCs/>
          <w:kern w:val="0"/>
          <w:szCs w:val="28"/>
        </w:rPr>
      </w:pPr>
      <w:r>
        <w:rPr>
          <w:bCs/>
          <w:kern w:val="0"/>
          <w:szCs w:val="28"/>
        </w:rPr>
        <w:t>本项目区的土地资源生态监测方法以调查与巡查为主，辅以临时监测，以满足矿山生产过程中土地损毁及复垦变化的特点，确保监测工作的顺利进行。调查与巡查是指定期采取线路调查或全面调查，利用手持GPS、照相机、标杆、尺子等工具管护测量，监测人员定期对各复垦单元的土地破坏类型和面积、水土保持情况、复垦工程措施实施情况、植物生长情况、总体复垦效果等进行监测记录。</w:t>
      </w:r>
      <w:bookmarkStart w:id="195" w:name="_Hlk215844060"/>
    </w:p>
    <w:p w14:paraId="61CAEDE0">
      <w:pPr>
        <w:autoSpaceDE w:val="0"/>
        <w:autoSpaceDN w:val="0"/>
        <w:ind w:firstLine="560"/>
        <w:rPr>
          <w:kern w:val="0"/>
          <w:szCs w:val="28"/>
        </w:rPr>
      </w:pPr>
      <w:r>
        <w:rPr>
          <w:rFonts w:hint="eastAsia"/>
          <w:kern w:val="0"/>
          <w:szCs w:val="28"/>
        </w:rPr>
        <w:t>（4）监测时间</w:t>
      </w:r>
    </w:p>
    <w:p w14:paraId="3C23083D">
      <w:pPr>
        <w:ind w:firstLine="560"/>
        <w:rPr>
          <w:rFonts w:hint="default" w:ascii="Times New Roman" w:hAnsi="Times New Roman" w:cs="Times New Roman"/>
        </w:rPr>
      </w:pPr>
      <w:r>
        <w:rPr>
          <w:rFonts w:hint="default" w:ascii="Times New Roman" w:hAnsi="Times New Roman" w:cs="Times New Roman"/>
        </w:rPr>
        <w:t>生产期：2026年1月至</w:t>
      </w:r>
      <w:r>
        <w:rPr>
          <w:rFonts w:hint="default" w:ascii="Times New Roman" w:hAnsi="Times New Roman" w:cs="Times New Roman"/>
          <w:lang w:eastAsia="zh-CN"/>
        </w:rPr>
        <w:t>2034年1月</w:t>
      </w:r>
      <w:r>
        <w:rPr>
          <w:rFonts w:hint="default" w:ascii="Times New Roman" w:hAnsi="Times New Roman" w:cs="Times New Roman"/>
        </w:rPr>
        <w:t>；闭矿期及管护期：</w:t>
      </w:r>
      <w:r>
        <w:rPr>
          <w:rFonts w:hint="default" w:ascii="Times New Roman" w:hAnsi="Times New Roman" w:cs="Times New Roman"/>
          <w:lang w:eastAsia="zh-CN"/>
        </w:rPr>
        <w:t>2034年1月</w:t>
      </w:r>
      <w:r>
        <w:rPr>
          <w:rFonts w:hint="default" w:ascii="Times New Roman" w:hAnsi="Times New Roman" w:cs="Times New Roman"/>
        </w:rPr>
        <w:t>至</w:t>
      </w:r>
      <w:r>
        <w:rPr>
          <w:rFonts w:hint="default" w:ascii="Times New Roman" w:hAnsi="Times New Roman" w:cs="Times New Roman"/>
          <w:lang w:eastAsia="zh-CN"/>
        </w:rPr>
        <w:t>2038年1月</w:t>
      </w:r>
      <w:r>
        <w:rPr>
          <w:rFonts w:hint="default" w:ascii="Times New Roman" w:hAnsi="Times New Roman" w:cs="Times New Roman"/>
        </w:rPr>
        <w:t>，共计</w:t>
      </w:r>
      <w:r>
        <w:rPr>
          <w:rFonts w:hint="default" w:ascii="Times New Roman" w:hAnsi="Times New Roman" w:cs="Times New Roman"/>
          <w:lang w:eastAsia="zh-CN"/>
        </w:rPr>
        <w:t>8年</w:t>
      </w:r>
      <w:r>
        <w:rPr>
          <w:rFonts w:hint="default" w:ascii="Times New Roman" w:hAnsi="Times New Roman" w:cs="Times New Roman"/>
        </w:rPr>
        <w:t>。</w:t>
      </w:r>
    </w:p>
    <w:p w14:paraId="4ED598F9">
      <w:pPr>
        <w:autoSpaceDE w:val="0"/>
        <w:autoSpaceDN w:val="0"/>
        <w:ind w:firstLine="560"/>
        <w:rPr>
          <w:kern w:val="0"/>
          <w:szCs w:val="28"/>
        </w:rPr>
      </w:pPr>
      <w:r>
        <w:rPr>
          <w:rFonts w:hint="eastAsia"/>
          <w:kern w:val="0"/>
          <w:szCs w:val="28"/>
        </w:rPr>
        <w:t>（5）监测工程量</w:t>
      </w:r>
    </w:p>
    <w:p w14:paraId="152ED02F">
      <w:pPr>
        <w:ind w:firstLine="560"/>
        <w:rPr>
          <w:rFonts w:hint="default" w:ascii="Times New Roman" w:hAnsi="Times New Roman" w:cs="Times New Roman"/>
          <w:bCs/>
          <w:kern w:val="0"/>
          <w:szCs w:val="28"/>
        </w:rPr>
      </w:pPr>
      <w:r>
        <w:rPr>
          <w:rFonts w:hint="default" w:ascii="Times New Roman" w:hAnsi="Times New Roman" w:cs="Times New Roman"/>
          <w:color w:val="000000"/>
          <w:szCs w:val="28"/>
        </w:rPr>
        <w:t>监测</w:t>
      </w:r>
      <w:r>
        <w:rPr>
          <w:rFonts w:hint="default" w:ascii="Times New Roman" w:hAnsi="Times New Roman" w:cs="Times New Roman"/>
          <w:bCs/>
          <w:kern w:val="0"/>
          <w:szCs w:val="28"/>
        </w:rPr>
        <w:t>频率为每6个月一次，一年共计监测2次</w:t>
      </w:r>
      <w:r>
        <w:rPr>
          <w:rFonts w:hint="default" w:ascii="Times New Roman" w:hAnsi="Times New Roman" w:cs="Times New Roman"/>
        </w:rPr>
        <w:t>，生产期共</w:t>
      </w:r>
      <w:r>
        <w:rPr>
          <w:rFonts w:hint="default" w:ascii="Times New Roman" w:hAnsi="Times New Roman" w:cs="Times New Roman"/>
          <w:lang w:val="en-US" w:eastAsia="zh-CN"/>
        </w:rPr>
        <w:t>16</w:t>
      </w:r>
      <w:r>
        <w:rPr>
          <w:rFonts w:hint="default" w:ascii="Times New Roman" w:hAnsi="Times New Roman" w:cs="Times New Roman"/>
        </w:rPr>
        <w:t>次；闭矿期及管护期8</w:t>
      </w:r>
      <w:r>
        <w:rPr>
          <w:rFonts w:hint="default" w:ascii="Times New Roman" w:hAnsi="Times New Roman" w:cs="Times New Roman"/>
          <w:lang w:val="en-US" w:eastAsia="zh-CN"/>
        </w:rPr>
        <w:t>次</w:t>
      </w:r>
      <w:r>
        <w:rPr>
          <w:rFonts w:hint="default" w:ascii="Times New Roman" w:hAnsi="Times New Roman" w:cs="Times New Roman"/>
        </w:rPr>
        <w:t>，合计监测次数</w:t>
      </w:r>
      <w:r>
        <w:rPr>
          <w:rFonts w:hint="default" w:ascii="Times New Roman" w:hAnsi="Times New Roman" w:cs="Times New Roman"/>
          <w:lang w:val="en-US" w:eastAsia="zh-CN"/>
        </w:rPr>
        <w:t>24</w:t>
      </w:r>
      <w:r>
        <w:rPr>
          <w:rFonts w:hint="default" w:ascii="Times New Roman" w:hAnsi="Times New Roman" w:cs="Times New Roman"/>
        </w:rPr>
        <w:t>次。</w:t>
      </w:r>
      <w:bookmarkEnd w:id="195"/>
    </w:p>
    <w:p w14:paraId="73387BDD">
      <w:pPr>
        <w:pStyle w:val="4"/>
        <w:ind w:firstLine="602"/>
        <w:rPr>
          <w:rFonts w:ascii="Times New Roman" w:hAnsi="Times New Roman"/>
          <w:szCs w:val="30"/>
        </w:rPr>
      </w:pPr>
      <w:bookmarkStart w:id="196" w:name="_Toc5881"/>
      <w:bookmarkStart w:id="197" w:name="_Toc219050294"/>
      <w:bookmarkStart w:id="198" w:name="_Toc215692455"/>
      <w:bookmarkStart w:id="199" w:name="_Toc935"/>
      <w:r>
        <w:rPr>
          <w:rFonts w:ascii="Times New Roman" w:hAnsi="Times New Roman"/>
          <w:szCs w:val="30"/>
        </w:rPr>
        <w:t>二、管护目标与措施</w:t>
      </w:r>
      <w:bookmarkEnd w:id="196"/>
      <w:bookmarkEnd w:id="197"/>
      <w:bookmarkEnd w:id="198"/>
    </w:p>
    <w:p w14:paraId="433C9D91">
      <w:pPr>
        <w:ind w:firstLine="560"/>
        <w:rPr>
          <w:kern w:val="0"/>
          <w:szCs w:val="28"/>
        </w:rPr>
      </w:pPr>
      <w:r>
        <w:rPr>
          <w:kern w:val="0"/>
          <w:szCs w:val="28"/>
        </w:rPr>
        <w:t>1.管护措施设计</w:t>
      </w:r>
    </w:p>
    <w:p w14:paraId="0775A370">
      <w:pPr>
        <w:widowControl/>
        <w:ind w:firstLine="560"/>
        <w:rPr>
          <w:kern w:val="0"/>
          <w:szCs w:val="28"/>
        </w:rPr>
      </w:pPr>
      <w:r>
        <w:rPr>
          <w:kern w:val="0"/>
          <w:szCs w:val="28"/>
        </w:rPr>
        <w:t>为使</w:t>
      </w:r>
      <w:r>
        <w:rPr>
          <w:rFonts w:hint="eastAsia"/>
          <w:kern w:val="0"/>
          <w:szCs w:val="28"/>
        </w:rPr>
        <w:t>补栽的乔木</w:t>
      </w:r>
      <w:r>
        <w:rPr>
          <w:kern w:val="0"/>
          <w:szCs w:val="28"/>
        </w:rPr>
        <w:t>更好地存活和生长，使</w:t>
      </w:r>
      <w:r>
        <w:rPr>
          <w:rFonts w:hint="eastAsia"/>
          <w:kern w:val="0"/>
          <w:szCs w:val="28"/>
        </w:rPr>
        <w:t>修复</w:t>
      </w:r>
      <w:r>
        <w:rPr>
          <w:kern w:val="0"/>
          <w:szCs w:val="28"/>
        </w:rPr>
        <w:t>工作长期发挥效益，必须对其进行合理的管护。</w:t>
      </w:r>
    </w:p>
    <w:p w14:paraId="470BB868">
      <w:pPr>
        <w:widowControl/>
        <w:ind w:firstLine="560"/>
        <w:rPr>
          <w:kern w:val="0"/>
          <w:szCs w:val="28"/>
        </w:rPr>
      </w:pPr>
      <w:r>
        <w:rPr>
          <w:kern w:val="0"/>
          <w:szCs w:val="28"/>
        </w:rPr>
        <w:t>（1）管护对象</w:t>
      </w:r>
    </w:p>
    <w:p w14:paraId="27AE5AE1">
      <w:pPr>
        <w:widowControl/>
        <w:ind w:firstLine="560"/>
        <w:rPr>
          <w:kern w:val="0"/>
          <w:szCs w:val="28"/>
        </w:rPr>
      </w:pPr>
      <w:r>
        <w:rPr>
          <w:kern w:val="0"/>
          <w:szCs w:val="28"/>
        </w:rPr>
        <w:t>本复垦方案管护对象是</w:t>
      </w:r>
      <w:r>
        <w:rPr>
          <w:rFonts w:hint="eastAsia"/>
          <w:kern w:val="0"/>
          <w:szCs w:val="28"/>
        </w:rPr>
        <w:t>补栽的乔木</w:t>
      </w:r>
      <w:r>
        <w:rPr>
          <w:kern w:val="0"/>
          <w:szCs w:val="28"/>
        </w:rPr>
        <w:t>。</w:t>
      </w:r>
    </w:p>
    <w:p w14:paraId="66E12F32">
      <w:pPr>
        <w:widowControl/>
        <w:ind w:firstLine="560"/>
        <w:rPr>
          <w:kern w:val="0"/>
          <w:szCs w:val="28"/>
        </w:rPr>
      </w:pPr>
      <w:r>
        <w:rPr>
          <w:kern w:val="0"/>
          <w:szCs w:val="28"/>
        </w:rPr>
        <w:t>（2）管护时间</w:t>
      </w:r>
    </w:p>
    <w:p w14:paraId="67DC799D">
      <w:pPr>
        <w:widowControl/>
        <w:ind w:firstLine="560"/>
        <w:rPr>
          <w:kern w:val="0"/>
          <w:szCs w:val="28"/>
        </w:rPr>
      </w:pPr>
      <w:r>
        <w:rPr>
          <w:kern w:val="0"/>
          <w:szCs w:val="28"/>
        </w:rPr>
        <w:t>根据矿区的气候特点及植物生长情况，确定复垦后的林地管护时间为3年。</w:t>
      </w:r>
    </w:p>
    <w:p w14:paraId="10325DD2">
      <w:pPr>
        <w:widowControl/>
        <w:ind w:firstLine="560"/>
        <w:rPr>
          <w:kern w:val="0"/>
          <w:szCs w:val="28"/>
        </w:rPr>
      </w:pPr>
      <w:r>
        <w:rPr>
          <w:kern w:val="0"/>
          <w:szCs w:val="28"/>
        </w:rPr>
        <w:t>（3）管护方法</w:t>
      </w:r>
      <w:r>
        <w:rPr>
          <w:rFonts w:hint="eastAsia"/>
          <w:kern w:val="0"/>
          <w:szCs w:val="28"/>
        </w:rPr>
        <w:t>与管护责任</w:t>
      </w:r>
    </w:p>
    <w:p w14:paraId="7745F656">
      <w:pPr>
        <w:widowControl/>
        <w:ind w:firstLine="560"/>
        <w:rPr>
          <w:kern w:val="0"/>
          <w:szCs w:val="28"/>
        </w:rPr>
      </w:pPr>
      <w:r>
        <w:rPr>
          <w:rFonts w:hint="eastAsia"/>
          <w:kern w:val="0"/>
          <w:szCs w:val="28"/>
        </w:rPr>
        <w:t>补栽的乔木由矿山</w:t>
      </w:r>
      <w:r>
        <w:rPr>
          <w:kern w:val="0"/>
          <w:szCs w:val="28"/>
        </w:rPr>
        <w:t>设置专人</w:t>
      </w:r>
      <w:r>
        <w:rPr>
          <w:rFonts w:hint="eastAsia"/>
          <w:kern w:val="0"/>
          <w:szCs w:val="28"/>
        </w:rPr>
        <w:t>进行</w:t>
      </w:r>
      <w:r>
        <w:rPr>
          <w:kern w:val="0"/>
          <w:szCs w:val="28"/>
        </w:rPr>
        <w:t>管护</w:t>
      </w:r>
      <w:r>
        <w:rPr>
          <w:rFonts w:hint="eastAsia"/>
          <w:kern w:val="0"/>
          <w:szCs w:val="28"/>
        </w:rPr>
        <w:t>并担负管护责任，</w:t>
      </w:r>
      <w:r>
        <w:rPr>
          <w:kern w:val="0"/>
          <w:szCs w:val="28"/>
        </w:rPr>
        <w:t>矿山派专人负责苗木看护、补植、扶管、养护等日常管理工作。</w:t>
      </w:r>
    </w:p>
    <w:p w14:paraId="52083229">
      <w:pPr>
        <w:widowControl/>
        <w:ind w:firstLine="560"/>
        <w:rPr>
          <w:kern w:val="0"/>
          <w:szCs w:val="28"/>
        </w:rPr>
      </w:pPr>
      <w:r>
        <w:rPr>
          <w:kern w:val="0"/>
          <w:szCs w:val="28"/>
        </w:rPr>
        <w:t>（4）林地管护措施</w:t>
      </w:r>
    </w:p>
    <w:p w14:paraId="1F791E8C">
      <w:pPr>
        <w:widowControl/>
        <w:ind w:firstLine="560"/>
        <w:rPr>
          <w:kern w:val="0"/>
          <w:szCs w:val="28"/>
        </w:rPr>
      </w:pPr>
      <w:r>
        <w:rPr>
          <w:rFonts w:ascii="Cambria Math" w:hAnsi="Cambria Math" w:cs="Cambria Math"/>
          <w:kern w:val="0"/>
          <w:szCs w:val="28"/>
        </w:rPr>
        <w:t>①</w:t>
      </w:r>
      <w:r>
        <w:rPr>
          <w:kern w:val="0"/>
          <w:szCs w:val="28"/>
        </w:rPr>
        <w:t>抚育</w:t>
      </w:r>
    </w:p>
    <w:p w14:paraId="04959790">
      <w:pPr>
        <w:widowControl/>
        <w:ind w:firstLine="560"/>
        <w:rPr>
          <w:kern w:val="0"/>
          <w:szCs w:val="28"/>
        </w:rPr>
      </w:pPr>
      <w:r>
        <w:rPr>
          <w:kern w:val="0"/>
          <w:szCs w:val="28"/>
        </w:rPr>
        <w:t>矿区树木栽植当年抚育2－3次，需苗木扶正，适当培土。第2、3年每年抚育1－2次。植株抚育面积要逐年扩大。松土不可损伤植株和根系，松土深度宜浅，不超过10cm。</w:t>
      </w:r>
    </w:p>
    <w:p w14:paraId="21AFCA00">
      <w:pPr>
        <w:widowControl/>
        <w:ind w:firstLine="560"/>
        <w:rPr>
          <w:kern w:val="0"/>
          <w:szCs w:val="28"/>
        </w:rPr>
      </w:pPr>
      <w:r>
        <w:rPr>
          <w:rFonts w:ascii="Cambria Math" w:hAnsi="Cambria Math" w:cs="Cambria Math"/>
          <w:kern w:val="0"/>
          <w:szCs w:val="28"/>
        </w:rPr>
        <w:fldChar w:fldCharType="begin"/>
      </w:r>
      <w:r>
        <w:rPr>
          <w:rFonts w:ascii="Cambria Math" w:hAnsi="Cambria Math" w:cs="Cambria Math"/>
          <w:kern w:val="0"/>
          <w:szCs w:val="28"/>
        </w:rPr>
        <w:instrText xml:space="preserve"> </w:instrText>
      </w:r>
      <w:r>
        <w:rPr>
          <w:rFonts w:hint="eastAsia" w:ascii="Cambria Math" w:hAnsi="Cambria Math" w:cs="Cambria Math"/>
          <w:kern w:val="0"/>
          <w:szCs w:val="28"/>
        </w:rPr>
        <w:instrText xml:space="preserve">= 2 \* GB3</w:instrText>
      </w:r>
      <w:r>
        <w:rPr>
          <w:rFonts w:ascii="Cambria Math" w:hAnsi="Cambria Math" w:cs="Cambria Math"/>
          <w:kern w:val="0"/>
          <w:szCs w:val="28"/>
        </w:rPr>
        <w:instrText xml:space="preserve"> </w:instrText>
      </w:r>
      <w:r>
        <w:rPr>
          <w:rFonts w:ascii="Cambria Math" w:hAnsi="Cambria Math" w:cs="Cambria Math"/>
          <w:kern w:val="0"/>
          <w:szCs w:val="28"/>
        </w:rPr>
        <w:fldChar w:fldCharType="separate"/>
      </w:r>
      <w:r>
        <w:rPr>
          <w:rFonts w:hint="eastAsia" w:ascii="Cambria Math" w:hAnsi="Cambria Math" w:cs="Cambria Math"/>
          <w:kern w:val="0"/>
          <w:szCs w:val="28"/>
        </w:rPr>
        <w:t>②</w:t>
      </w:r>
      <w:r>
        <w:rPr>
          <w:rFonts w:ascii="Cambria Math" w:hAnsi="Cambria Math" w:cs="Cambria Math"/>
          <w:kern w:val="0"/>
          <w:szCs w:val="28"/>
        </w:rPr>
        <w:fldChar w:fldCharType="end"/>
      </w:r>
      <w:r>
        <w:rPr>
          <w:kern w:val="0"/>
          <w:szCs w:val="28"/>
        </w:rPr>
        <w:t>病虫害防治</w:t>
      </w:r>
    </w:p>
    <w:p w14:paraId="6FE52FC6">
      <w:pPr>
        <w:widowControl/>
        <w:ind w:firstLine="560"/>
        <w:rPr>
          <w:kern w:val="0"/>
          <w:szCs w:val="28"/>
        </w:rPr>
      </w:pPr>
      <w:r>
        <w:rPr>
          <w:kern w:val="0"/>
          <w:szCs w:val="28"/>
        </w:rPr>
        <w:t>人工林由于树种单一，相对天然林更容易受到病虫害的伤害。病虫害防治以预防为主，针对树木易染病虫害种类，掌握病虫害发生规律，及时采取适宜的药物进行预防治疗，保持植被良好的生长状态。</w:t>
      </w:r>
    </w:p>
    <w:p w14:paraId="4666AD99">
      <w:pPr>
        <w:widowControl/>
        <w:ind w:firstLine="560"/>
        <w:rPr>
          <w:kern w:val="0"/>
          <w:szCs w:val="28"/>
        </w:rPr>
      </w:pPr>
      <w:r>
        <w:rPr>
          <w:rFonts w:ascii="Cambria Math" w:hAnsi="Cambria Math" w:cs="Cambria Math"/>
          <w:kern w:val="0"/>
          <w:szCs w:val="28"/>
        </w:rPr>
        <w:fldChar w:fldCharType="begin"/>
      </w:r>
      <w:r>
        <w:rPr>
          <w:rFonts w:ascii="Cambria Math" w:hAnsi="Cambria Math" w:cs="Cambria Math"/>
          <w:kern w:val="0"/>
          <w:szCs w:val="28"/>
        </w:rPr>
        <w:instrText xml:space="preserve"> </w:instrText>
      </w:r>
      <w:r>
        <w:rPr>
          <w:rFonts w:hint="eastAsia" w:ascii="Cambria Math" w:hAnsi="Cambria Math" w:cs="Cambria Math"/>
          <w:kern w:val="0"/>
          <w:szCs w:val="28"/>
        </w:rPr>
        <w:instrText xml:space="preserve">= 3 \* GB3</w:instrText>
      </w:r>
      <w:r>
        <w:rPr>
          <w:rFonts w:ascii="Cambria Math" w:hAnsi="Cambria Math" w:cs="Cambria Math"/>
          <w:kern w:val="0"/>
          <w:szCs w:val="28"/>
        </w:rPr>
        <w:instrText xml:space="preserve"> </w:instrText>
      </w:r>
      <w:r>
        <w:rPr>
          <w:rFonts w:ascii="Cambria Math" w:hAnsi="Cambria Math" w:cs="Cambria Math"/>
          <w:kern w:val="0"/>
          <w:szCs w:val="28"/>
        </w:rPr>
        <w:fldChar w:fldCharType="separate"/>
      </w:r>
      <w:r>
        <w:rPr>
          <w:rFonts w:hint="eastAsia" w:ascii="Cambria Math" w:hAnsi="Cambria Math" w:cs="Cambria Math"/>
          <w:kern w:val="0"/>
          <w:szCs w:val="28"/>
        </w:rPr>
        <w:t>③</w:t>
      </w:r>
      <w:r>
        <w:rPr>
          <w:rFonts w:ascii="Cambria Math" w:hAnsi="Cambria Math" w:cs="Cambria Math"/>
          <w:kern w:val="0"/>
          <w:szCs w:val="28"/>
        </w:rPr>
        <w:fldChar w:fldCharType="end"/>
      </w:r>
      <w:r>
        <w:rPr>
          <w:kern w:val="0"/>
          <w:szCs w:val="28"/>
        </w:rPr>
        <w:t>补植</w:t>
      </w:r>
    </w:p>
    <w:p w14:paraId="6C1EAB5C">
      <w:pPr>
        <w:widowControl/>
        <w:ind w:firstLine="560"/>
        <w:rPr>
          <w:kern w:val="0"/>
          <w:szCs w:val="28"/>
        </w:rPr>
      </w:pPr>
      <w:r>
        <w:rPr>
          <w:kern w:val="0"/>
          <w:szCs w:val="28"/>
        </w:rPr>
        <w:t>在植被栽植后的前两个月内对缺苗的区域可以适当进行补种，保证矿区植被的成活率，尽可能快速恢复地表植被，防止地面水土流失等次生灾害的发生。一个生长季后未成活的树苗应及时清除并进行补植。</w:t>
      </w:r>
    </w:p>
    <w:p w14:paraId="0AA47B64">
      <w:pPr>
        <w:widowControl/>
        <w:ind w:firstLine="560"/>
        <w:rPr>
          <w:kern w:val="0"/>
          <w:szCs w:val="28"/>
        </w:rPr>
      </w:pPr>
      <w:r>
        <w:rPr>
          <w:rFonts w:hint="eastAsia"/>
          <w:kern w:val="0"/>
          <w:szCs w:val="28"/>
        </w:rPr>
        <w:t>2</w:t>
      </w:r>
      <w:r>
        <w:rPr>
          <w:kern w:val="0"/>
          <w:szCs w:val="28"/>
        </w:rPr>
        <w:t>.管护工程量统计</w:t>
      </w:r>
    </w:p>
    <w:p w14:paraId="631E6E9D">
      <w:pPr>
        <w:widowControl/>
        <w:ind w:firstLine="560"/>
        <w:rPr>
          <w:kern w:val="0"/>
        </w:rPr>
      </w:pPr>
      <w:r>
        <w:rPr>
          <w:kern w:val="0"/>
          <w:szCs w:val="28"/>
        </w:rPr>
        <w:t>根据土地复垦方案中管护工程设计，管护面积</w:t>
      </w:r>
      <w:r>
        <w:rPr>
          <w:rFonts w:hint="eastAsia"/>
          <w:kern w:val="0"/>
          <w:szCs w:val="28"/>
        </w:rPr>
        <w:t>按补栽乔木面积计算，本项目设计补栽</w:t>
      </w:r>
      <w:r>
        <w:rPr>
          <w:rFonts w:hint="eastAsia"/>
          <w:kern w:val="0"/>
          <w:szCs w:val="28"/>
          <w:lang w:eastAsia="zh-CN"/>
        </w:rPr>
        <w:t>落叶松4205</w:t>
      </w:r>
      <w:r>
        <w:rPr>
          <w:rFonts w:hint="eastAsia"/>
          <w:kern w:val="0"/>
          <w:szCs w:val="28"/>
        </w:rPr>
        <w:t>株，按照2500株/</w:t>
      </w:r>
      <w:r>
        <w:rPr>
          <w:kern w:val="0"/>
          <w:szCs w:val="28"/>
        </w:rPr>
        <w:t>h</w:t>
      </w:r>
      <w:r>
        <w:rPr>
          <w:rFonts w:hint="eastAsia"/>
          <w:kern w:val="0"/>
          <w:szCs w:val="28"/>
        </w:rPr>
        <w:t>m²密度计算，管护面积约为</w:t>
      </w:r>
      <w:r>
        <w:rPr>
          <w:rFonts w:hint="eastAsia"/>
          <w:lang w:eastAsia="zh-CN"/>
        </w:rPr>
        <w:t>1.5288</w:t>
      </w:r>
      <w:r>
        <w:rPr>
          <w:kern w:val="0"/>
          <w:szCs w:val="28"/>
        </w:rPr>
        <w:t>h</w:t>
      </w:r>
      <w:r>
        <w:rPr>
          <w:rFonts w:hint="eastAsia"/>
          <w:kern w:val="0"/>
          <w:szCs w:val="28"/>
        </w:rPr>
        <w:t>m²</w:t>
      </w:r>
      <w:r>
        <w:rPr>
          <w:kern w:val="0"/>
          <w:szCs w:val="28"/>
        </w:rPr>
        <w:t>。</w:t>
      </w:r>
    </w:p>
    <w:bookmarkEnd w:id="199"/>
    <w:p w14:paraId="21865B39">
      <w:pPr>
        <w:pStyle w:val="4"/>
        <w:ind w:firstLine="602"/>
        <w:rPr>
          <w:rFonts w:ascii="Times New Roman" w:hAnsi="Times New Roman"/>
          <w:szCs w:val="30"/>
        </w:rPr>
      </w:pPr>
      <w:bookmarkStart w:id="200" w:name="_Toc219050295"/>
      <w:bookmarkStart w:id="201" w:name="_Toc215692456"/>
      <w:bookmarkStart w:id="202" w:name="_Toc22952"/>
      <w:r>
        <w:rPr>
          <w:rFonts w:ascii="Times New Roman" w:hAnsi="Times New Roman"/>
          <w:szCs w:val="30"/>
        </w:rPr>
        <w:t>三、工程量</w:t>
      </w:r>
      <w:bookmarkEnd w:id="200"/>
      <w:bookmarkEnd w:id="201"/>
      <w:bookmarkEnd w:id="202"/>
    </w:p>
    <w:p w14:paraId="3A66598C">
      <w:pPr>
        <w:ind w:firstLine="560"/>
        <w:rPr>
          <w:rFonts w:hint="default" w:ascii="Times New Roman" w:hAnsi="Times New Roman" w:cs="Times New Roman"/>
          <w:kern w:val="0"/>
          <w:szCs w:val="28"/>
        </w:rPr>
      </w:pPr>
      <w:r>
        <w:rPr>
          <w:rFonts w:hint="default" w:ascii="Times New Roman" w:hAnsi="Times New Roman" w:cs="Times New Roman"/>
          <w:szCs w:val="28"/>
        </w:rPr>
        <w:t>矿山地质环境监测</w:t>
      </w:r>
      <w:r>
        <w:rPr>
          <w:rFonts w:hint="default" w:ascii="Times New Roman" w:hAnsi="Times New Roman" w:cs="Times New Roman"/>
          <w:szCs w:val="28"/>
          <w:lang w:val="en-US" w:eastAsia="zh-CN"/>
        </w:rPr>
        <w:t>180</w:t>
      </w:r>
      <w:r>
        <w:rPr>
          <w:rFonts w:hint="default" w:ascii="Times New Roman" w:hAnsi="Times New Roman" w:cs="Times New Roman"/>
          <w:szCs w:val="28"/>
        </w:rPr>
        <w:t>次</w:t>
      </w:r>
      <w:r>
        <w:rPr>
          <w:rFonts w:hint="default" w:ascii="Times New Roman" w:hAnsi="Times New Roman" w:cs="Times New Roman"/>
          <w:kern w:val="0"/>
          <w:szCs w:val="28"/>
        </w:rPr>
        <w:t>；</w:t>
      </w:r>
    </w:p>
    <w:p w14:paraId="1FD211E2">
      <w:pPr>
        <w:widowControl/>
        <w:ind w:firstLine="560"/>
        <w:rPr>
          <w:rFonts w:hint="default" w:ascii="Times New Roman" w:hAnsi="Times New Roman" w:cs="Times New Roman"/>
          <w:kern w:val="0"/>
          <w:szCs w:val="28"/>
        </w:rPr>
      </w:pPr>
      <w:bookmarkStart w:id="203" w:name="_Hlk215844092"/>
      <w:r>
        <w:rPr>
          <w:rFonts w:hint="default" w:ascii="Times New Roman" w:hAnsi="Times New Roman" w:cs="Times New Roman"/>
          <w:kern w:val="0"/>
          <w:szCs w:val="28"/>
        </w:rPr>
        <w:t>土地资源生态监测</w:t>
      </w:r>
      <w:r>
        <w:rPr>
          <w:rFonts w:hint="default" w:ascii="Times New Roman" w:hAnsi="Times New Roman" w:cs="Times New Roman"/>
          <w:bCs/>
          <w:kern w:val="0"/>
          <w:szCs w:val="28"/>
          <w:lang w:val="en-US" w:eastAsia="zh-CN"/>
        </w:rPr>
        <w:t>24</w:t>
      </w:r>
      <w:r>
        <w:rPr>
          <w:rFonts w:hint="default" w:ascii="Times New Roman" w:hAnsi="Times New Roman" w:cs="Times New Roman"/>
          <w:kern w:val="0"/>
          <w:szCs w:val="28"/>
        </w:rPr>
        <w:t>次；</w:t>
      </w:r>
    </w:p>
    <w:bookmarkEnd w:id="203"/>
    <w:p w14:paraId="2934E726">
      <w:pPr>
        <w:ind w:firstLine="560"/>
        <w:rPr>
          <w:rFonts w:hint="default" w:ascii="Times New Roman" w:hAnsi="Times New Roman" w:cs="Times New Roman"/>
          <w:color w:val="000000"/>
          <w:szCs w:val="28"/>
        </w:rPr>
      </w:pPr>
      <w:r>
        <w:rPr>
          <w:rFonts w:hint="default" w:ascii="Times New Roman" w:hAnsi="Times New Roman" w:cs="Times New Roman"/>
          <w:color w:val="000000"/>
          <w:szCs w:val="28"/>
          <w:lang w:eastAsia="zh-CN"/>
        </w:rPr>
        <w:t>矿山</w:t>
      </w:r>
      <w:r>
        <w:rPr>
          <w:rFonts w:hint="default" w:ascii="Times New Roman" w:hAnsi="Times New Roman" w:cs="Times New Roman"/>
          <w:color w:val="000000"/>
          <w:szCs w:val="28"/>
        </w:rPr>
        <w:t>涌水水质监测工程量为</w:t>
      </w:r>
      <w:r>
        <w:rPr>
          <w:rFonts w:hint="default" w:ascii="Times New Roman" w:hAnsi="Times New Roman" w:cs="Times New Roman"/>
          <w:color w:val="000000"/>
          <w:szCs w:val="28"/>
          <w:lang w:val="en-US" w:eastAsia="zh-CN"/>
        </w:rPr>
        <w:t>16</w:t>
      </w:r>
      <w:r>
        <w:rPr>
          <w:rFonts w:hint="default" w:ascii="Times New Roman" w:hAnsi="Times New Roman" w:cs="Times New Roman"/>
          <w:color w:val="000000"/>
          <w:szCs w:val="28"/>
        </w:rPr>
        <w:t>次；</w:t>
      </w:r>
    </w:p>
    <w:p w14:paraId="6D946ED9">
      <w:pPr>
        <w:ind w:firstLine="560"/>
        <w:rPr>
          <w:rFonts w:hint="default" w:ascii="Times New Roman" w:hAnsi="Times New Roman" w:cs="Times New Roman"/>
          <w:kern w:val="0"/>
          <w:szCs w:val="28"/>
        </w:rPr>
      </w:pPr>
      <w:r>
        <w:rPr>
          <w:rFonts w:hint="default" w:ascii="Times New Roman" w:hAnsi="Times New Roman" w:cs="Times New Roman"/>
          <w:color w:val="000000"/>
          <w:szCs w:val="28"/>
          <w:lang w:eastAsia="zh-CN"/>
        </w:rPr>
        <w:t>矿山</w:t>
      </w:r>
      <w:r>
        <w:rPr>
          <w:rFonts w:hint="default" w:ascii="Times New Roman" w:hAnsi="Times New Roman" w:cs="Times New Roman"/>
          <w:color w:val="000000"/>
          <w:szCs w:val="28"/>
        </w:rPr>
        <w:t>涌水水量监测工程量为</w:t>
      </w:r>
      <w:r>
        <w:rPr>
          <w:rFonts w:hint="default" w:ascii="Times New Roman" w:hAnsi="Times New Roman" w:cs="Times New Roman"/>
          <w:color w:val="000000"/>
          <w:szCs w:val="28"/>
          <w:lang w:val="en-US" w:eastAsia="zh-CN"/>
        </w:rPr>
        <w:t>96</w:t>
      </w:r>
      <w:r>
        <w:rPr>
          <w:rFonts w:hint="default" w:ascii="Times New Roman" w:hAnsi="Times New Roman" w:cs="Times New Roman"/>
          <w:color w:val="000000"/>
          <w:szCs w:val="28"/>
        </w:rPr>
        <w:t>次；</w:t>
      </w:r>
    </w:p>
    <w:p w14:paraId="586626F9">
      <w:pPr>
        <w:widowControl/>
        <w:ind w:firstLine="560"/>
        <w:rPr>
          <w:kern w:val="0"/>
          <w:szCs w:val="28"/>
        </w:rPr>
      </w:pPr>
      <w:r>
        <w:rPr>
          <w:rFonts w:hint="default" w:ascii="Times New Roman" w:hAnsi="Times New Roman" w:cs="Times New Roman"/>
          <w:kern w:val="0"/>
          <w:szCs w:val="28"/>
        </w:rPr>
        <w:t>管护面积为</w:t>
      </w:r>
      <w:r>
        <w:rPr>
          <w:rFonts w:hint="default" w:ascii="Times New Roman" w:hAnsi="Times New Roman" w:cs="Times New Roman"/>
          <w:lang w:eastAsia="zh-CN"/>
        </w:rPr>
        <w:t>1.5288</w:t>
      </w:r>
      <w:r>
        <w:rPr>
          <w:rFonts w:hint="default" w:ascii="Times New Roman" w:hAnsi="Times New Roman" w:cs="Times New Roman"/>
          <w:kern w:val="0"/>
          <w:szCs w:val="28"/>
        </w:rPr>
        <w:t>hm²，管护期3年。</w:t>
      </w:r>
    </w:p>
    <w:p w14:paraId="61F20AF4">
      <w:pPr>
        <w:widowControl/>
        <w:ind w:firstLine="560"/>
        <w:rPr>
          <w:kern w:val="0"/>
        </w:rPr>
      </w:pPr>
    </w:p>
    <w:p w14:paraId="1D9B0D15">
      <w:pPr>
        <w:pStyle w:val="3"/>
        <w:sectPr>
          <w:pgSz w:w="11906" w:h="16838"/>
          <w:pgMar w:top="1134" w:right="1134" w:bottom="1134" w:left="1418" w:header="851" w:footer="992" w:gutter="0"/>
          <w:pgNumType w:fmt="decimal"/>
          <w:cols w:space="720" w:num="1"/>
          <w:docGrid w:type="linesAndChars" w:linePitch="312" w:charSpace="0"/>
        </w:sectPr>
      </w:pPr>
      <w:bookmarkStart w:id="204" w:name="_Toc13017"/>
      <w:bookmarkStart w:id="205" w:name="_Toc517356177"/>
      <w:bookmarkStart w:id="206" w:name="_Toc14422152"/>
    </w:p>
    <w:p w14:paraId="60519B52">
      <w:pPr>
        <w:pStyle w:val="3"/>
      </w:pPr>
      <w:bookmarkStart w:id="207" w:name="_Toc215692457"/>
      <w:bookmarkStart w:id="208" w:name="_Toc2168"/>
      <w:bookmarkStart w:id="209" w:name="_Toc219050296"/>
      <w:r>
        <w:t>第六章工程部署与经费估算</w:t>
      </w:r>
      <w:bookmarkEnd w:id="207"/>
      <w:bookmarkEnd w:id="208"/>
      <w:bookmarkEnd w:id="209"/>
    </w:p>
    <w:p w14:paraId="35C07793">
      <w:pPr>
        <w:pStyle w:val="4"/>
        <w:ind w:firstLine="602"/>
        <w:rPr>
          <w:rFonts w:ascii="Times New Roman" w:hAnsi="Times New Roman"/>
        </w:rPr>
      </w:pPr>
      <w:bookmarkStart w:id="210" w:name="_Toc14625"/>
      <w:bookmarkStart w:id="211" w:name="_Toc215692458"/>
      <w:bookmarkStart w:id="212" w:name="_Toc219050297"/>
      <w:r>
        <w:rPr>
          <w:rFonts w:ascii="Times New Roman" w:hAnsi="Times New Roman"/>
        </w:rPr>
        <w:t>一、总体部署</w:t>
      </w:r>
      <w:bookmarkEnd w:id="210"/>
      <w:bookmarkEnd w:id="211"/>
      <w:bookmarkEnd w:id="212"/>
    </w:p>
    <w:p w14:paraId="33B813A0">
      <w:pPr>
        <w:pStyle w:val="5"/>
        <w:ind w:firstLine="562"/>
      </w:pPr>
      <w:r>
        <w:t>（一）总体目标</w:t>
      </w:r>
    </w:p>
    <w:p w14:paraId="7FE6382A">
      <w:pPr>
        <w:widowControl/>
        <w:ind w:firstLine="560"/>
        <w:rPr>
          <w:rFonts w:hint="eastAsia" w:ascii="宋体" w:hAnsi="宋体" w:cs="宋体"/>
          <w:szCs w:val="28"/>
        </w:rPr>
      </w:pPr>
      <w:r>
        <w:rPr>
          <w:rFonts w:hint="eastAsia" w:ascii="宋体" w:hAnsi="宋体" w:cs="宋体"/>
          <w:szCs w:val="28"/>
        </w:rPr>
        <w:t>整个矿山生态修复工作分为两个阶段制定矿区生态修复方案实施工作计划，分为生产期、闭矿期以及管护期。</w:t>
      </w:r>
    </w:p>
    <w:p w14:paraId="3E058D6F">
      <w:pPr>
        <w:widowControl/>
        <w:ind w:firstLine="560"/>
        <w:rPr>
          <w:rFonts w:hint="eastAsia" w:ascii="宋体" w:hAnsi="宋体" w:cs="宋体"/>
          <w:szCs w:val="28"/>
        </w:rPr>
      </w:pPr>
      <w:r>
        <w:rPr>
          <w:rFonts w:hint="eastAsia" w:ascii="宋体" w:hAnsi="宋体" w:cs="宋体"/>
          <w:szCs w:val="28"/>
        </w:rPr>
        <w:t>生产期主要落实</w:t>
      </w:r>
      <w:r>
        <w:rPr>
          <w:rFonts w:hint="eastAsia" w:ascii="宋体" w:hAnsi="宋体" w:cs="宋体"/>
          <w:szCs w:val="28"/>
          <w:lang w:eastAsia="zh-CN"/>
        </w:rPr>
        <w:t>地裂缝</w:t>
      </w:r>
      <w:r>
        <w:rPr>
          <w:rFonts w:hint="eastAsia" w:ascii="宋体" w:hAnsi="宋体" w:cs="宋体"/>
          <w:szCs w:val="28"/>
        </w:rPr>
        <w:t>综合治理以及土地生态资源监测、地下水监测等；闭矿期间要进行详细的施工设计，按照实施方案进行治理，管护期要落实复垦林地区域的植被管护工作。</w:t>
      </w:r>
    </w:p>
    <w:p w14:paraId="5DBF9429">
      <w:pPr>
        <w:pStyle w:val="5"/>
        <w:ind w:firstLine="562"/>
      </w:pPr>
      <w:r>
        <w:t>（二）总工作量</w:t>
      </w:r>
    </w:p>
    <w:p w14:paraId="19A3D88A">
      <w:pPr>
        <w:ind w:firstLine="560"/>
        <w:rPr>
          <w:bCs/>
        </w:rPr>
      </w:pPr>
      <w:r>
        <w:rPr>
          <w:bCs/>
        </w:rPr>
        <w:t>本方案项目区面积为</w:t>
      </w:r>
      <w:r>
        <w:rPr>
          <w:rFonts w:hint="eastAsia"/>
          <w:bCs/>
          <w:lang w:eastAsia="zh-CN"/>
        </w:rPr>
        <w:t>1.5288</w:t>
      </w:r>
      <w:r>
        <w:rPr>
          <w:bCs/>
        </w:rPr>
        <w:t>h</w:t>
      </w:r>
      <w:r>
        <w:rPr>
          <w:rFonts w:hint="eastAsia"/>
          <w:bCs/>
        </w:rPr>
        <w:t>m²</w:t>
      </w:r>
      <w:r>
        <w:rPr>
          <w:bCs/>
        </w:rPr>
        <w:t>，实际修复面积为</w:t>
      </w:r>
      <w:r>
        <w:rPr>
          <w:rFonts w:hint="eastAsia"/>
          <w:bCs/>
          <w:lang w:eastAsia="zh-CN"/>
        </w:rPr>
        <w:t>1.5288</w:t>
      </w:r>
      <w:r>
        <w:rPr>
          <w:bCs/>
        </w:rPr>
        <w:t>h</w:t>
      </w:r>
      <w:r>
        <w:rPr>
          <w:rFonts w:hint="eastAsia"/>
          <w:bCs/>
        </w:rPr>
        <w:t>m²，</w:t>
      </w:r>
      <w:r>
        <w:rPr>
          <w:bCs/>
        </w:rPr>
        <w:t>根据本方案修复目标设计的工程措施，可估算出矿区生态修复工程量详见表6-1。</w:t>
      </w:r>
    </w:p>
    <w:p w14:paraId="3DB6F256">
      <w:pPr>
        <w:pStyle w:val="57"/>
        <w:rPr>
          <w:rFonts w:ascii="Times New Roman" w:hAnsi="Times New Roman"/>
        </w:rPr>
      </w:pPr>
      <w:r>
        <w:rPr>
          <w:rFonts w:ascii="Times New Roman" w:hAnsi="Times New Roman"/>
        </w:rPr>
        <w:t>表6-1生态修复工程量统计表</w:t>
      </w:r>
    </w:p>
    <w:tbl>
      <w:tblPr>
        <w:tblStyle w:val="42"/>
        <w:tblW w:w="5000" w:type="pct"/>
        <w:tblInd w:w="0" w:type="dxa"/>
        <w:tblLayout w:type="autofit"/>
        <w:tblCellMar>
          <w:top w:w="0" w:type="dxa"/>
          <w:left w:w="108" w:type="dxa"/>
          <w:bottom w:w="0" w:type="dxa"/>
          <w:right w:w="108" w:type="dxa"/>
        </w:tblCellMar>
      </w:tblPr>
      <w:tblGrid>
        <w:gridCol w:w="1183"/>
        <w:gridCol w:w="5437"/>
        <w:gridCol w:w="1185"/>
        <w:gridCol w:w="1765"/>
      </w:tblGrid>
      <w:tr w14:paraId="4A48BB73">
        <w:tblPrEx>
          <w:tblCellMar>
            <w:top w:w="0" w:type="dxa"/>
            <w:left w:w="108" w:type="dxa"/>
            <w:bottom w:w="0" w:type="dxa"/>
            <w:right w:w="108" w:type="dxa"/>
          </w:tblCellMar>
        </w:tblPrEx>
        <w:trPr>
          <w:tblHeader/>
        </w:trPr>
        <w:tc>
          <w:tcPr>
            <w:tcW w:w="618" w:type="pct"/>
            <w:tcBorders>
              <w:top w:val="single" w:color="000000" w:sz="4" w:space="0"/>
              <w:left w:val="single" w:color="000000" w:sz="4" w:space="0"/>
              <w:bottom w:val="single" w:color="000000" w:sz="4" w:space="0"/>
              <w:right w:val="single" w:color="000000" w:sz="4" w:space="0"/>
            </w:tcBorders>
            <w:vAlign w:val="center"/>
          </w:tcPr>
          <w:p w14:paraId="2E7B9CAB">
            <w:pPr>
              <w:pStyle w:val="72"/>
              <w:rPr>
                <w:rFonts w:hint="eastAsia"/>
              </w:rPr>
            </w:pPr>
            <w:r>
              <w:rPr>
                <w:rFonts w:hint="eastAsia"/>
                <w:lang w:bidi="ar"/>
              </w:rPr>
              <w:t>序号</w:t>
            </w:r>
          </w:p>
        </w:tc>
        <w:tc>
          <w:tcPr>
            <w:tcW w:w="2840" w:type="pct"/>
            <w:tcBorders>
              <w:top w:val="single" w:color="000000" w:sz="4" w:space="0"/>
              <w:left w:val="single" w:color="000000" w:sz="4" w:space="0"/>
              <w:bottom w:val="single" w:color="000000" w:sz="4" w:space="0"/>
              <w:right w:val="single" w:color="000000" w:sz="4" w:space="0"/>
            </w:tcBorders>
            <w:vAlign w:val="center"/>
          </w:tcPr>
          <w:p w14:paraId="57361447">
            <w:pPr>
              <w:pStyle w:val="72"/>
              <w:rPr>
                <w:rFonts w:hint="eastAsia"/>
              </w:rPr>
            </w:pPr>
            <w:r>
              <w:rPr>
                <w:rFonts w:hint="eastAsia"/>
                <w:lang w:bidi="ar"/>
              </w:rPr>
              <w:t>工程类别</w:t>
            </w:r>
          </w:p>
        </w:tc>
        <w:tc>
          <w:tcPr>
            <w:tcW w:w="619" w:type="pct"/>
            <w:tcBorders>
              <w:top w:val="single" w:color="000000" w:sz="4" w:space="0"/>
              <w:left w:val="single" w:color="000000" w:sz="4" w:space="0"/>
              <w:bottom w:val="single" w:color="000000" w:sz="4" w:space="0"/>
              <w:right w:val="single" w:color="000000" w:sz="4" w:space="0"/>
            </w:tcBorders>
            <w:vAlign w:val="center"/>
          </w:tcPr>
          <w:p w14:paraId="50B4BE8F">
            <w:pPr>
              <w:pStyle w:val="72"/>
              <w:rPr>
                <w:rFonts w:hint="eastAsia"/>
              </w:rPr>
            </w:pPr>
            <w:r>
              <w:rPr>
                <w:rFonts w:hint="eastAsia"/>
                <w:lang w:bidi="ar"/>
              </w:rPr>
              <w:t>单位</w:t>
            </w:r>
          </w:p>
        </w:tc>
        <w:tc>
          <w:tcPr>
            <w:tcW w:w="922" w:type="pct"/>
            <w:tcBorders>
              <w:top w:val="single" w:color="000000" w:sz="4" w:space="0"/>
              <w:left w:val="single" w:color="000000" w:sz="4" w:space="0"/>
              <w:bottom w:val="single" w:color="000000" w:sz="4" w:space="0"/>
              <w:right w:val="single" w:color="000000" w:sz="4" w:space="0"/>
            </w:tcBorders>
            <w:vAlign w:val="center"/>
          </w:tcPr>
          <w:p w14:paraId="40FF5AD3">
            <w:pPr>
              <w:pStyle w:val="72"/>
              <w:rPr>
                <w:rFonts w:hint="eastAsia"/>
              </w:rPr>
            </w:pPr>
            <w:r>
              <w:rPr>
                <w:rFonts w:hint="eastAsia"/>
                <w:lang w:bidi="ar"/>
              </w:rPr>
              <w:t>工程量</w:t>
            </w:r>
          </w:p>
        </w:tc>
      </w:tr>
      <w:tr w14:paraId="489B516F">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vAlign w:val="center"/>
          </w:tcPr>
          <w:p w14:paraId="634C13D3">
            <w:pPr>
              <w:pStyle w:val="72"/>
              <w:ind w:firstLine="0" w:firstLineChars="0"/>
              <w:rPr>
                <w:rFonts w:hint="eastAsia"/>
                <w:b/>
                <w:bCs w:val="0"/>
              </w:rPr>
            </w:pPr>
            <w:r>
              <w:rPr>
                <w:rFonts w:hint="eastAsia"/>
                <w:lang w:bidi="ar"/>
              </w:rPr>
              <w:t>一</w:t>
            </w:r>
          </w:p>
        </w:tc>
        <w:tc>
          <w:tcPr>
            <w:tcW w:w="2840" w:type="pct"/>
            <w:tcBorders>
              <w:top w:val="single" w:color="000000" w:sz="4" w:space="0"/>
              <w:left w:val="single" w:color="000000" w:sz="4" w:space="0"/>
              <w:bottom w:val="single" w:color="000000" w:sz="4" w:space="0"/>
              <w:right w:val="single" w:color="000000" w:sz="4" w:space="0"/>
            </w:tcBorders>
            <w:vAlign w:val="center"/>
          </w:tcPr>
          <w:p w14:paraId="78A178D0">
            <w:pPr>
              <w:pStyle w:val="72"/>
              <w:ind w:firstLine="0" w:firstLineChars="0"/>
              <w:rPr>
                <w:rFonts w:hint="eastAsia"/>
                <w:b/>
                <w:bCs w:val="0"/>
              </w:rPr>
            </w:pPr>
            <w:r>
              <w:rPr>
                <w:rFonts w:hint="eastAsia"/>
                <w:lang w:bidi="ar"/>
              </w:rPr>
              <w:t>地质灾害治理</w:t>
            </w:r>
          </w:p>
        </w:tc>
        <w:tc>
          <w:tcPr>
            <w:tcW w:w="619" w:type="pct"/>
            <w:tcBorders>
              <w:top w:val="single" w:color="000000" w:sz="4" w:space="0"/>
              <w:left w:val="single" w:color="000000" w:sz="4" w:space="0"/>
              <w:bottom w:val="single" w:color="000000" w:sz="4" w:space="0"/>
              <w:right w:val="single" w:color="000000" w:sz="4" w:space="0"/>
            </w:tcBorders>
            <w:vAlign w:val="center"/>
          </w:tcPr>
          <w:p w14:paraId="65A4CABB">
            <w:pPr>
              <w:pStyle w:val="72"/>
              <w:ind w:firstLine="0" w:firstLineChars="0"/>
              <w:rPr>
                <w:rFonts w:hint="eastAsia"/>
              </w:rPr>
            </w:pPr>
          </w:p>
        </w:tc>
        <w:tc>
          <w:tcPr>
            <w:tcW w:w="922" w:type="pct"/>
            <w:tcBorders>
              <w:top w:val="single" w:color="000000" w:sz="4" w:space="0"/>
              <w:left w:val="single" w:color="000000" w:sz="4" w:space="0"/>
              <w:bottom w:val="single" w:color="000000" w:sz="4" w:space="0"/>
              <w:right w:val="single" w:color="000000" w:sz="4" w:space="0"/>
            </w:tcBorders>
            <w:vAlign w:val="center"/>
          </w:tcPr>
          <w:p w14:paraId="7E025BD8">
            <w:pPr>
              <w:pStyle w:val="72"/>
              <w:ind w:firstLine="0" w:firstLineChars="0"/>
              <w:rPr>
                <w:rFonts w:hint="eastAsia"/>
              </w:rPr>
            </w:pPr>
          </w:p>
        </w:tc>
      </w:tr>
      <w:tr w14:paraId="013D13E8">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vAlign w:val="center"/>
          </w:tcPr>
          <w:p w14:paraId="098FFAC6">
            <w:pPr>
              <w:pStyle w:val="72"/>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2840" w:type="pct"/>
            <w:tcBorders>
              <w:top w:val="single" w:color="000000" w:sz="4" w:space="0"/>
              <w:left w:val="single" w:color="000000" w:sz="4" w:space="0"/>
              <w:bottom w:val="single" w:color="000000" w:sz="4" w:space="0"/>
              <w:right w:val="single" w:color="000000" w:sz="4" w:space="0"/>
            </w:tcBorders>
            <w:vAlign w:val="center"/>
          </w:tcPr>
          <w:p w14:paraId="73944389">
            <w:pPr>
              <w:pStyle w:val="72"/>
              <w:ind w:firstLine="0" w:firstLineChars="0"/>
              <w:rPr>
                <w:rFonts w:hint="eastAsia"/>
              </w:rPr>
            </w:pPr>
            <w:r>
              <w:rPr>
                <w:rFonts w:hint="eastAsia"/>
              </w:rPr>
              <w:t>表土剥离</w:t>
            </w:r>
          </w:p>
        </w:tc>
        <w:tc>
          <w:tcPr>
            <w:tcW w:w="619" w:type="pct"/>
            <w:tcBorders>
              <w:top w:val="single" w:color="000000" w:sz="4" w:space="0"/>
              <w:left w:val="single" w:color="000000" w:sz="4" w:space="0"/>
              <w:bottom w:val="single" w:color="000000" w:sz="4" w:space="0"/>
              <w:right w:val="single" w:color="000000" w:sz="4" w:space="0"/>
            </w:tcBorders>
            <w:vAlign w:val="center"/>
          </w:tcPr>
          <w:p w14:paraId="19EFD529">
            <w:pPr>
              <w:pStyle w:val="72"/>
              <w:ind w:firstLine="0" w:firstLineChars="0"/>
              <w:rPr>
                <w:rFonts w:hint="eastAsia"/>
              </w:rPr>
            </w:pPr>
            <w:r>
              <w:rPr>
                <w:rFonts w:hint="default" w:ascii="Times New Roman" w:hAnsi="Times New Roman" w:cs="Times New Roman"/>
                <w:lang w:bidi="ar"/>
              </w:rPr>
              <w:t>m³</w:t>
            </w:r>
          </w:p>
        </w:tc>
        <w:tc>
          <w:tcPr>
            <w:tcW w:w="922" w:type="pct"/>
            <w:tcBorders>
              <w:top w:val="single" w:color="000000" w:sz="4" w:space="0"/>
              <w:left w:val="single" w:color="000000" w:sz="4" w:space="0"/>
              <w:bottom w:val="single" w:color="000000" w:sz="4" w:space="0"/>
              <w:right w:val="single" w:color="000000" w:sz="4" w:space="0"/>
            </w:tcBorders>
            <w:vAlign w:val="center"/>
          </w:tcPr>
          <w:p w14:paraId="20D13913">
            <w:pPr>
              <w:pStyle w:val="72"/>
              <w:ind w:firstLine="0" w:firstLineChars="0"/>
              <w:rPr>
                <w:rFonts w:hint="eastAsia"/>
              </w:rPr>
            </w:pPr>
            <w:r>
              <w:rPr>
                <w:rFonts w:hint="default" w:ascii="Times New Roman" w:hAnsi="Times New Roman" w:cs="Times New Roman"/>
                <w:lang w:val="en-US" w:eastAsia="zh-CN"/>
              </w:rPr>
              <w:t>3504</w:t>
            </w:r>
          </w:p>
        </w:tc>
      </w:tr>
      <w:tr w14:paraId="2EBA4C3C">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151A6">
            <w:pPr>
              <w:pStyle w:val="72"/>
              <w:rPr>
                <w:rFonts w:hint="eastAsia" w:ascii="Times New Roman" w:hAnsi="Times New Roman" w:cs="Times New Roman"/>
                <w:lang w:val="en-US" w:eastAsia="zh-CN"/>
              </w:rPr>
            </w:pPr>
            <w:r>
              <w:rPr>
                <w:rFonts w:hint="eastAsia" w:ascii="Times New Roman" w:hAnsi="Times New Roman" w:cs="Times New Roman"/>
                <w:lang w:val="en-US" w:eastAsia="zh-CN"/>
              </w:rPr>
              <w:t>2</w:t>
            </w:r>
          </w:p>
        </w:tc>
        <w:tc>
          <w:tcPr>
            <w:tcW w:w="2840" w:type="pct"/>
            <w:tcBorders>
              <w:top w:val="single" w:color="000000" w:sz="4" w:space="0"/>
              <w:left w:val="single" w:color="000000" w:sz="4" w:space="0"/>
              <w:bottom w:val="single" w:color="000000" w:sz="4" w:space="0"/>
              <w:right w:val="single" w:color="000000" w:sz="4" w:space="0"/>
            </w:tcBorders>
            <w:vAlign w:val="center"/>
          </w:tcPr>
          <w:p w14:paraId="421600C8">
            <w:pPr>
              <w:pStyle w:val="72"/>
              <w:ind w:firstLine="0" w:firstLineChars="0"/>
              <w:rPr>
                <w:rFonts w:hint="eastAsia"/>
              </w:rPr>
            </w:pPr>
            <w:r>
              <w:rPr>
                <w:rFonts w:hint="eastAsia"/>
                <w:lang w:val="en-US" w:eastAsia="zh-CN" w:bidi="ar"/>
              </w:rPr>
              <w:t>挡土墙</w:t>
            </w:r>
          </w:p>
        </w:tc>
        <w:tc>
          <w:tcPr>
            <w:tcW w:w="619" w:type="pct"/>
            <w:tcBorders>
              <w:top w:val="single" w:color="000000" w:sz="4" w:space="0"/>
              <w:left w:val="single" w:color="000000" w:sz="4" w:space="0"/>
              <w:bottom w:val="single" w:color="000000" w:sz="4" w:space="0"/>
              <w:right w:val="single" w:color="000000" w:sz="4" w:space="0"/>
            </w:tcBorders>
            <w:vAlign w:val="center"/>
          </w:tcPr>
          <w:p w14:paraId="6128D5D4">
            <w:pPr>
              <w:pStyle w:val="72"/>
              <w:ind w:firstLine="0" w:firstLineChars="0"/>
              <w:rPr>
                <w:rFonts w:hint="eastAsia"/>
              </w:rPr>
            </w:pPr>
            <w:r>
              <w:rPr>
                <w:rFonts w:hint="default" w:ascii="Times New Roman" w:hAnsi="Times New Roman" w:cs="Times New Roman"/>
                <w:lang w:bidi="ar"/>
              </w:rPr>
              <w:t>m</w:t>
            </w:r>
          </w:p>
        </w:tc>
        <w:tc>
          <w:tcPr>
            <w:tcW w:w="922" w:type="pct"/>
            <w:tcBorders>
              <w:top w:val="single" w:color="000000" w:sz="4" w:space="0"/>
              <w:left w:val="single" w:color="000000" w:sz="4" w:space="0"/>
              <w:bottom w:val="single" w:color="000000" w:sz="4" w:space="0"/>
              <w:right w:val="single" w:color="000000" w:sz="4" w:space="0"/>
            </w:tcBorders>
            <w:noWrap/>
            <w:vAlign w:val="center"/>
          </w:tcPr>
          <w:p w14:paraId="76A00E03">
            <w:pPr>
              <w:pStyle w:val="72"/>
              <w:ind w:firstLine="0" w:firstLineChars="0"/>
              <w:rPr>
                <w:rFonts w:hint="eastAsia" w:eastAsia="仿宋"/>
                <w:lang w:eastAsia="zh-CN"/>
              </w:rPr>
            </w:pPr>
            <w:r>
              <w:rPr>
                <w:rFonts w:hint="default" w:ascii="Times New Roman" w:hAnsi="Times New Roman" w:cs="Times New Roman"/>
                <w:lang w:val="en-US" w:eastAsia="zh-CN"/>
              </w:rPr>
              <w:t>75</w:t>
            </w:r>
          </w:p>
        </w:tc>
      </w:tr>
      <w:tr w14:paraId="40BF2001">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B6926">
            <w:pPr>
              <w:pStyle w:val="72"/>
              <w:rPr>
                <w:rFonts w:hint="eastAsia" w:ascii="Times New Roman" w:hAnsi="Times New Roman" w:cs="Times New Roman"/>
                <w:lang w:val="en-US" w:eastAsia="zh-CN"/>
              </w:rPr>
            </w:pPr>
            <w:r>
              <w:rPr>
                <w:rFonts w:hint="eastAsia" w:ascii="Times New Roman" w:hAnsi="Times New Roman" w:cs="Times New Roman"/>
                <w:lang w:val="en-US" w:eastAsia="zh-CN"/>
              </w:rPr>
              <w:t>3</w:t>
            </w:r>
          </w:p>
        </w:tc>
        <w:tc>
          <w:tcPr>
            <w:tcW w:w="2840" w:type="pct"/>
            <w:tcBorders>
              <w:top w:val="single" w:color="000000" w:sz="4" w:space="0"/>
              <w:left w:val="single" w:color="000000" w:sz="4" w:space="0"/>
              <w:bottom w:val="single" w:color="000000" w:sz="4" w:space="0"/>
              <w:right w:val="single" w:color="000000" w:sz="4" w:space="0"/>
            </w:tcBorders>
            <w:noWrap/>
            <w:vAlign w:val="center"/>
          </w:tcPr>
          <w:p w14:paraId="1CCD97FF">
            <w:pPr>
              <w:pStyle w:val="72"/>
              <w:ind w:firstLine="0" w:firstLineChars="0"/>
              <w:rPr>
                <w:rFonts w:hint="eastAsia"/>
              </w:rPr>
            </w:pPr>
            <w:r>
              <w:rPr>
                <w:rFonts w:hint="eastAsia"/>
              </w:rPr>
              <w:t>地裂缝充填</w:t>
            </w:r>
          </w:p>
        </w:tc>
        <w:tc>
          <w:tcPr>
            <w:tcW w:w="619" w:type="pct"/>
            <w:tcBorders>
              <w:top w:val="single" w:color="000000" w:sz="4" w:space="0"/>
              <w:left w:val="single" w:color="000000" w:sz="4" w:space="0"/>
              <w:bottom w:val="single" w:color="000000" w:sz="4" w:space="0"/>
              <w:right w:val="single" w:color="000000" w:sz="4" w:space="0"/>
            </w:tcBorders>
            <w:vAlign w:val="center"/>
          </w:tcPr>
          <w:p w14:paraId="164CC62A">
            <w:pPr>
              <w:pStyle w:val="72"/>
              <w:ind w:firstLine="0" w:firstLineChars="0"/>
              <w:rPr>
                <w:rFonts w:hint="eastAsia"/>
              </w:rPr>
            </w:pPr>
            <w:r>
              <w:rPr>
                <w:rFonts w:hint="default" w:ascii="Times New Roman" w:hAnsi="Times New Roman" w:cs="Times New Roman"/>
                <w:lang w:bidi="ar"/>
              </w:rPr>
              <w:t>m³</w:t>
            </w:r>
          </w:p>
        </w:tc>
        <w:tc>
          <w:tcPr>
            <w:tcW w:w="922" w:type="pct"/>
            <w:tcBorders>
              <w:top w:val="single" w:color="000000" w:sz="4" w:space="0"/>
              <w:left w:val="single" w:color="000000" w:sz="4" w:space="0"/>
              <w:bottom w:val="single" w:color="000000" w:sz="4" w:space="0"/>
              <w:right w:val="single" w:color="000000" w:sz="4" w:space="0"/>
            </w:tcBorders>
            <w:noWrap/>
            <w:vAlign w:val="center"/>
          </w:tcPr>
          <w:p w14:paraId="1A5AF966">
            <w:pPr>
              <w:pStyle w:val="72"/>
              <w:ind w:firstLine="0" w:firstLineChars="0"/>
              <w:rPr>
                <w:rFonts w:hint="eastAsia" w:eastAsia="仿宋"/>
                <w:lang w:eastAsia="zh-CN"/>
              </w:rPr>
            </w:pPr>
            <w:r>
              <w:rPr>
                <w:rFonts w:hint="default" w:ascii="Times New Roman" w:hAnsi="Times New Roman" w:cs="Times New Roman"/>
                <w:lang w:val="en-US" w:eastAsia="zh-CN"/>
              </w:rPr>
              <w:t>270</w:t>
            </w:r>
          </w:p>
        </w:tc>
      </w:tr>
      <w:tr w14:paraId="5FADBA3B">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BAD89">
            <w:pPr>
              <w:pStyle w:val="72"/>
              <w:rPr>
                <w:rFonts w:hint="eastAsia" w:ascii="Times New Roman" w:hAnsi="Times New Roman" w:cs="Times New Roman"/>
                <w:lang w:val="en-US" w:eastAsia="zh-CN"/>
              </w:rPr>
            </w:pPr>
            <w:r>
              <w:rPr>
                <w:rFonts w:hint="eastAsia" w:ascii="Times New Roman" w:hAnsi="Times New Roman" w:cs="Times New Roman"/>
                <w:lang w:val="en-US" w:eastAsia="zh-CN"/>
              </w:rPr>
              <w:t>4</w:t>
            </w:r>
          </w:p>
        </w:tc>
        <w:tc>
          <w:tcPr>
            <w:tcW w:w="2840" w:type="pct"/>
            <w:tcBorders>
              <w:top w:val="single" w:color="000000" w:sz="4" w:space="0"/>
              <w:left w:val="single" w:color="000000" w:sz="4" w:space="0"/>
              <w:bottom w:val="single" w:color="000000" w:sz="4" w:space="0"/>
              <w:right w:val="single" w:color="000000" w:sz="4" w:space="0"/>
            </w:tcBorders>
            <w:noWrap/>
            <w:vAlign w:val="center"/>
          </w:tcPr>
          <w:p w14:paraId="2F7D658B">
            <w:pPr>
              <w:pStyle w:val="72"/>
              <w:ind w:firstLine="0" w:firstLineChars="0"/>
              <w:rPr>
                <w:rFonts w:hint="eastAsia"/>
              </w:rPr>
            </w:pPr>
            <w:r>
              <w:rPr>
                <w:rFonts w:hint="eastAsia"/>
                <w:lang w:val="en-US" w:eastAsia="zh-CN"/>
              </w:rPr>
              <w:t>原三处废弃平硐封堵浆砌石砌筑</w:t>
            </w:r>
          </w:p>
        </w:tc>
        <w:tc>
          <w:tcPr>
            <w:tcW w:w="619" w:type="pct"/>
            <w:tcBorders>
              <w:top w:val="single" w:color="000000" w:sz="4" w:space="0"/>
              <w:left w:val="single" w:color="000000" w:sz="4" w:space="0"/>
              <w:bottom w:val="single" w:color="000000" w:sz="4" w:space="0"/>
              <w:right w:val="single" w:color="000000" w:sz="4" w:space="0"/>
            </w:tcBorders>
            <w:vAlign w:val="center"/>
          </w:tcPr>
          <w:p w14:paraId="78AD5A3D">
            <w:pPr>
              <w:pStyle w:val="72"/>
              <w:ind w:firstLine="0" w:firstLineChars="0"/>
              <w:rPr>
                <w:rFonts w:hint="eastAsia"/>
              </w:rPr>
            </w:pPr>
            <w:r>
              <w:rPr>
                <w:rFonts w:hint="default" w:ascii="Times New Roman" w:hAnsi="Times New Roman" w:cs="Times New Roman"/>
                <w:lang w:bidi="ar"/>
              </w:rPr>
              <w:t>m³</w:t>
            </w:r>
          </w:p>
        </w:tc>
        <w:tc>
          <w:tcPr>
            <w:tcW w:w="922" w:type="pct"/>
            <w:tcBorders>
              <w:top w:val="single" w:color="000000" w:sz="4" w:space="0"/>
              <w:left w:val="single" w:color="000000" w:sz="4" w:space="0"/>
              <w:bottom w:val="single" w:color="000000" w:sz="4" w:space="0"/>
              <w:right w:val="single" w:color="000000" w:sz="4" w:space="0"/>
            </w:tcBorders>
            <w:noWrap/>
            <w:vAlign w:val="center"/>
          </w:tcPr>
          <w:p w14:paraId="2D6BC0B6">
            <w:pPr>
              <w:pStyle w:val="72"/>
              <w:ind w:firstLine="0" w:firstLineChars="0"/>
              <w:rPr>
                <w:rFonts w:hint="eastAsia" w:eastAsia="仿宋"/>
                <w:lang w:eastAsia="zh-CN"/>
              </w:rPr>
            </w:pPr>
            <w:r>
              <w:rPr>
                <w:rFonts w:hint="default" w:ascii="Times New Roman" w:hAnsi="Times New Roman" w:cs="Times New Roman"/>
                <w:lang w:val="en-US" w:eastAsia="zh-CN"/>
              </w:rPr>
              <w:t>68.94</w:t>
            </w:r>
          </w:p>
        </w:tc>
      </w:tr>
      <w:tr w14:paraId="5A4FFB2F">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E5C9A">
            <w:pPr>
              <w:pStyle w:val="72"/>
              <w:rPr>
                <w:rFonts w:hint="eastAsia" w:ascii="Times New Roman" w:hAnsi="Times New Roman" w:cs="Times New Roman"/>
                <w:lang w:val="en-US" w:eastAsia="zh-CN"/>
              </w:rPr>
            </w:pPr>
            <w:r>
              <w:rPr>
                <w:rFonts w:hint="eastAsia" w:ascii="Times New Roman" w:hAnsi="Times New Roman" w:cs="Times New Roman"/>
                <w:lang w:val="en-US" w:eastAsia="zh-CN"/>
              </w:rPr>
              <w:t>5</w:t>
            </w:r>
          </w:p>
        </w:tc>
        <w:tc>
          <w:tcPr>
            <w:tcW w:w="2840" w:type="pct"/>
            <w:tcBorders>
              <w:top w:val="single" w:color="000000" w:sz="4" w:space="0"/>
              <w:left w:val="single" w:color="000000" w:sz="4" w:space="0"/>
              <w:bottom w:val="single" w:color="000000" w:sz="4" w:space="0"/>
              <w:right w:val="single" w:color="000000" w:sz="4" w:space="0"/>
            </w:tcBorders>
            <w:noWrap/>
            <w:vAlign w:val="center"/>
          </w:tcPr>
          <w:p w14:paraId="55C33A63">
            <w:pPr>
              <w:pStyle w:val="72"/>
              <w:ind w:firstLine="0" w:firstLineChars="0"/>
              <w:rPr>
                <w:rFonts w:hint="eastAsia"/>
              </w:rPr>
            </w:pPr>
            <w:r>
              <w:rPr>
                <w:rFonts w:hint="eastAsia"/>
                <w:lang w:val="en-US" w:eastAsia="zh-CN"/>
              </w:rPr>
              <w:t>原三处废弃封平硐堵浆废石回填</w:t>
            </w:r>
          </w:p>
        </w:tc>
        <w:tc>
          <w:tcPr>
            <w:tcW w:w="619" w:type="pct"/>
            <w:tcBorders>
              <w:top w:val="single" w:color="000000" w:sz="4" w:space="0"/>
              <w:left w:val="single" w:color="000000" w:sz="4" w:space="0"/>
              <w:bottom w:val="single" w:color="000000" w:sz="4" w:space="0"/>
              <w:right w:val="single" w:color="000000" w:sz="4" w:space="0"/>
            </w:tcBorders>
            <w:vAlign w:val="center"/>
          </w:tcPr>
          <w:p w14:paraId="3DA3DBE1">
            <w:pPr>
              <w:pStyle w:val="72"/>
              <w:ind w:firstLine="0" w:firstLineChars="0"/>
              <w:rPr>
                <w:rFonts w:hint="eastAsia"/>
              </w:rPr>
            </w:pPr>
            <w:r>
              <w:rPr>
                <w:rFonts w:hint="default" w:ascii="Times New Roman" w:hAnsi="Times New Roman" w:cs="Times New Roman"/>
                <w:lang w:bidi="ar"/>
              </w:rPr>
              <w:t>m³</w:t>
            </w:r>
          </w:p>
        </w:tc>
        <w:tc>
          <w:tcPr>
            <w:tcW w:w="922" w:type="pct"/>
            <w:tcBorders>
              <w:top w:val="single" w:color="000000" w:sz="4" w:space="0"/>
              <w:left w:val="single" w:color="000000" w:sz="4" w:space="0"/>
              <w:bottom w:val="single" w:color="000000" w:sz="4" w:space="0"/>
              <w:right w:val="single" w:color="000000" w:sz="4" w:space="0"/>
            </w:tcBorders>
            <w:noWrap/>
            <w:vAlign w:val="center"/>
          </w:tcPr>
          <w:p w14:paraId="52372080">
            <w:pPr>
              <w:pStyle w:val="72"/>
              <w:ind w:firstLine="0" w:firstLineChars="0"/>
              <w:rPr>
                <w:rFonts w:hint="eastAsia" w:eastAsia="仿宋"/>
                <w:lang w:eastAsia="zh-CN"/>
              </w:rPr>
            </w:pPr>
            <w:r>
              <w:rPr>
                <w:rFonts w:hint="default" w:ascii="Times New Roman" w:hAnsi="Times New Roman" w:cs="Times New Roman"/>
                <w:lang w:val="en-US" w:eastAsia="zh-CN"/>
              </w:rPr>
              <w:t>3600</w:t>
            </w:r>
          </w:p>
        </w:tc>
      </w:tr>
      <w:tr w14:paraId="4D4A3BB4">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42E4A">
            <w:pPr>
              <w:pStyle w:val="72"/>
              <w:rPr>
                <w:rFonts w:hint="eastAsia" w:ascii="Times New Roman" w:hAnsi="Times New Roman" w:cs="Times New Roman"/>
                <w:lang w:val="en-US" w:eastAsia="zh-CN"/>
              </w:rPr>
            </w:pPr>
            <w:r>
              <w:rPr>
                <w:rFonts w:hint="eastAsia" w:ascii="Times New Roman" w:hAnsi="Times New Roman" w:cs="Times New Roman"/>
                <w:lang w:val="en-US" w:eastAsia="zh-CN"/>
              </w:rPr>
              <w:t>6</w:t>
            </w:r>
          </w:p>
        </w:tc>
        <w:tc>
          <w:tcPr>
            <w:tcW w:w="2840" w:type="pct"/>
            <w:tcBorders>
              <w:top w:val="single" w:color="000000" w:sz="4" w:space="0"/>
              <w:left w:val="single" w:color="000000" w:sz="4" w:space="0"/>
              <w:bottom w:val="single" w:color="000000" w:sz="4" w:space="0"/>
              <w:right w:val="single" w:color="000000" w:sz="4" w:space="0"/>
            </w:tcBorders>
            <w:noWrap/>
            <w:vAlign w:val="center"/>
          </w:tcPr>
          <w:p w14:paraId="23509C29">
            <w:pPr>
              <w:pStyle w:val="72"/>
              <w:ind w:firstLine="0" w:firstLineChars="0"/>
              <w:rPr>
                <w:rFonts w:hint="eastAsia"/>
              </w:rPr>
            </w:pPr>
            <w:r>
              <w:rPr>
                <w:rFonts w:hint="eastAsia"/>
              </w:rPr>
              <w:t>场地平整</w:t>
            </w:r>
          </w:p>
        </w:tc>
        <w:tc>
          <w:tcPr>
            <w:tcW w:w="619" w:type="pct"/>
            <w:tcBorders>
              <w:top w:val="single" w:color="000000" w:sz="4" w:space="0"/>
              <w:left w:val="single" w:color="000000" w:sz="4" w:space="0"/>
              <w:bottom w:val="single" w:color="000000" w:sz="4" w:space="0"/>
              <w:right w:val="single" w:color="000000" w:sz="4" w:space="0"/>
            </w:tcBorders>
            <w:vAlign w:val="center"/>
          </w:tcPr>
          <w:p w14:paraId="66838B1D">
            <w:pPr>
              <w:pStyle w:val="72"/>
              <w:ind w:firstLine="0" w:firstLineChars="0"/>
              <w:rPr>
                <w:rFonts w:hint="eastAsia"/>
              </w:rPr>
            </w:pPr>
            <w:r>
              <w:rPr>
                <w:rFonts w:hint="default" w:ascii="Times New Roman" w:hAnsi="Times New Roman" w:cs="Times New Roman"/>
                <w:lang w:bidi="ar"/>
              </w:rPr>
              <w:t>m³</w:t>
            </w:r>
          </w:p>
        </w:tc>
        <w:tc>
          <w:tcPr>
            <w:tcW w:w="922" w:type="pct"/>
            <w:tcBorders>
              <w:top w:val="single" w:color="000000" w:sz="4" w:space="0"/>
              <w:left w:val="single" w:color="000000" w:sz="4" w:space="0"/>
              <w:bottom w:val="single" w:color="000000" w:sz="4" w:space="0"/>
              <w:right w:val="single" w:color="000000" w:sz="4" w:space="0"/>
            </w:tcBorders>
            <w:noWrap/>
            <w:vAlign w:val="center"/>
          </w:tcPr>
          <w:p w14:paraId="5F7CB68B">
            <w:pPr>
              <w:pStyle w:val="72"/>
              <w:ind w:firstLine="0" w:firstLineChars="0"/>
              <w:rPr>
                <w:rFonts w:hint="eastAsia" w:eastAsia="仿宋"/>
                <w:lang w:eastAsia="zh-CN"/>
              </w:rPr>
            </w:pPr>
            <w:r>
              <w:rPr>
                <w:rFonts w:hint="default" w:ascii="Times New Roman" w:hAnsi="Times New Roman" w:cs="Times New Roman"/>
                <w:lang w:val="en-US" w:eastAsia="zh-CN"/>
              </w:rPr>
              <w:t>2336</w:t>
            </w:r>
          </w:p>
        </w:tc>
      </w:tr>
      <w:tr w14:paraId="0C8941DA">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15078">
            <w:pPr>
              <w:pStyle w:val="72"/>
              <w:rPr>
                <w:rFonts w:hint="eastAsia" w:ascii="Times New Roman" w:hAnsi="Times New Roman" w:cs="Times New Roman"/>
                <w:lang w:val="en-US" w:eastAsia="zh-CN"/>
              </w:rPr>
            </w:pPr>
            <w:r>
              <w:rPr>
                <w:rFonts w:hint="eastAsia" w:ascii="Times New Roman" w:hAnsi="Times New Roman" w:cs="Times New Roman"/>
                <w:lang w:val="en-US" w:eastAsia="zh-CN"/>
              </w:rPr>
              <w:t>7</w:t>
            </w:r>
          </w:p>
        </w:tc>
        <w:tc>
          <w:tcPr>
            <w:tcW w:w="2840" w:type="pct"/>
            <w:tcBorders>
              <w:top w:val="single" w:color="000000" w:sz="4" w:space="0"/>
              <w:left w:val="single" w:color="000000" w:sz="4" w:space="0"/>
              <w:bottom w:val="single" w:color="000000" w:sz="4" w:space="0"/>
              <w:right w:val="single" w:color="000000" w:sz="4" w:space="0"/>
            </w:tcBorders>
            <w:noWrap/>
            <w:vAlign w:val="center"/>
          </w:tcPr>
          <w:p w14:paraId="65D8CA88">
            <w:pPr>
              <w:pStyle w:val="72"/>
              <w:ind w:firstLine="0" w:firstLineChars="0"/>
              <w:rPr>
                <w:rFonts w:hint="eastAsia"/>
              </w:rPr>
            </w:pPr>
            <w:r>
              <w:rPr>
                <w:rFonts w:hint="eastAsia"/>
                <w:lang w:val="en-US" w:eastAsia="zh-CN"/>
              </w:rPr>
              <w:t>购买表土</w:t>
            </w:r>
          </w:p>
        </w:tc>
        <w:tc>
          <w:tcPr>
            <w:tcW w:w="619" w:type="pct"/>
            <w:tcBorders>
              <w:top w:val="single" w:color="000000" w:sz="4" w:space="0"/>
              <w:left w:val="single" w:color="000000" w:sz="4" w:space="0"/>
              <w:bottom w:val="single" w:color="000000" w:sz="4" w:space="0"/>
              <w:right w:val="single" w:color="000000" w:sz="4" w:space="0"/>
            </w:tcBorders>
            <w:vAlign w:val="center"/>
          </w:tcPr>
          <w:p w14:paraId="48DEB36D">
            <w:pPr>
              <w:pStyle w:val="72"/>
              <w:ind w:firstLine="0" w:firstLineChars="0"/>
              <w:rPr>
                <w:rFonts w:hint="eastAsia"/>
              </w:rPr>
            </w:pPr>
            <w:r>
              <w:rPr>
                <w:rFonts w:hint="default" w:ascii="Times New Roman" w:hAnsi="Times New Roman" w:cs="Times New Roman"/>
                <w:lang w:bidi="ar"/>
              </w:rPr>
              <w:t>m³</w:t>
            </w:r>
          </w:p>
        </w:tc>
        <w:tc>
          <w:tcPr>
            <w:tcW w:w="922" w:type="pct"/>
            <w:tcBorders>
              <w:top w:val="single" w:color="000000" w:sz="4" w:space="0"/>
              <w:left w:val="single" w:color="000000" w:sz="4" w:space="0"/>
              <w:bottom w:val="single" w:color="000000" w:sz="4" w:space="0"/>
              <w:right w:val="single" w:color="000000" w:sz="4" w:space="0"/>
            </w:tcBorders>
            <w:noWrap/>
            <w:vAlign w:val="center"/>
          </w:tcPr>
          <w:p w14:paraId="22962548">
            <w:pPr>
              <w:pStyle w:val="72"/>
              <w:ind w:firstLine="0" w:firstLineChars="0"/>
              <w:rPr>
                <w:rFonts w:hint="eastAsia"/>
              </w:rPr>
            </w:pPr>
            <w:r>
              <w:rPr>
                <w:rFonts w:hint="default" w:ascii="Times New Roman" w:hAnsi="Times New Roman" w:cs="Times New Roman"/>
                <w:lang w:val="en-US" w:eastAsia="zh-CN"/>
              </w:rPr>
              <w:t>1082.4</w:t>
            </w:r>
          </w:p>
        </w:tc>
      </w:tr>
      <w:tr w14:paraId="2F4B6932">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00412">
            <w:pPr>
              <w:pStyle w:val="72"/>
              <w:rPr>
                <w:rFonts w:hint="eastAsia" w:ascii="Times New Roman" w:hAnsi="Times New Roman" w:cs="Times New Roman"/>
                <w:lang w:val="en-US" w:eastAsia="zh-CN"/>
              </w:rPr>
            </w:pPr>
            <w:r>
              <w:rPr>
                <w:rFonts w:hint="eastAsia" w:ascii="Times New Roman" w:hAnsi="Times New Roman" w:cs="Times New Roman"/>
                <w:lang w:val="en-US" w:eastAsia="zh-CN"/>
              </w:rPr>
              <w:t>8</w:t>
            </w:r>
          </w:p>
        </w:tc>
        <w:tc>
          <w:tcPr>
            <w:tcW w:w="2840" w:type="pct"/>
            <w:tcBorders>
              <w:top w:val="single" w:color="000000" w:sz="4" w:space="0"/>
              <w:left w:val="single" w:color="000000" w:sz="4" w:space="0"/>
              <w:bottom w:val="single" w:color="000000" w:sz="4" w:space="0"/>
              <w:right w:val="single" w:color="000000" w:sz="4" w:space="0"/>
            </w:tcBorders>
            <w:noWrap/>
            <w:vAlign w:val="center"/>
          </w:tcPr>
          <w:p w14:paraId="42592D56">
            <w:pPr>
              <w:pStyle w:val="72"/>
              <w:ind w:firstLine="0" w:firstLineChars="0"/>
              <w:rPr>
                <w:rFonts w:hint="eastAsia"/>
              </w:rPr>
            </w:pPr>
            <w:r>
              <w:rPr>
                <w:rFonts w:hint="eastAsia"/>
              </w:rPr>
              <w:t>表土回填</w:t>
            </w:r>
          </w:p>
        </w:tc>
        <w:tc>
          <w:tcPr>
            <w:tcW w:w="619" w:type="pct"/>
            <w:tcBorders>
              <w:top w:val="single" w:color="000000" w:sz="4" w:space="0"/>
              <w:left w:val="single" w:color="000000" w:sz="4" w:space="0"/>
              <w:bottom w:val="single" w:color="000000" w:sz="4" w:space="0"/>
              <w:right w:val="single" w:color="000000" w:sz="4" w:space="0"/>
            </w:tcBorders>
            <w:vAlign w:val="center"/>
          </w:tcPr>
          <w:p w14:paraId="722D0D63">
            <w:pPr>
              <w:pStyle w:val="72"/>
              <w:ind w:firstLine="0" w:firstLineChars="0"/>
              <w:rPr>
                <w:rFonts w:hint="eastAsia"/>
              </w:rPr>
            </w:pPr>
            <w:r>
              <w:rPr>
                <w:rFonts w:hint="default" w:ascii="Times New Roman" w:hAnsi="Times New Roman" w:cs="Times New Roman"/>
                <w:lang w:bidi="ar"/>
              </w:rPr>
              <w:t>m³</w:t>
            </w:r>
          </w:p>
        </w:tc>
        <w:tc>
          <w:tcPr>
            <w:tcW w:w="922" w:type="pct"/>
            <w:tcBorders>
              <w:top w:val="single" w:color="000000" w:sz="4" w:space="0"/>
              <w:left w:val="single" w:color="000000" w:sz="4" w:space="0"/>
              <w:bottom w:val="single" w:color="000000" w:sz="4" w:space="0"/>
              <w:right w:val="single" w:color="000000" w:sz="4" w:space="0"/>
            </w:tcBorders>
            <w:noWrap/>
            <w:vAlign w:val="center"/>
          </w:tcPr>
          <w:p w14:paraId="4567844D">
            <w:pPr>
              <w:pStyle w:val="72"/>
              <w:ind w:firstLine="0" w:firstLineChars="0"/>
              <w:rPr>
                <w:rFonts w:hint="eastAsia"/>
              </w:rPr>
            </w:pPr>
            <w:r>
              <w:rPr>
                <w:rFonts w:hint="default" w:ascii="Times New Roman" w:hAnsi="Times New Roman" w:cs="Times New Roman"/>
                <w:lang w:val="en-US" w:eastAsia="zh-CN"/>
              </w:rPr>
              <w:t>4586.4</w:t>
            </w:r>
          </w:p>
        </w:tc>
      </w:tr>
      <w:tr w14:paraId="1E47F129">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noWrap/>
            <w:vAlign w:val="center"/>
          </w:tcPr>
          <w:p w14:paraId="08B00D5C">
            <w:pPr>
              <w:pStyle w:val="72"/>
              <w:rPr>
                <w:rFonts w:hint="eastAsia" w:ascii="Times New Roman" w:hAnsi="Times New Roman" w:cs="Times New Roman"/>
                <w:lang w:val="en-US" w:eastAsia="zh-CN"/>
              </w:rPr>
            </w:pPr>
            <w:r>
              <w:rPr>
                <w:rFonts w:hint="eastAsia" w:ascii="Times New Roman" w:hAnsi="Times New Roman" w:cs="Times New Roman"/>
                <w:lang w:val="en-US" w:eastAsia="zh-CN"/>
              </w:rPr>
              <w:t>9</w:t>
            </w:r>
          </w:p>
        </w:tc>
        <w:tc>
          <w:tcPr>
            <w:tcW w:w="2840" w:type="pct"/>
            <w:tcBorders>
              <w:top w:val="single" w:color="000000" w:sz="4" w:space="0"/>
              <w:left w:val="single" w:color="000000" w:sz="4" w:space="0"/>
              <w:bottom w:val="single" w:color="000000" w:sz="4" w:space="0"/>
              <w:right w:val="single" w:color="000000" w:sz="4" w:space="0"/>
            </w:tcBorders>
            <w:noWrap/>
            <w:vAlign w:val="center"/>
          </w:tcPr>
          <w:p w14:paraId="64FD28A2">
            <w:pPr>
              <w:pStyle w:val="72"/>
              <w:ind w:firstLine="0" w:firstLineChars="0"/>
              <w:rPr>
                <w:rFonts w:hint="eastAsia"/>
                <w:b/>
                <w:bCs w:val="0"/>
              </w:rPr>
            </w:pPr>
            <w:r>
              <w:rPr>
                <w:rFonts w:hint="eastAsia"/>
                <w:lang w:val="en-US" w:eastAsia="zh-CN"/>
              </w:rPr>
              <w:t>栽植乔木</w:t>
            </w:r>
          </w:p>
        </w:tc>
        <w:tc>
          <w:tcPr>
            <w:tcW w:w="619" w:type="pct"/>
            <w:tcBorders>
              <w:top w:val="single" w:color="000000" w:sz="4" w:space="0"/>
              <w:left w:val="single" w:color="000000" w:sz="4" w:space="0"/>
              <w:bottom w:val="single" w:color="000000" w:sz="4" w:space="0"/>
              <w:right w:val="single" w:color="000000" w:sz="4" w:space="0"/>
            </w:tcBorders>
            <w:noWrap/>
            <w:vAlign w:val="center"/>
          </w:tcPr>
          <w:p w14:paraId="5F0CC11E">
            <w:pPr>
              <w:pStyle w:val="72"/>
              <w:ind w:firstLine="0" w:firstLineChars="0"/>
              <w:rPr>
                <w:rFonts w:hint="eastAsia"/>
              </w:rPr>
            </w:pPr>
            <w:r>
              <w:rPr>
                <w:rFonts w:hint="default" w:ascii="Times New Roman" w:hAnsi="Times New Roman" w:cs="Times New Roman"/>
              </w:rPr>
              <w:t>株</w:t>
            </w:r>
          </w:p>
        </w:tc>
        <w:tc>
          <w:tcPr>
            <w:tcW w:w="922" w:type="pct"/>
            <w:tcBorders>
              <w:top w:val="single" w:color="000000" w:sz="4" w:space="0"/>
              <w:left w:val="single" w:color="000000" w:sz="4" w:space="0"/>
              <w:bottom w:val="single" w:color="000000" w:sz="4" w:space="0"/>
              <w:right w:val="single" w:color="000000" w:sz="4" w:space="0"/>
            </w:tcBorders>
            <w:noWrap/>
            <w:vAlign w:val="center"/>
          </w:tcPr>
          <w:p w14:paraId="075975D1">
            <w:pPr>
              <w:pStyle w:val="72"/>
              <w:ind w:firstLine="0" w:firstLineChars="0"/>
              <w:rPr>
                <w:rFonts w:hint="eastAsia"/>
              </w:rPr>
            </w:pPr>
            <w:r>
              <w:rPr>
                <w:rFonts w:hint="default" w:ascii="Times New Roman" w:hAnsi="Times New Roman" w:cs="Times New Roman"/>
                <w:lang w:val="en-US" w:eastAsia="zh-CN"/>
              </w:rPr>
              <w:t>4205</w:t>
            </w:r>
          </w:p>
        </w:tc>
      </w:tr>
      <w:tr w14:paraId="60FD97F9">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vAlign w:val="center"/>
          </w:tcPr>
          <w:p w14:paraId="48FB807E">
            <w:pPr>
              <w:pStyle w:val="72"/>
              <w:rPr>
                <w:rFonts w:hint="default" w:ascii="Times New Roman" w:hAnsi="Times New Roman" w:cs="Times New Roman"/>
                <w:lang w:val="en-US" w:eastAsia="zh-CN"/>
              </w:rPr>
            </w:pPr>
            <w:r>
              <w:rPr>
                <w:rFonts w:hint="eastAsia" w:ascii="Times New Roman" w:hAnsi="Times New Roman" w:cs="Times New Roman"/>
                <w:lang w:val="en-US" w:eastAsia="zh-CN"/>
              </w:rPr>
              <w:t>10</w:t>
            </w:r>
          </w:p>
        </w:tc>
        <w:tc>
          <w:tcPr>
            <w:tcW w:w="2840" w:type="pct"/>
            <w:tcBorders>
              <w:top w:val="single" w:color="000000" w:sz="4" w:space="0"/>
              <w:left w:val="single" w:color="000000" w:sz="4" w:space="0"/>
              <w:bottom w:val="single" w:color="000000" w:sz="4" w:space="0"/>
              <w:right w:val="single" w:color="000000" w:sz="4" w:space="0"/>
            </w:tcBorders>
            <w:vAlign w:val="center"/>
          </w:tcPr>
          <w:p w14:paraId="737D505D">
            <w:pPr>
              <w:pStyle w:val="72"/>
              <w:ind w:firstLine="0" w:firstLineChars="0"/>
              <w:rPr>
                <w:rFonts w:hint="eastAsia"/>
              </w:rPr>
            </w:pPr>
            <w:r>
              <w:rPr>
                <w:rFonts w:hint="eastAsia"/>
                <w:lang w:val="en-US" w:eastAsia="zh-CN"/>
              </w:rPr>
              <w:t>表土养护紫花苜蓿</w:t>
            </w:r>
          </w:p>
        </w:tc>
        <w:tc>
          <w:tcPr>
            <w:tcW w:w="619" w:type="pct"/>
            <w:tcBorders>
              <w:top w:val="single" w:color="000000" w:sz="4" w:space="0"/>
              <w:left w:val="single" w:color="000000" w:sz="4" w:space="0"/>
              <w:bottom w:val="single" w:color="000000" w:sz="4" w:space="0"/>
              <w:right w:val="single" w:color="000000" w:sz="4" w:space="0"/>
            </w:tcBorders>
            <w:vAlign w:val="center"/>
          </w:tcPr>
          <w:p w14:paraId="298103E3">
            <w:pPr>
              <w:pStyle w:val="72"/>
              <w:ind w:firstLine="0" w:firstLineChars="0"/>
              <w:rPr>
                <w:rFonts w:hint="eastAsia"/>
              </w:rPr>
            </w:pPr>
            <w:r>
              <w:rPr>
                <w:rFonts w:hint="default" w:ascii="Times New Roman" w:hAnsi="Times New Roman" w:cs="Times New Roman"/>
                <w:lang w:bidi="ar"/>
              </w:rPr>
              <w:t>hm</w:t>
            </w:r>
            <w:r>
              <w:rPr>
                <w:rFonts w:hint="default" w:ascii="Times New Roman" w:hAnsi="Times New Roman" w:cs="Times New Roman"/>
                <w:vertAlign w:val="superscript"/>
                <w:lang w:bidi="ar"/>
              </w:rPr>
              <w:t>2</w:t>
            </w:r>
          </w:p>
        </w:tc>
        <w:tc>
          <w:tcPr>
            <w:tcW w:w="922" w:type="pct"/>
            <w:tcBorders>
              <w:top w:val="single" w:color="000000" w:sz="4" w:space="0"/>
              <w:left w:val="single" w:color="000000" w:sz="4" w:space="0"/>
              <w:bottom w:val="single" w:color="000000" w:sz="4" w:space="0"/>
              <w:right w:val="single" w:color="000000" w:sz="4" w:space="0"/>
            </w:tcBorders>
            <w:noWrap/>
            <w:vAlign w:val="center"/>
          </w:tcPr>
          <w:p w14:paraId="557ED7EE">
            <w:pPr>
              <w:pStyle w:val="72"/>
              <w:ind w:firstLine="0" w:firstLineChars="0"/>
              <w:rPr>
                <w:rFonts w:hint="eastAsia"/>
              </w:rPr>
            </w:pPr>
            <w:r>
              <w:rPr>
                <w:rFonts w:hint="default" w:ascii="Times New Roman" w:hAnsi="Times New Roman" w:cs="Times New Roman"/>
                <w:lang w:val="en-US" w:eastAsia="zh-CN"/>
              </w:rPr>
              <w:t>2.4</w:t>
            </w:r>
          </w:p>
        </w:tc>
      </w:tr>
      <w:tr w14:paraId="7467A686">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vAlign w:val="center"/>
          </w:tcPr>
          <w:p w14:paraId="7BBC26B6">
            <w:pPr>
              <w:pStyle w:val="72"/>
              <w:rPr>
                <w:rFonts w:hint="eastAsia" w:ascii="Times New Roman" w:hAnsi="Times New Roman" w:cs="Times New Roman"/>
                <w:lang w:val="en-US" w:eastAsia="zh-CN"/>
              </w:rPr>
            </w:pPr>
            <w:r>
              <w:rPr>
                <w:rFonts w:hint="eastAsia" w:ascii="Times New Roman" w:hAnsi="Times New Roman" w:cs="Times New Roman"/>
                <w:lang w:val="en-US" w:eastAsia="zh-CN"/>
              </w:rPr>
              <w:t>二</w:t>
            </w:r>
          </w:p>
        </w:tc>
        <w:tc>
          <w:tcPr>
            <w:tcW w:w="2840" w:type="pct"/>
            <w:tcBorders>
              <w:top w:val="single" w:color="000000" w:sz="4" w:space="0"/>
              <w:left w:val="single" w:color="000000" w:sz="4" w:space="0"/>
              <w:bottom w:val="single" w:color="000000" w:sz="4" w:space="0"/>
              <w:right w:val="single" w:color="000000" w:sz="4" w:space="0"/>
            </w:tcBorders>
            <w:vAlign w:val="center"/>
          </w:tcPr>
          <w:p w14:paraId="7C260C99">
            <w:pPr>
              <w:pStyle w:val="72"/>
              <w:ind w:firstLine="0" w:firstLineChars="0"/>
              <w:rPr>
                <w:rFonts w:hint="eastAsia"/>
              </w:rPr>
            </w:pPr>
            <w:r>
              <w:rPr>
                <w:rFonts w:hint="eastAsia"/>
                <w:lang w:bidi="ar"/>
              </w:rPr>
              <w:t>地貌重塑</w:t>
            </w:r>
          </w:p>
        </w:tc>
        <w:tc>
          <w:tcPr>
            <w:tcW w:w="619" w:type="pct"/>
            <w:tcBorders>
              <w:top w:val="single" w:color="000000" w:sz="4" w:space="0"/>
              <w:left w:val="single" w:color="000000" w:sz="4" w:space="0"/>
              <w:bottom w:val="single" w:color="000000" w:sz="4" w:space="0"/>
              <w:right w:val="single" w:color="000000" w:sz="4" w:space="0"/>
            </w:tcBorders>
            <w:vAlign w:val="center"/>
          </w:tcPr>
          <w:p w14:paraId="5ABE4CC8">
            <w:pPr>
              <w:pStyle w:val="72"/>
              <w:ind w:firstLine="0" w:firstLineChars="0"/>
              <w:rPr>
                <w:rFonts w:hint="eastAsia"/>
              </w:rPr>
            </w:pPr>
          </w:p>
        </w:tc>
        <w:tc>
          <w:tcPr>
            <w:tcW w:w="922" w:type="pct"/>
            <w:tcBorders>
              <w:top w:val="single" w:color="000000" w:sz="4" w:space="0"/>
              <w:left w:val="single" w:color="000000" w:sz="4" w:space="0"/>
              <w:bottom w:val="single" w:color="000000" w:sz="4" w:space="0"/>
              <w:right w:val="single" w:color="000000" w:sz="4" w:space="0"/>
            </w:tcBorders>
            <w:noWrap/>
            <w:vAlign w:val="center"/>
          </w:tcPr>
          <w:p w14:paraId="51947098">
            <w:pPr>
              <w:pStyle w:val="72"/>
              <w:ind w:firstLine="0" w:firstLineChars="0"/>
              <w:rPr>
                <w:rFonts w:hint="eastAsia" w:eastAsia="仿宋"/>
                <w:lang w:eastAsia="zh-CN"/>
              </w:rPr>
            </w:pPr>
          </w:p>
        </w:tc>
      </w:tr>
      <w:tr w14:paraId="6EEF8CA2">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C61C2">
            <w:pPr>
              <w:pStyle w:val="72"/>
              <w:rPr>
                <w:rFonts w:hint="eastAsia" w:ascii="Times New Roman" w:hAnsi="Times New Roman" w:cs="Times New Roman"/>
                <w:lang w:val="en-US" w:eastAsia="zh-CN"/>
              </w:rPr>
            </w:pPr>
            <w:r>
              <w:rPr>
                <w:rFonts w:hint="eastAsia" w:ascii="Times New Roman" w:hAnsi="Times New Roman" w:cs="Times New Roman"/>
                <w:lang w:val="en-US" w:eastAsia="zh-CN"/>
              </w:rPr>
              <w:t>11</w:t>
            </w:r>
          </w:p>
        </w:tc>
        <w:tc>
          <w:tcPr>
            <w:tcW w:w="2840" w:type="pct"/>
            <w:tcBorders>
              <w:top w:val="single" w:color="000000" w:sz="4" w:space="0"/>
              <w:left w:val="single" w:color="000000" w:sz="4" w:space="0"/>
              <w:bottom w:val="single" w:color="000000" w:sz="4" w:space="0"/>
              <w:right w:val="single" w:color="000000" w:sz="4" w:space="0"/>
            </w:tcBorders>
            <w:vAlign w:val="center"/>
          </w:tcPr>
          <w:p w14:paraId="23EF2BB7">
            <w:pPr>
              <w:pStyle w:val="72"/>
              <w:ind w:firstLine="0" w:firstLineChars="0"/>
              <w:rPr>
                <w:rFonts w:hint="eastAsia"/>
              </w:rPr>
            </w:pPr>
            <w:r>
              <w:rPr>
                <w:rFonts w:hint="eastAsia"/>
              </w:rPr>
              <w:t>水泥浆砌砖建筑拆除</w:t>
            </w:r>
          </w:p>
        </w:tc>
        <w:tc>
          <w:tcPr>
            <w:tcW w:w="619" w:type="pct"/>
            <w:tcBorders>
              <w:top w:val="single" w:color="000000" w:sz="4" w:space="0"/>
              <w:left w:val="single" w:color="000000" w:sz="4" w:space="0"/>
              <w:bottom w:val="single" w:color="000000" w:sz="4" w:space="0"/>
              <w:right w:val="single" w:color="000000" w:sz="4" w:space="0"/>
            </w:tcBorders>
            <w:vAlign w:val="center"/>
          </w:tcPr>
          <w:p w14:paraId="296CD5F6">
            <w:pPr>
              <w:pStyle w:val="72"/>
              <w:ind w:firstLine="0" w:firstLineChars="0"/>
              <w:rPr>
                <w:rFonts w:hint="eastAsia"/>
              </w:rPr>
            </w:pPr>
            <w:r>
              <w:rPr>
                <w:rFonts w:hint="default" w:ascii="Times New Roman" w:hAnsi="Times New Roman" w:cs="Times New Roman"/>
                <w:lang w:bidi="ar"/>
              </w:rPr>
              <w:t>m³</w:t>
            </w:r>
          </w:p>
        </w:tc>
        <w:tc>
          <w:tcPr>
            <w:tcW w:w="922" w:type="pct"/>
            <w:tcBorders>
              <w:top w:val="single" w:color="000000" w:sz="4" w:space="0"/>
              <w:left w:val="single" w:color="000000" w:sz="4" w:space="0"/>
              <w:bottom w:val="single" w:color="000000" w:sz="4" w:space="0"/>
              <w:right w:val="single" w:color="000000" w:sz="4" w:space="0"/>
            </w:tcBorders>
            <w:noWrap/>
            <w:vAlign w:val="top"/>
          </w:tcPr>
          <w:p w14:paraId="4F5906F9">
            <w:pPr>
              <w:pStyle w:val="72"/>
              <w:ind w:firstLine="0" w:firstLineChars="0"/>
              <w:rPr>
                <w:rFonts w:hint="eastAsia"/>
              </w:rPr>
            </w:pPr>
            <w:r>
              <w:rPr>
                <w:rFonts w:hint="default" w:ascii="Times New Roman" w:hAnsi="Times New Roman" w:cs="Times New Roman"/>
                <w:lang w:val="en-US" w:eastAsia="zh-CN"/>
              </w:rPr>
              <w:t>1693</w:t>
            </w:r>
          </w:p>
        </w:tc>
      </w:tr>
      <w:tr w14:paraId="04043F33">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30DFF">
            <w:pPr>
              <w:pStyle w:val="72"/>
              <w:rPr>
                <w:rFonts w:hint="eastAsia" w:ascii="Times New Roman" w:hAnsi="Times New Roman" w:cs="Times New Roman"/>
                <w:lang w:val="en-US" w:eastAsia="zh-CN"/>
              </w:rPr>
            </w:pPr>
            <w:r>
              <w:rPr>
                <w:rFonts w:hint="eastAsia" w:ascii="Times New Roman" w:hAnsi="Times New Roman" w:cs="Times New Roman"/>
                <w:lang w:val="en-US" w:eastAsia="zh-CN"/>
              </w:rPr>
              <w:t>12</w:t>
            </w:r>
          </w:p>
        </w:tc>
        <w:tc>
          <w:tcPr>
            <w:tcW w:w="2840" w:type="pct"/>
            <w:tcBorders>
              <w:top w:val="single" w:color="000000" w:sz="4" w:space="0"/>
              <w:left w:val="single" w:color="000000" w:sz="4" w:space="0"/>
              <w:bottom w:val="single" w:color="000000" w:sz="4" w:space="0"/>
              <w:right w:val="single" w:color="000000" w:sz="4" w:space="0"/>
            </w:tcBorders>
            <w:vAlign w:val="center"/>
          </w:tcPr>
          <w:p w14:paraId="656CE63F">
            <w:pPr>
              <w:pStyle w:val="72"/>
              <w:ind w:firstLine="0" w:firstLineChars="0"/>
              <w:rPr>
                <w:rFonts w:hint="eastAsia"/>
              </w:rPr>
            </w:pPr>
            <w:r>
              <w:rPr>
                <w:rFonts w:hint="eastAsia"/>
                <w:lang w:val="en-US" w:eastAsia="zh-CN"/>
              </w:rPr>
              <w:t>清理硬盖层</w:t>
            </w:r>
          </w:p>
        </w:tc>
        <w:tc>
          <w:tcPr>
            <w:tcW w:w="619" w:type="pct"/>
            <w:tcBorders>
              <w:top w:val="single" w:color="000000" w:sz="4" w:space="0"/>
              <w:left w:val="single" w:color="000000" w:sz="4" w:space="0"/>
              <w:bottom w:val="single" w:color="000000" w:sz="4" w:space="0"/>
              <w:right w:val="single" w:color="000000" w:sz="4" w:space="0"/>
            </w:tcBorders>
            <w:vAlign w:val="center"/>
          </w:tcPr>
          <w:p w14:paraId="1DC9ED69">
            <w:pPr>
              <w:pStyle w:val="72"/>
              <w:ind w:firstLine="0" w:firstLineChars="0"/>
              <w:rPr>
                <w:rFonts w:hint="eastAsia"/>
              </w:rPr>
            </w:pPr>
            <w:r>
              <w:rPr>
                <w:rFonts w:hint="default" w:ascii="Times New Roman" w:hAnsi="Times New Roman" w:cs="Times New Roman"/>
                <w:lang w:bidi="ar"/>
              </w:rPr>
              <w:t>m³</w:t>
            </w:r>
          </w:p>
        </w:tc>
        <w:tc>
          <w:tcPr>
            <w:tcW w:w="922" w:type="pct"/>
            <w:tcBorders>
              <w:top w:val="single" w:color="000000" w:sz="4" w:space="0"/>
              <w:left w:val="single" w:color="000000" w:sz="4" w:space="0"/>
              <w:bottom w:val="single" w:color="000000" w:sz="4" w:space="0"/>
              <w:right w:val="single" w:color="000000" w:sz="4" w:space="0"/>
            </w:tcBorders>
            <w:vAlign w:val="top"/>
          </w:tcPr>
          <w:p w14:paraId="66A5858C">
            <w:pPr>
              <w:pStyle w:val="72"/>
              <w:ind w:firstLine="0" w:firstLineChars="0"/>
              <w:rPr>
                <w:rFonts w:hint="eastAsia"/>
              </w:rPr>
            </w:pPr>
            <w:r>
              <w:rPr>
                <w:rFonts w:hint="default" w:ascii="Times New Roman" w:hAnsi="Times New Roman" w:cs="Times New Roman"/>
                <w:lang w:val="en-US" w:eastAsia="zh-CN"/>
              </w:rPr>
              <w:t>3057.6</w:t>
            </w:r>
          </w:p>
        </w:tc>
      </w:tr>
      <w:tr w14:paraId="00D20AB7">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vAlign w:val="center"/>
          </w:tcPr>
          <w:p w14:paraId="31F94665">
            <w:pPr>
              <w:pStyle w:val="72"/>
              <w:rPr>
                <w:rFonts w:hint="default" w:ascii="Times New Roman" w:hAnsi="Times New Roman" w:cs="Times New Roman"/>
                <w:lang w:val="en-US" w:eastAsia="zh-CN"/>
              </w:rPr>
            </w:pPr>
            <w:r>
              <w:rPr>
                <w:rFonts w:hint="eastAsia" w:ascii="Times New Roman" w:hAnsi="Times New Roman" w:cs="Times New Roman"/>
                <w:lang w:val="en-US" w:eastAsia="zh-CN"/>
              </w:rPr>
              <w:t>13</w:t>
            </w:r>
          </w:p>
        </w:tc>
        <w:tc>
          <w:tcPr>
            <w:tcW w:w="2840" w:type="pct"/>
            <w:tcBorders>
              <w:top w:val="single" w:color="000000" w:sz="4" w:space="0"/>
              <w:left w:val="single" w:color="000000" w:sz="4" w:space="0"/>
              <w:bottom w:val="single" w:color="000000" w:sz="4" w:space="0"/>
              <w:right w:val="single" w:color="000000" w:sz="4" w:space="0"/>
            </w:tcBorders>
            <w:vAlign w:val="center"/>
          </w:tcPr>
          <w:p w14:paraId="430E5361">
            <w:pPr>
              <w:pStyle w:val="72"/>
              <w:ind w:firstLine="0" w:firstLineChars="0"/>
              <w:rPr>
                <w:rFonts w:hint="eastAsia"/>
              </w:rPr>
            </w:pPr>
            <w:r>
              <w:rPr>
                <w:rFonts w:hint="eastAsia"/>
                <w:lang w:val="en-US" w:eastAsia="zh-CN"/>
              </w:rPr>
              <w:t>运输拆除建筑物及硬盖层回填井下</w:t>
            </w:r>
          </w:p>
        </w:tc>
        <w:tc>
          <w:tcPr>
            <w:tcW w:w="619" w:type="pct"/>
            <w:tcBorders>
              <w:top w:val="single" w:color="000000" w:sz="4" w:space="0"/>
              <w:left w:val="single" w:color="000000" w:sz="4" w:space="0"/>
              <w:bottom w:val="single" w:color="000000" w:sz="4" w:space="0"/>
              <w:right w:val="single" w:color="000000" w:sz="4" w:space="0"/>
            </w:tcBorders>
            <w:vAlign w:val="center"/>
          </w:tcPr>
          <w:p w14:paraId="17A17D0B">
            <w:pPr>
              <w:pStyle w:val="72"/>
              <w:ind w:firstLine="0" w:firstLineChars="0"/>
              <w:rPr>
                <w:rFonts w:hint="eastAsia"/>
              </w:rPr>
            </w:pPr>
            <w:r>
              <w:rPr>
                <w:rFonts w:hint="default" w:ascii="Times New Roman" w:hAnsi="Times New Roman" w:cs="Times New Roman"/>
                <w:lang w:bidi="ar"/>
              </w:rPr>
              <w:t>m³</w:t>
            </w:r>
          </w:p>
        </w:tc>
        <w:tc>
          <w:tcPr>
            <w:tcW w:w="922" w:type="pct"/>
            <w:tcBorders>
              <w:top w:val="single" w:color="000000" w:sz="4" w:space="0"/>
              <w:left w:val="single" w:color="000000" w:sz="4" w:space="0"/>
              <w:bottom w:val="single" w:color="000000" w:sz="4" w:space="0"/>
              <w:right w:val="single" w:color="000000" w:sz="4" w:space="0"/>
            </w:tcBorders>
            <w:vAlign w:val="top"/>
          </w:tcPr>
          <w:p w14:paraId="2946C971">
            <w:pPr>
              <w:pStyle w:val="72"/>
              <w:ind w:firstLine="0" w:firstLineChars="0"/>
              <w:rPr>
                <w:rFonts w:hint="eastAsia"/>
              </w:rPr>
            </w:pPr>
            <w:r>
              <w:rPr>
                <w:rFonts w:hint="default" w:ascii="Times New Roman" w:hAnsi="Times New Roman" w:cs="Times New Roman"/>
                <w:lang w:val="en-US" w:eastAsia="zh-CN"/>
              </w:rPr>
              <w:t>4749.6</w:t>
            </w:r>
          </w:p>
        </w:tc>
      </w:tr>
      <w:tr w14:paraId="6EB24CE8">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vAlign w:val="center"/>
          </w:tcPr>
          <w:p w14:paraId="14F1B2D3">
            <w:pPr>
              <w:pStyle w:val="72"/>
              <w:rPr>
                <w:rFonts w:hint="default" w:ascii="Times New Roman" w:hAnsi="Times New Roman" w:cs="Times New Roman"/>
                <w:lang w:val="en-US" w:eastAsia="zh-CN"/>
              </w:rPr>
            </w:pPr>
            <w:r>
              <w:rPr>
                <w:rFonts w:hint="eastAsia" w:ascii="Times New Roman" w:hAnsi="Times New Roman" w:cs="Times New Roman"/>
                <w:lang w:val="en-US" w:eastAsia="zh-CN"/>
              </w:rPr>
              <w:t>14</w:t>
            </w:r>
          </w:p>
        </w:tc>
        <w:tc>
          <w:tcPr>
            <w:tcW w:w="2840" w:type="pct"/>
            <w:tcBorders>
              <w:top w:val="single" w:color="000000" w:sz="4" w:space="0"/>
              <w:left w:val="single" w:color="000000" w:sz="4" w:space="0"/>
              <w:bottom w:val="single" w:color="000000" w:sz="4" w:space="0"/>
              <w:right w:val="single" w:color="000000" w:sz="4" w:space="0"/>
            </w:tcBorders>
            <w:vAlign w:val="center"/>
          </w:tcPr>
          <w:p w14:paraId="1765FFCE">
            <w:pPr>
              <w:pStyle w:val="72"/>
              <w:ind w:firstLine="0" w:firstLineChars="0"/>
              <w:rPr>
                <w:rFonts w:hint="eastAsia"/>
              </w:rPr>
            </w:pPr>
            <w:r>
              <w:rPr>
                <w:rFonts w:hint="eastAsia"/>
                <w:lang w:val="en-US" w:eastAsia="zh-CN"/>
              </w:rPr>
              <w:t>土地平整</w:t>
            </w:r>
          </w:p>
        </w:tc>
        <w:tc>
          <w:tcPr>
            <w:tcW w:w="619" w:type="pct"/>
            <w:tcBorders>
              <w:top w:val="single" w:color="000000" w:sz="4" w:space="0"/>
              <w:left w:val="single" w:color="000000" w:sz="4" w:space="0"/>
              <w:bottom w:val="single" w:color="000000" w:sz="4" w:space="0"/>
              <w:right w:val="single" w:color="000000" w:sz="4" w:space="0"/>
            </w:tcBorders>
            <w:vAlign w:val="top"/>
          </w:tcPr>
          <w:p w14:paraId="3F1334D3">
            <w:pPr>
              <w:pStyle w:val="72"/>
              <w:ind w:firstLine="0" w:firstLineChars="0"/>
              <w:rPr>
                <w:rFonts w:hint="eastAsia"/>
              </w:rPr>
            </w:pPr>
            <w:r>
              <w:rPr>
                <w:rFonts w:hint="default" w:ascii="Times New Roman" w:hAnsi="Times New Roman" w:cs="Times New Roman"/>
                <w:lang w:bidi="ar"/>
              </w:rPr>
              <w:t>m³</w:t>
            </w:r>
          </w:p>
        </w:tc>
        <w:tc>
          <w:tcPr>
            <w:tcW w:w="922" w:type="pct"/>
            <w:tcBorders>
              <w:top w:val="single" w:color="000000" w:sz="4" w:space="0"/>
              <w:left w:val="single" w:color="000000" w:sz="4" w:space="0"/>
              <w:bottom w:val="single" w:color="000000" w:sz="4" w:space="0"/>
              <w:right w:val="single" w:color="000000" w:sz="4" w:space="0"/>
            </w:tcBorders>
            <w:vAlign w:val="center"/>
          </w:tcPr>
          <w:p w14:paraId="5EDE6093">
            <w:pPr>
              <w:pStyle w:val="72"/>
              <w:ind w:firstLine="0" w:firstLineChars="0"/>
              <w:rPr>
                <w:rFonts w:hint="eastAsia" w:eastAsia="仿宋"/>
                <w:lang w:eastAsia="zh-CN"/>
              </w:rPr>
            </w:pPr>
            <w:r>
              <w:rPr>
                <w:rFonts w:hint="default" w:ascii="Times New Roman" w:hAnsi="Times New Roman" w:cs="Times New Roman"/>
                <w:lang w:val="en-US" w:eastAsia="zh-CN"/>
              </w:rPr>
              <w:t>3057.6</w:t>
            </w:r>
          </w:p>
        </w:tc>
      </w:tr>
      <w:tr w14:paraId="73E3DA4C">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vAlign w:val="center"/>
          </w:tcPr>
          <w:p w14:paraId="0F0EAB62">
            <w:pPr>
              <w:pStyle w:val="72"/>
              <w:rPr>
                <w:rFonts w:hint="eastAsia" w:ascii="Times New Roman" w:hAnsi="Times New Roman" w:cs="Times New Roman"/>
                <w:lang w:val="en-US" w:eastAsia="zh-CN"/>
              </w:rPr>
            </w:pPr>
            <w:r>
              <w:rPr>
                <w:rFonts w:hint="eastAsia" w:ascii="Times New Roman" w:hAnsi="Times New Roman" w:cs="Times New Roman"/>
                <w:lang w:val="en-US" w:eastAsia="zh-CN"/>
              </w:rPr>
              <w:t>三</w:t>
            </w:r>
          </w:p>
        </w:tc>
        <w:tc>
          <w:tcPr>
            <w:tcW w:w="2840" w:type="pct"/>
            <w:tcBorders>
              <w:top w:val="single" w:color="000000" w:sz="4" w:space="0"/>
              <w:left w:val="single" w:color="000000" w:sz="4" w:space="0"/>
              <w:bottom w:val="single" w:color="000000" w:sz="4" w:space="0"/>
              <w:right w:val="single" w:color="000000" w:sz="4" w:space="0"/>
            </w:tcBorders>
            <w:vAlign w:val="center"/>
          </w:tcPr>
          <w:p w14:paraId="40D1835A">
            <w:pPr>
              <w:pStyle w:val="72"/>
              <w:rPr>
                <w:rFonts w:hint="eastAsia"/>
                <w:b/>
                <w:bCs w:val="0"/>
              </w:rPr>
            </w:pPr>
            <w:r>
              <w:rPr>
                <w:rFonts w:hint="eastAsia"/>
                <w:b/>
                <w:bCs w:val="0"/>
                <w:lang w:bidi="ar"/>
              </w:rPr>
              <w:t>监测与管护</w:t>
            </w:r>
          </w:p>
        </w:tc>
        <w:tc>
          <w:tcPr>
            <w:tcW w:w="619" w:type="pct"/>
            <w:tcBorders>
              <w:top w:val="single" w:color="000000" w:sz="4" w:space="0"/>
              <w:left w:val="single" w:color="000000" w:sz="4" w:space="0"/>
              <w:bottom w:val="single" w:color="000000" w:sz="4" w:space="0"/>
              <w:right w:val="single" w:color="000000" w:sz="4" w:space="0"/>
            </w:tcBorders>
            <w:vAlign w:val="center"/>
          </w:tcPr>
          <w:p w14:paraId="40A8E8BD">
            <w:pPr>
              <w:pStyle w:val="72"/>
              <w:rPr>
                <w:rFonts w:hint="eastAsia"/>
              </w:rPr>
            </w:pPr>
          </w:p>
        </w:tc>
        <w:tc>
          <w:tcPr>
            <w:tcW w:w="922" w:type="pct"/>
            <w:tcBorders>
              <w:top w:val="single" w:color="000000" w:sz="4" w:space="0"/>
              <w:left w:val="single" w:color="000000" w:sz="4" w:space="0"/>
              <w:bottom w:val="single" w:color="000000" w:sz="4" w:space="0"/>
              <w:right w:val="single" w:color="000000" w:sz="4" w:space="0"/>
            </w:tcBorders>
            <w:vAlign w:val="center"/>
          </w:tcPr>
          <w:p w14:paraId="2AF57AB8">
            <w:pPr>
              <w:pStyle w:val="72"/>
              <w:rPr>
                <w:rFonts w:hint="eastAsia"/>
              </w:rPr>
            </w:pPr>
          </w:p>
        </w:tc>
      </w:tr>
      <w:tr w14:paraId="79F46183">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vAlign w:val="center"/>
          </w:tcPr>
          <w:p w14:paraId="073A82EF">
            <w:pPr>
              <w:pStyle w:val="72"/>
              <w:rPr>
                <w:rFonts w:hint="eastAsia" w:ascii="Times New Roman" w:hAnsi="Times New Roman" w:cs="Times New Roman"/>
                <w:lang w:val="en-US" w:eastAsia="zh-CN"/>
              </w:rPr>
            </w:pPr>
            <w:r>
              <w:rPr>
                <w:rFonts w:hint="eastAsia" w:ascii="Times New Roman" w:hAnsi="Times New Roman" w:cs="Times New Roman"/>
                <w:lang w:val="en-US" w:eastAsia="zh-CN"/>
              </w:rPr>
              <w:t>15</w:t>
            </w:r>
          </w:p>
        </w:tc>
        <w:tc>
          <w:tcPr>
            <w:tcW w:w="2840" w:type="pct"/>
            <w:tcBorders>
              <w:top w:val="single" w:color="000000" w:sz="4" w:space="0"/>
              <w:left w:val="single" w:color="000000" w:sz="4" w:space="0"/>
              <w:bottom w:val="single" w:color="000000" w:sz="4" w:space="0"/>
              <w:right w:val="single" w:color="000000" w:sz="4" w:space="0"/>
            </w:tcBorders>
            <w:vAlign w:val="center"/>
          </w:tcPr>
          <w:p w14:paraId="6ABDBEE6">
            <w:pPr>
              <w:pStyle w:val="72"/>
              <w:rPr>
                <w:rFonts w:hint="eastAsia"/>
              </w:rPr>
            </w:pPr>
            <w:r>
              <w:rPr>
                <w:rFonts w:hint="eastAsia"/>
                <w:lang w:bidi="ar"/>
              </w:rPr>
              <w:t>矿山地质环境监测</w:t>
            </w:r>
          </w:p>
        </w:tc>
        <w:tc>
          <w:tcPr>
            <w:tcW w:w="619" w:type="pct"/>
            <w:tcBorders>
              <w:top w:val="single" w:color="000000" w:sz="4" w:space="0"/>
              <w:left w:val="single" w:color="000000" w:sz="4" w:space="0"/>
              <w:bottom w:val="single" w:color="000000" w:sz="4" w:space="0"/>
              <w:right w:val="single" w:color="000000" w:sz="4" w:space="0"/>
            </w:tcBorders>
            <w:vAlign w:val="center"/>
          </w:tcPr>
          <w:p w14:paraId="0C51609D">
            <w:pPr>
              <w:pStyle w:val="72"/>
              <w:rPr>
                <w:rFonts w:hint="eastAsia"/>
              </w:rPr>
            </w:pPr>
            <w:r>
              <w:rPr>
                <w:rFonts w:hint="eastAsia"/>
                <w:lang w:bidi="ar"/>
              </w:rPr>
              <w:t>次</w:t>
            </w:r>
          </w:p>
        </w:tc>
        <w:tc>
          <w:tcPr>
            <w:tcW w:w="922" w:type="pct"/>
            <w:tcBorders>
              <w:top w:val="single" w:color="000000" w:sz="4" w:space="0"/>
              <w:left w:val="single" w:color="000000" w:sz="4" w:space="0"/>
              <w:bottom w:val="single" w:color="000000" w:sz="4" w:space="0"/>
              <w:right w:val="single" w:color="000000" w:sz="4" w:space="0"/>
            </w:tcBorders>
            <w:vAlign w:val="center"/>
          </w:tcPr>
          <w:p w14:paraId="28F41F75">
            <w:pPr>
              <w:pStyle w:val="72"/>
              <w:ind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180</w:t>
            </w:r>
          </w:p>
        </w:tc>
      </w:tr>
      <w:tr w14:paraId="0FB0C614">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vAlign w:val="center"/>
          </w:tcPr>
          <w:p w14:paraId="2F4DC58B">
            <w:pPr>
              <w:pStyle w:val="72"/>
              <w:rPr>
                <w:rFonts w:hint="eastAsia" w:ascii="Times New Roman" w:hAnsi="Times New Roman" w:cs="Times New Roman"/>
                <w:lang w:val="en-US" w:eastAsia="zh-CN"/>
              </w:rPr>
            </w:pPr>
            <w:r>
              <w:rPr>
                <w:rFonts w:hint="eastAsia" w:ascii="Times New Roman" w:hAnsi="Times New Roman" w:cs="Times New Roman"/>
                <w:lang w:val="en-US" w:eastAsia="zh-CN"/>
              </w:rPr>
              <w:t>16</w:t>
            </w:r>
          </w:p>
        </w:tc>
        <w:tc>
          <w:tcPr>
            <w:tcW w:w="2840" w:type="pct"/>
            <w:tcBorders>
              <w:top w:val="single" w:color="000000" w:sz="4" w:space="0"/>
              <w:left w:val="single" w:color="000000" w:sz="4" w:space="0"/>
              <w:bottom w:val="single" w:color="000000" w:sz="4" w:space="0"/>
              <w:right w:val="single" w:color="000000" w:sz="4" w:space="0"/>
            </w:tcBorders>
            <w:vAlign w:val="center"/>
          </w:tcPr>
          <w:p w14:paraId="55A02F26">
            <w:pPr>
              <w:pStyle w:val="72"/>
              <w:rPr>
                <w:rFonts w:hint="eastAsia"/>
              </w:rPr>
            </w:pPr>
            <w:r>
              <w:rPr>
                <w:rFonts w:hint="eastAsia"/>
                <w:lang w:bidi="ar"/>
              </w:rPr>
              <w:t>土地资源生态监测</w:t>
            </w:r>
          </w:p>
        </w:tc>
        <w:tc>
          <w:tcPr>
            <w:tcW w:w="619" w:type="pct"/>
            <w:tcBorders>
              <w:top w:val="single" w:color="000000" w:sz="4" w:space="0"/>
              <w:left w:val="single" w:color="000000" w:sz="4" w:space="0"/>
              <w:bottom w:val="single" w:color="000000" w:sz="4" w:space="0"/>
              <w:right w:val="single" w:color="000000" w:sz="4" w:space="0"/>
            </w:tcBorders>
            <w:vAlign w:val="center"/>
          </w:tcPr>
          <w:p w14:paraId="7D3DB3D8">
            <w:pPr>
              <w:pStyle w:val="72"/>
              <w:rPr>
                <w:rFonts w:hint="eastAsia"/>
              </w:rPr>
            </w:pPr>
            <w:r>
              <w:rPr>
                <w:rFonts w:hint="eastAsia"/>
                <w:lang w:bidi="ar"/>
              </w:rPr>
              <w:t>次</w:t>
            </w:r>
          </w:p>
        </w:tc>
        <w:tc>
          <w:tcPr>
            <w:tcW w:w="922" w:type="pct"/>
            <w:tcBorders>
              <w:top w:val="single" w:color="000000" w:sz="4" w:space="0"/>
              <w:left w:val="single" w:color="000000" w:sz="4" w:space="0"/>
              <w:bottom w:val="single" w:color="000000" w:sz="4" w:space="0"/>
              <w:right w:val="single" w:color="000000" w:sz="4" w:space="0"/>
            </w:tcBorders>
            <w:vAlign w:val="center"/>
          </w:tcPr>
          <w:p w14:paraId="43296D04">
            <w:pPr>
              <w:pStyle w:val="72"/>
              <w:ind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24</w:t>
            </w:r>
          </w:p>
        </w:tc>
      </w:tr>
      <w:tr w14:paraId="6E1E026E">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vAlign w:val="center"/>
          </w:tcPr>
          <w:p w14:paraId="504805FC">
            <w:pPr>
              <w:pStyle w:val="72"/>
              <w:rPr>
                <w:rFonts w:hint="eastAsia" w:ascii="Times New Roman" w:hAnsi="Times New Roman" w:cs="Times New Roman"/>
                <w:lang w:val="en-US" w:eastAsia="zh-CN"/>
              </w:rPr>
            </w:pPr>
            <w:r>
              <w:rPr>
                <w:rFonts w:hint="eastAsia" w:ascii="Times New Roman" w:hAnsi="Times New Roman" w:cs="Times New Roman"/>
                <w:lang w:val="en-US" w:eastAsia="zh-CN"/>
              </w:rPr>
              <w:t>17</w:t>
            </w:r>
          </w:p>
        </w:tc>
        <w:tc>
          <w:tcPr>
            <w:tcW w:w="2840" w:type="pct"/>
            <w:tcBorders>
              <w:top w:val="single" w:color="000000" w:sz="4" w:space="0"/>
              <w:left w:val="single" w:color="000000" w:sz="4" w:space="0"/>
              <w:bottom w:val="single" w:color="000000" w:sz="4" w:space="0"/>
              <w:right w:val="single" w:color="000000" w:sz="4" w:space="0"/>
            </w:tcBorders>
            <w:vAlign w:val="center"/>
          </w:tcPr>
          <w:p w14:paraId="761A744D">
            <w:pPr>
              <w:pStyle w:val="72"/>
              <w:rPr>
                <w:rFonts w:hint="eastAsia"/>
                <w:lang w:bidi="ar"/>
              </w:rPr>
            </w:pPr>
            <w:r>
              <w:rPr>
                <w:rFonts w:hint="eastAsia"/>
                <w:lang w:eastAsia="zh-CN" w:bidi="ar"/>
              </w:rPr>
              <w:t>矿山</w:t>
            </w:r>
            <w:r>
              <w:rPr>
                <w:rFonts w:hint="eastAsia"/>
                <w:lang w:bidi="ar"/>
              </w:rPr>
              <w:t>涌水水量监测</w:t>
            </w:r>
          </w:p>
        </w:tc>
        <w:tc>
          <w:tcPr>
            <w:tcW w:w="619" w:type="pct"/>
            <w:tcBorders>
              <w:top w:val="single" w:color="000000" w:sz="4" w:space="0"/>
              <w:left w:val="single" w:color="000000" w:sz="4" w:space="0"/>
              <w:bottom w:val="single" w:color="000000" w:sz="4" w:space="0"/>
              <w:right w:val="single" w:color="000000" w:sz="4" w:space="0"/>
            </w:tcBorders>
            <w:vAlign w:val="center"/>
          </w:tcPr>
          <w:p w14:paraId="6FECB36B">
            <w:pPr>
              <w:pStyle w:val="72"/>
              <w:rPr>
                <w:rFonts w:hint="eastAsia"/>
                <w:lang w:bidi="ar"/>
              </w:rPr>
            </w:pPr>
            <w:r>
              <w:rPr>
                <w:rFonts w:hint="eastAsia"/>
                <w:lang w:bidi="ar"/>
              </w:rPr>
              <w:t>次</w:t>
            </w:r>
          </w:p>
        </w:tc>
        <w:tc>
          <w:tcPr>
            <w:tcW w:w="922" w:type="pct"/>
            <w:tcBorders>
              <w:top w:val="single" w:color="000000" w:sz="4" w:space="0"/>
              <w:left w:val="single" w:color="000000" w:sz="4" w:space="0"/>
              <w:bottom w:val="single" w:color="000000" w:sz="4" w:space="0"/>
              <w:right w:val="single" w:color="000000" w:sz="4" w:space="0"/>
            </w:tcBorders>
            <w:vAlign w:val="center"/>
          </w:tcPr>
          <w:p w14:paraId="66ABFD0A">
            <w:pPr>
              <w:pStyle w:val="72"/>
              <w:ind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16</w:t>
            </w:r>
          </w:p>
        </w:tc>
      </w:tr>
      <w:tr w14:paraId="3C9E39A6">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vAlign w:val="center"/>
          </w:tcPr>
          <w:p w14:paraId="4B98460C">
            <w:pPr>
              <w:pStyle w:val="72"/>
              <w:rPr>
                <w:rFonts w:hint="eastAsia" w:ascii="Times New Roman" w:hAnsi="Times New Roman" w:cs="Times New Roman"/>
                <w:lang w:val="en-US" w:eastAsia="zh-CN"/>
              </w:rPr>
            </w:pPr>
            <w:r>
              <w:rPr>
                <w:rFonts w:hint="eastAsia" w:ascii="Times New Roman" w:hAnsi="Times New Roman" w:cs="Times New Roman"/>
                <w:lang w:val="en-US" w:eastAsia="zh-CN"/>
              </w:rPr>
              <w:t>18</w:t>
            </w:r>
          </w:p>
        </w:tc>
        <w:tc>
          <w:tcPr>
            <w:tcW w:w="2840" w:type="pct"/>
            <w:tcBorders>
              <w:top w:val="single" w:color="000000" w:sz="4" w:space="0"/>
              <w:left w:val="single" w:color="000000" w:sz="4" w:space="0"/>
              <w:bottom w:val="single" w:color="000000" w:sz="4" w:space="0"/>
              <w:right w:val="single" w:color="000000" w:sz="4" w:space="0"/>
            </w:tcBorders>
            <w:vAlign w:val="center"/>
          </w:tcPr>
          <w:p w14:paraId="2BC42176">
            <w:pPr>
              <w:pStyle w:val="72"/>
              <w:rPr>
                <w:rFonts w:hint="eastAsia"/>
              </w:rPr>
            </w:pPr>
            <w:r>
              <w:rPr>
                <w:rFonts w:hint="eastAsia"/>
                <w:lang w:eastAsia="zh-CN" w:bidi="ar"/>
              </w:rPr>
              <w:t>矿山</w:t>
            </w:r>
            <w:r>
              <w:rPr>
                <w:rFonts w:hint="eastAsia"/>
                <w:lang w:bidi="ar"/>
              </w:rPr>
              <w:t>涌水水质监测</w:t>
            </w:r>
          </w:p>
        </w:tc>
        <w:tc>
          <w:tcPr>
            <w:tcW w:w="619" w:type="pct"/>
            <w:tcBorders>
              <w:top w:val="single" w:color="000000" w:sz="4" w:space="0"/>
              <w:left w:val="single" w:color="000000" w:sz="4" w:space="0"/>
              <w:bottom w:val="single" w:color="000000" w:sz="4" w:space="0"/>
              <w:right w:val="single" w:color="000000" w:sz="4" w:space="0"/>
            </w:tcBorders>
            <w:vAlign w:val="center"/>
          </w:tcPr>
          <w:p w14:paraId="1E448350">
            <w:pPr>
              <w:pStyle w:val="72"/>
              <w:rPr>
                <w:rFonts w:hint="eastAsia"/>
              </w:rPr>
            </w:pPr>
            <w:r>
              <w:rPr>
                <w:rFonts w:hint="eastAsia"/>
                <w:lang w:bidi="ar"/>
              </w:rPr>
              <w:t>次</w:t>
            </w:r>
          </w:p>
        </w:tc>
        <w:tc>
          <w:tcPr>
            <w:tcW w:w="922" w:type="pct"/>
            <w:tcBorders>
              <w:top w:val="single" w:color="000000" w:sz="4" w:space="0"/>
              <w:left w:val="single" w:color="000000" w:sz="4" w:space="0"/>
              <w:bottom w:val="single" w:color="000000" w:sz="4" w:space="0"/>
              <w:right w:val="single" w:color="000000" w:sz="4" w:space="0"/>
            </w:tcBorders>
            <w:vAlign w:val="center"/>
          </w:tcPr>
          <w:p w14:paraId="456E4690">
            <w:pPr>
              <w:pStyle w:val="72"/>
              <w:ind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96</w:t>
            </w:r>
          </w:p>
        </w:tc>
      </w:tr>
      <w:tr w14:paraId="6B4AF0BB">
        <w:tblPrEx>
          <w:tblCellMar>
            <w:top w:w="0" w:type="dxa"/>
            <w:left w:w="108" w:type="dxa"/>
            <w:bottom w:w="0" w:type="dxa"/>
            <w:right w:w="108" w:type="dxa"/>
          </w:tblCellMar>
        </w:tblPrEx>
        <w:tc>
          <w:tcPr>
            <w:tcW w:w="618" w:type="pct"/>
            <w:tcBorders>
              <w:top w:val="single" w:color="000000" w:sz="4" w:space="0"/>
              <w:left w:val="single" w:color="000000" w:sz="4" w:space="0"/>
              <w:bottom w:val="single" w:color="000000" w:sz="4" w:space="0"/>
              <w:right w:val="single" w:color="000000" w:sz="4" w:space="0"/>
            </w:tcBorders>
            <w:vAlign w:val="center"/>
          </w:tcPr>
          <w:p w14:paraId="1D165EA9">
            <w:pPr>
              <w:pStyle w:val="72"/>
              <w:rPr>
                <w:rFonts w:hint="default" w:ascii="Times New Roman" w:hAnsi="Times New Roman" w:cs="Times New Roman"/>
                <w:lang w:val="en-US" w:eastAsia="zh-CN"/>
              </w:rPr>
            </w:pPr>
            <w:r>
              <w:rPr>
                <w:rFonts w:hint="eastAsia" w:ascii="Times New Roman" w:hAnsi="Times New Roman" w:cs="Times New Roman"/>
                <w:lang w:val="en-US" w:eastAsia="zh-CN"/>
              </w:rPr>
              <w:t>19</w:t>
            </w:r>
          </w:p>
        </w:tc>
        <w:tc>
          <w:tcPr>
            <w:tcW w:w="2840" w:type="pct"/>
            <w:tcBorders>
              <w:top w:val="single" w:color="000000" w:sz="4" w:space="0"/>
              <w:left w:val="single" w:color="000000" w:sz="4" w:space="0"/>
              <w:bottom w:val="single" w:color="000000" w:sz="4" w:space="0"/>
              <w:right w:val="single" w:color="000000" w:sz="4" w:space="0"/>
            </w:tcBorders>
            <w:vAlign w:val="center"/>
          </w:tcPr>
          <w:p w14:paraId="7E3A4C90">
            <w:pPr>
              <w:pStyle w:val="72"/>
              <w:rPr>
                <w:rFonts w:hint="eastAsia"/>
              </w:rPr>
            </w:pPr>
            <w:r>
              <w:rPr>
                <w:rFonts w:hint="eastAsia"/>
                <w:lang w:bidi="ar"/>
              </w:rPr>
              <w:t>林地管护</w:t>
            </w:r>
          </w:p>
        </w:tc>
        <w:tc>
          <w:tcPr>
            <w:tcW w:w="619" w:type="pct"/>
            <w:tcBorders>
              <w:top w:val="single" w:color="000000" w:sz="4" w:space="0"/>
              <w:left w:val="single" w:color="000000" w:sz="4" w:space="0"/>
              <w:bottom w:val="single" w:color="000000" w:sz="4" w:space="0"/>
              <w:right w:val="single" w:color="000000" w:sz="4" w:space="0"/>
            </w:tcBorders>
            <w:vAlign w:val="center"/>
          </w:tcPr>
          <w:p w14:paraId="1D9821FB">
            <w:pPr>
              <w:pStyle w:val="72"/>
              <w:rPr>
                <w:rFonts w:hint="eastAsia"/>
              </w:rPr>
            </w:pPr>
            <w:r>
              <w:rPr>
                <w:rFonts w:hint="eastAsia"/>
                <w:lang w:bidi="ar"/>
              </w:rPr>
              <w:t>hm</w:t>
            </w:r>
            <w:r>
              <w:rPr>
                <w:rFonts w:ascii="Calibri" w:hAnsi="Calibri" w:cs="Calibri"/>
                <w:lang w:bidi="ar"/>
              </w:rPr>
              <w:t>²</w:t>
            </w:r>
            <w:r>
              <w:rPr>
                <w:rFonts w:hint="eastAsia" w:ascii="Calibri" w:hAnsi="Calibri" w:cs="Calibri"/>
                <w:lang w:bidi="ar"/>
              </w:rPr>
              <w:t>/年</w:t>
            </w:r>
          </w:p>
        </w:tc>
        <w:tc>
          <w:tcPr>
            <w:tcW w:w="922" w:type="pct"/>
            <w:tcBorders>
              <w:top w:val="single" w:color="000000" w:sz="4" w:space="0"/>
              <w:left w:val="single" w:color="000000" w:sz="4" w:space="0"/>
              <w:bottom w:val="single" w:color="000000" w:sz="4" w:space="0"/>
              <w:right w:val="single" w:color="000000" w:sz="4" w:space="0"/>
            </w:tcBorders>
            <w:vAlign w:val="center"/>
          </w:tcPr>
          <w:p w14:paraId="705C62C9">
            <w:pPr>
              <w:pStyle w:val="72"/>
              <w:ind w:firstLine="0" w:firstLineChars="0"/>
              <w:rPr>
                <w:rFonts w:hint="eastAsia" w:ascii="Times New Roman" w:hAnsi="Times New Roman" w:cs="Times New Roman"/>
                <w:lang w:val="en-US" w:eastAsia="zh-CN"/>
              </w:rPr>
            </w:pPr>
            <w:r>
              <w:rPr>
                <w:rFonts w:hint="eastAsia" w:ascii="Times New Roman" w:hAnsi="Times New Roman" w:cs="Times New Roman"/>
                <w:lang w:val="en-US" w:eastAsia="zh-CN"/>
              </w:rPr>
              <w:t>1.5288/3</w:t>
            </w:r>
          </w:p>
        </w:tc>
      </w:tr>
    </w:tbl>
    <w:p w14:paraId="2DBBF2E1">
      <w:pPr>
        <w:pStyle w:val="5"/>
        <w:ind w:firstLine="562"/>
      </w:pPr>
      <w:r>
        <w:t>（三）实施计划</w:t>
      </w:r>
    </w:p>
    <w:p w14:paraId="28D6CFFE">
      <w:pPr>
        <w:ind w:firstLine="560"/>
        <w:rPr>
          <w:highlight w:val="none"/>
        </w:rPr>
      </w:pPr>
      <w:r>
        <w:rPr>
          <w:rFonts w:hint="eastAsia"/>
          <w:highlight w:val="none"/>
        </w:rPr>
        <w:t>按照矿山服务年限考虑，</w:t>
      </w:r>
      <w:r>
        <w:rPr>
          <w:highlight w:val="none"/>
        </w:rPr>
        <w:t>本方案包含的时间段为</w:t>
      </w:r>
      <w:r>
        <w:rPr>
          <w:rFonts w:hint="eastAsia"/>
          <w:highlight w:val="none"/>
          <w:lang w:val="en-US" w:eastAsia="zh-CN"/>
        </w:rPr>
        <w:t>12</w:t>
      </w:r>
      <w:r>
        <w:rPr>
          <w:rFonts w:hint="eastAsia"/>
          <w:highlight w:val="none"/>
          <w:lang w:eastAsia="zh-CN"/>
        </w:rPr>
        <w:t>年</w:t>
      </w:r>
      <w:r>
        <w:rPr>
          <w:highlight w:val="none"/>
        </w:rPr>
        <w:t>，分为</w:t>
      </w:r>
      <w:r>
        <w:rPr>
          <w:rFonts w:hint="eastAsia"/>
          <w:highlight w:val="none"/>
        </w:rPr>
        <w:t>4</w:t>
      </w:r>
      <w:r>
        <w:rPr>
          <w:highlight w:val="none"/>
        </w:rPr>
        <w:t>个阶段：其中矿山生产</w:t>
      </w:r>
      <w:r>
        <w:rPr>
          <w:rFonts w:hint="eastAsia"/>
          <w:highlight w:val="none"/>
        </w:rPr>
        <w:t>期</w:t>
      </w:r>
      <w:r>
        <w:rPr>
          <w:rFonts w:hint="eastAsia"/>
          <w:highlight w:val="none"/>
          <w:lang w:val="en-US" w:eastAsia="zh-CN"/>
        </w:rPr>
        <w:t>3</w:t>
      </w:r>
      <w:r>
        <w:rPr>
          <w:highlight w:val="none"/>
        </w:rPr>
        <w:t>年</w:t>
      </w:r>
      <w:r>
        <w:rPr>
          <w:rFonts w:hint="eastAsia"/>
          <w:highlight w:val="none"/>
        </w:rPr>
        <w:t>、采矿权延续期</w:t>
      </w:r>
      <w:r>
        <w:rPr>
          <w:rFonts w:hint="eastAsia"/>
          <w:highlight w:val="none"/>
          <w:lang w:val="en-US" w:eastAsia="zh-CN"/>
        </w:rPr>
        <w:t>5</w:t>
      </w:r>
      <w:r>
        <w:rPr>
          <w:rFonts w:hint="eastAsia"/>
          <w:highlight w:val="none"/>
        </w:rPr>
        <w:t>年、</w:t>
      </w:r>
      <w:r>
        <w:rPr>
          <w:highlight w:val="none"/>
        </w:rPr>
        <w:t>矿区生态修复施工期1年</w:t>
      </w:r>
      <w:r>
        <w:rPr>
          <w:rFonts w:hint="eastAsia"/>
          <w:highlight w:val="none"/>
        </w:rPr>
        <w:t>、</w:t>
      </w:r>
      <w:r>
        <w:rPr>
          <w:highlight w:val="none"/>
        </w:rPr>
        <w:t>管护期3年。阶段实施计划如下：</w:t>
      </w:r>
    </w:p>
    <w:p w14:paraId="53F6056F">
      <w:pPr>
        <w:ind w:firstLine="560"/>
        <w:rPr>
          <w:highlight w:val="none"/>
        </w:rPr>
      </w:pPr>
      <w:bookmarkStart w:id="213" w:name="_Toc54086403"/>
      <w:r>
        <w:rPr>
          <w:highlight w:val="none"/>
        </w:rPr>
        <w:t>1.第一阶段（生产期</w:t>
      </w:r>
      <w:r>
        <w:rPr>
          <w:rFonts w:hint="eastAsia"/>
          <w:highlight w:val="none"/>
        </w:rPr>
        <w:t>，</w:t>
      </w:r>
      <w:r>
        <w:rPr>
          <w:rFonts w:hint="eastAsia"/>
          <w:highlight w:val="none"/>
          <w:lang w:val="en-US" w:eastAsia="zh-CN"/>
        </w:rPr>
        <w:t>3</w:t>
      </w:r>
      <w:r>
        <w:rPr>
          <w:rFonts w:hint="eastAsia"/>
          <w:highlight w:val="none"/>
        </w:rPr>
        <w:t>年</w:t>
      </w:r>
      <w:r>
        <w:rPr>
          <w:highlight w:val="none"/>
        </w:rPr>
        <w:t>）</w:t>
      </w:r>
    </w:p>
    <w:p w14:paraId="203B5C14">
      <w:pPr>
        <w:ind w:firstLine="560"/>
        <w:rPr>
          <w:highlight w:val="none"/>
        </w:rPr>
      </w:pPr>
      <w:r>
        <w:rPr>
          <w:highlight w:val="none"/>
        </w:rPr>
        <w:t>（1）</w:t>
      </w:r>
      <w:r>
        <w:rPr>
          <w:rFonts w:hint="eastAsia"/>
          <w:highlight w:val="none"/>
          <w:lang w:val="en-US" w:eastAsia="zh-CN"/>
        </w:rPr>
        <w:t>表土剥离、回填原三处废弃平硐、</w:t>
      </w:r>
      <w:r>
        <w:rPr>
          <w:rFonts w:hint="eastAsia"/>
          <w:highlight w:val="none"/>
          <w:lang w:eastAsia="zh-CN"/>
        </w:rPr>
        <w:t>地裂缝</w:t>
      </w:r>
      <w:r>
        <w:rPr>
          <w:rFonts w:hint="eastAsia"/>
          <w:highlight w:val="none"/>
        </w:rPr>
        <w:t>综合治理</w:t>
      </w:r>
    </w:p>
    <w:p w14:paraId="096E7519">
      <w:pPr>
        <w:ind w:firstLine="560"/>
        <w:rPr>
          <w:highlight w:val="none"/>
        </w:rPr>
      </w:pPr>
      <w:r>
        <w:rPr>
          <w:highlight w:val="none"/>
        </w:rPr>
        <w:t>（2）</w:t>
      </w:r>
      <w:r>
        <w:rPr>
          <w:rFonts w:hint="eastAsia"/>
          <w:highlight w:val="none"/>
        </w:rPr>
        <w:t>土地生态资源监测</w:t>
      </w:r>
    </w:p>
    <w:p w14:paraId="0D476B24">
      <w:pPr>
        <w:pStyle w:val="182"/>
        <w:adjustRightInd w:val="0"/>
        <w:snapToGrid w:val="0"/>
        <w:ind w:firstLine="560"/>
        <w:rPr>
          <w:rFonts w:eastAsia="宋体" w:cs="Times New Roman"/>
          <w:bCs/>
          <w:highlight w:val="none"/>
        </w:rPr>
      </w:pPr>
      <w:r>
        <w:rPr>
          <w:rFonts w:hint="eastAsia" w:eastAsia="宋体" w:cs="Times New Roman"/>
          <w:bCs/>
          <w:highlight w:val="none"/>
        </w:rPr>
        <w:t>（</w:t>
      </w:r>
      <w:r>
        <w:rPr>
          <w:rFonts w:eastAsia="宋体" w:cs="Times New Roman"/>
          <w:bCs/>
          <w:highlight w:val="none"/>
        </w:rPr>
        <w:t>3</w:t>
      </w:r>
      <w:r>
        <w:rPr>
          <w:rFonts w:hint="eastAsia" w:eastAsia="宋体" w:cs="Times New Roman"/>
          <w:bCs/>
          <w:highlight w:val="none"/>
        </w:rPr>
        <w:t>）</w:t>
      </w:r>
      <w:r>
        <w:rPr>
          <w:rFonts w:eastAsia="宋体" w:cs="Times New Roman"/>
          <w:bCs/>
          <w:highlight w:val="none"/>
        </w:rPr>
        <w:t>对地下水</w:t>
      </w:r>
      <w:r>
        <w:rPr>
          <w:rFonts w:hint="eastAsia" w:eastAsia="宋体" w:cs="Times New Roman"/>
          <w:bCs/>
          <w:highlight w:val="none"/>
        </w:rPr>
        <w:t>水位</w:t>
      </w:r>
      <w:r>
        <w:rPr>
          <w:rFonts w:eastAsia="宋体" w:cs="Times New Roman"/>
          <w:bCs/>
          <w:highlight w:val="none"/>
        </w:rPr>
        <w:t>、</w:t>
      </w:r>
      <w:r>
        <w:rPr>
          <w:rFonts w:hint="eastAsia" w:eastAsia="宋体" w:cs="Times New Roman"/>
          <w:bCs/>
          <w:highlight w:val="none"/>
        </w:rPr>
        <w:t>水质</w:t>
      </w:r>
      <w:r>
        <w:rPr>
          <w:rFonts w:eastAsia="宋体" w:cs="Times New Roman"/>
          <w:bCs/>
          <w:highlight w:val="none"/>
        </w:rPr>
        <w:t>情况进行监测；</w:t>
      </w:r>
    </w:p>
    <w:p w14:paraId="07E6033F">
      <w:pPr>
        <w:pStyle w:val="182"/>
        <w:adjustRightInd w:val="0"/>
        <w:snapToGrid w:val="0"/>
        <w:ind w:firstLine="560"/>
        <w:rPr>
          <w:rFonts w:eastAsia="宋体" w:cs="Times New Roman"/>
          <w:bCs/>
          <w:highlight w:val="none"/>
        </w:rPr>
      </w:pPr>
      <w:r>
        <w:rPr>
          <w:rFonts w:hint="eastAsia" w:eastAsia="宋体" w:cs="Times New Roman"/>
          <w:bCs/>
          <w:highlight w:val="none"/>
        </w:rPr>
        <w:t>（</w:t>
      </w:r>
      <w:r>
        <w:rPr>
          <w:rFonts w:eastAsia="宋体" w:cs="Times New Roman"/>
          <w:bCs/>
          <w:highlight w:val="none"/>
        </w:rPr>
        <w:t>4</w:t>
      </w:r>
      <w:r>
        <w:rPr>
          <w:rFonts w:hint="eastAsia" w:eastAsia="宋体" w:cs="Times New Roman"/>
          <w:bCs/>
          <w:highlight w:val="none"/>
        </w:rPr>
        <w:t>）对</w:t>
      </w:r>
      <w:r>
        <w:rPr>
          <w:rFonts w:hint="eastAsia" w:eastAsia="宋体" w:cs="Times New Roman"/>
          <w:bCs/>
          <w:highlight w:val="none"/>
          <w:lang w:eastAsia="zh-CN"/>
        </w:rPr>
        <w:t>地裂缝</w:t>
      </w:r>
      <w:r>
        <w:rPr>
          <w:rFonts w:hint="eastAsia" w:eastAsia="宋体" w:cs="Times New Roman"/>
          <w:bCs/>
          <w:highlight w:val="none"/>
        </w:rPr>
        <w:t>进行监测；</w:t>
      </w:r>
    </w:p>
    <w:p w14:paraId="6055A39C">
      <w:pPr>
        <w:pStyle w:val="182"/>
        <w:adjustRightInd w:val="0"/>
        <w:snapToGrid w:val="0"/>
        <w:ind w:firstLine="560"/>
        <w:rPr>
          <w:rFonts w:eastAsia="宋体" w:cs="Times New Roman"/>
          <w:bCs/>
          <w:highlight w:val="none"/>
        </w:rPr>
      </w:pPr>
      <w:r>
        <w:rPr>
          <w:rFonts w:hint="eastAsia" w:eastAsia="宋体" w:cs="Times New Roman"/>
          <w:bCs/>
          <w:highlight w:val="none"/>
        </w:rPr>
        <w:t>2.第二阶段（生产期，</w:t>
      </w:r>
      <w:r>
        <w:rPr>
          <w:rFonts w:hint="eastAsia" w:eastAsia="宋体" w:cs="Times New Roman"/>
          <w:bCs/>
          <w:highlight w:val="none"/>
          <w:lang w:val="en-US" w:eastAsia="zh-CN"/>
        </w:rPr>
        <w:t>5</w:t>
      </w:r>
      <w:r>
        <w:rPr>
          <w:rFonts w:hint="eastAsia" w:eastAsia="宋体" w:cs="Times New Roman"/>
          <w:bCs/>
          <w:highlight w:val="none"/>
        </w:rPr>
        <w:t>年）</w:t>
      </w:r>
    </w:p>
    <w:p w14:paraId="57DB9687">
      <w:pPr>
        <w:ind w:firstLine="560"/>
        <w:rPr>
          <w:highlight w:val="none"/>
        </w:rPr>
      </w:pPr>
      <w:r>
        <w:rPr>
          <w:highlight w:val="none"/>
        </w:rPr>
        <w:t>（1）</w:t>
      </w:r>
      <w:r>
        <w:rPr>
          <w:rFonts w:hint="eastAsia"/>
          <w:highlight w:val="none"/>
          <w:lang w:eastAsia="zh-CN"/>
        </w:rPr>
        <w:t>地裂缝</w:t>
      </w:r>
      <w:r>
        <w:rPr>
          <w:rFonts w:hint="eastAsia"/>
          <w:highlight w:val="none"/>
        </w:rPr>
        <w:t>综合治理</w:t>
      </w:r>
    </w:p>
    <w:p w14:paraId="1E2A97AE">
      <w:pPr>
        <w:ind w:firstLine="560"/>
        <w:rPr>
          <w:highlight w:val="none"/>
        </w:rPr>
      </w:pPr>
      <w:r>
        <w:rPr>
          <w:highlight w:val="none"/>
        </w:rPr>
        <w:t>（2）</w:t>
      </w:r>
      <w:r>
        <w:rPr>
          <w:rFonts w:hint="eastAsia"/>
          <w:highlight w:val="none"/>
        </w:rPr>
        <w:t>土地生态资源监测</w:t>
      </w:r>
    </w:p>
    <w:p w14:paraId="6309B17F">
      <w:pPr>
        <w:pStyle w:val="182"/>
        <w:adjustRightInd w:val="0"/>
        <w:snapToGrid w:val="0"/>
        <w:ind w:firstLine="560"/>
        <w:rPr>
          <w:rFonts w:eastAsia="宋体" w:cs="Times New Roman"/>
          <w:bCs/>
          <w:highlight w:val="none"/>
        </w:rPr>
      </w:pPr>
      <w:r>
        <w:rPr>
          <w:rFonts w:hint="eastAsia" w:eastAsia="宋体" w:cs="Times New Roman"/>
          <w:bCs/>
          <w:highlight w:val="none"/>
        </w:rPr>
        <w:t>（</w:t>
      </w:r>
      <w:r>
        <w:rPr>
          <w:rFonts w:eastAsia="宋体" w:cs="Times New Roman"/>
          <w:bCs/>
          <w:highlight w:val="none"/>
        </w:rPr>
        <w:t>3</w:t>
      </w:r>
      <w:r>
        <w:rPr>
          <w:rFonts w:hint="eastAsia" w:eastAsia="宋体" w:cs="Times New Roman"/>
          <w:bCs/>
          <w:highlight w:val="none"/>
        </w:rPr>
        <w:t>）</w:t>
      </w:r>
      <w:r>
        <w:rPr>
          <w:rFonts w:eastAsia="宋体" w:cs="Times New Roman"/>
          <w:bCs/>
          <w:highlight w:val="none"/>
        </w:rPr>
        <w:t>对地下水</w:t>
      </w:r>
      <w:r>
        <w:rPr>
          <w:rFonts w:hint="eastAsia" w:eastAsia="宋体" w:cs="Times New Roman"/>
          <w:bCs/>
          <w:highlight w:val="none"/>
        </w:rPr>
        <w:t>水位</w:t>
      </w:r>
      <w:r>
        <w:rPr>
          <w:rFonts w:eastAsia="宋体" w:cs="Times New Roman"/>
          <w:bCs/>
          <w:highlight w:val="none"/>
        </w:rPr>
        <w:t>、</w:t>
      </w:r>
      <w:r>
        <w:rPr>
          <w:rFonts w:hint="eastAsia" w:eastAsia="宋体" w:cs="Times New Roman"/>
          <w:bCs/>
          <w:highlight w:val="none"/>
        </w:rPr>
        <w:t>水质</w:t>
      </w:r>
      <w:r>
        <w:rPr>
          <w:rFonts w:eastAsia="宋体" w:cs="Times New Roman"/>
          <w:bCs/>
          <w:highlight w:val="none"/>
        </w:rPr>
        <w:t>情况进行监测；</w:t>
      </w:r>
    </w:p>
    <w:p w14:paraId="05EB3353">
      <w:pPr>
        <w:pStyle w:val="182"/>
        <w:adjustRightInd w:val="0"/>
        <w:snapToGrid w:val="0"/>
        <w:ind w:firstLine="560"/>
        <w:rPr>
          <w:rFonts w:eastAsia="宋体" w:cs="Times New Roman"/>
          <w:bCs/>
          <w:highlight w:val="none"/>
        </w:rPr>
      </w:pPr>
      <w:r>
        <w:rPr>
          <w:rFonts w:hint="eastAsia" w:eastAsia="宋体" w:cs="Times New Roman"/>
          <w:bCs/>
          <w:highlight w:val="none"/>
        </w:rPr>
        <w:t>（</w:t>
      </w:r>
      <w:r>
        <w:rPr>
          <w:rFonts w:eastAsia="宋体" w:cs="Times New Roman"/>
          <w:bCs/>
          <w:highlight w:val="none"/>
        </w:rPr>
        <w:t>4</w:t>
      </w:r>
      <w:r>
        <w:rPr>
          <w:rFonts w:hint="eastAsia" w:eastAsia="宋体" w:cs="Times New Roman"/>
          <w:bCs/>
          <w:highlight w:val="none"/>
        </w:rPr>
        <w:t>）对</w:t>
      </w:r>
      <w:r>
        <w:rPr>
          <w:rFonts w:hint="eastAsia" w:eastAsia="宋体" w:cs="Times New Roman"/>
          <w:bCs/>
          <w:highlight w:val="none"/>
          <w:lang w:eastAsia="zh-CN"/>
        </w:rPr>
        <w:t>地裂缝</w:t>
      </w:r>
      <w:r>
        <w:rPr>
          <w:rFonts w:hint="eastAsia" w:eastAsia="宋体" w:cs="Times New Roman"/>
          <w:bCs/>
          <w:highlight w:val="none"/>
        </w:rPr>
        <w:t>进行监测；</w:t>
      </w:r>
    </w:p>
    <w:p w14:paraId="24F73F6C">
      <w:pPr>
        <w:ind w:firstLine="560"/>
        <w:rPr>
          <w:highlight w:val="none"/>
        </w:rPr>
      </w:pPr>
      <w:r>
        <w:rPr>
          <w:rFonts w:hint="eastAsia"/>
          <w:highlight w:val="none"/>
        </w:rPr>
        <w:t>3</w:t>
      </w:r>
      <w:r>
        <w:rPr>
          <w:highlight w:val="none"/>
        </w:rPr>
        <w:t>.第</w:t>
      </w:r>
      <w:r>
        <w:rPr>
          <w:rFonts w:hint="eastAsia"/>
          <w:highlight w:val="none"/>
        </w:rPr>
        <w:t>三</w:t>
      </w:r>
      <w:r>
        <w:rPr>
          <w:highlight w:val="none"/>
        </w:rPr>
        <w:t>阶段（闭矿期</w:t>
      </w:r>
      <w:r>
        <w:rPr>
          <w:rFonts w:hint="eastAsia"/>
          <w:highlight w:val="none"/>
        </w:rPr>
        <w:t>，1年</w:t>
      </w:r>
      <w:r>
        <w:rPr>
          <w:highlight w:val="none"/>
        </w:rPr>
        <w:t>）</w:t>
      </w:r>
    </w:p>
    <w:p w14:paraId="3C48CFD3">
      <w:pPr>
        <w:ind w:firstLine="560"/>
        <w:rPr>
          <w:highlight w:val="none"/>
        </w:rPr>
      </w:pPr>
      <w:r>
        <w:rPr>
          <w:highlight w:val="none"/>
        </w:rPr>
        <w:t>（1）</w:t>
      </w:r>
      <w:r>
        <w:rPr>
          <w:rFonts w:hint="eastAsia"/>
          <w:highlight w:val="none"/>
        </w:rPr>
        <w:t>拆除钢结构、水泥浆砌砖、钢混结构临时建构筑物</w:t>
      </w:r>
      <w:r>
        <w:rPr>
          <w:highlight w:val="none"/>
        </w:rPr>
        <w:t>；</w:t>
      </w:r>
    </w:p>
    <w:p w14:paraId="5059B754">
      <w:pPr>
        <w:ind w:firstLine="560"/>
        <w:rPr>
          <w:highlight w:val="none"/>
        </w:rPr>
      </w:pPr>
      <w:r>
        <w:rPr>
          <w:highlight w:val="none"/>
        </w:rPr>
        <w:t>（2）</w:t>
      </w:r>
      <w:r>
        <w:rPr>
          <w:rFonts w:hint="eastAsia"/>
          <w:highlight w:val="none"/>
        </w:rPr>
        <w:t>回填</w:t>
      </w:r>
      <w:r>
        <w:rPr>
          <w:rFonts w:hint="eastAsia"/>
          <w:highlight w:val="none"/>
          <w:lang w:val="en-US" w:eastAsia="zh-CN"/>
        </w:rPr>
        <w:t>平硐</w:t>
      </w:r>
      <w:r>
        <w:rPr>
          <w:rFonts w:hint="eastAsia"/>
          <w:highlight w:val="none"/>
        </w:rPr>
        <w:t>井口</w:t>
      </w:r>
      <w:r>
        <w:rPr>
          <w:highlight w:val="none"/>
        </w:rPr>
        <w:t>；</w:t>
      </w:r>
    </w:p>
    <w:p w14:paraId="016DC46A">
      <w:pPr>
        <w:ind w:firstLine="560"/>
        <w:rPr>
          <w:highlight w:val="none"/>
        </w:rPr>
      </w:pPr>
      <w:r>
        <w:rPr>
          <w:highlight w:val="none"/>
        </w:rPr>
        <w:t>（3）</w:t>
      </w:r>
      <w:r>
        <w:rPr>
          <w:rFonts w:hint="eastAsia"/>
          <w:highlight w:val="none"/>
        </w:rPr>
        <w:t>对</w:t>
      </w:r>
      <w:r>
        <w:rPr>
          <w:rFonts w:hint="eastAsia"/>
          <w:highlight w:val="none"/>
          <w:lang w:val="en-US" w:eastAsia="zh-CN"/>
        </w:rPr>
        <w:t>复垦区</w:t>
      </w:r>
      <w:r>
        <w:rPr>
          <w:rFonts w:hint="eastAsia"/>
          <w:highlight w:val="none"/>
        </w:rPr>
        <w:t>的硬覆盖进行清除；</w:t>
      </w:r>
    </w:p>
    <w:p w14:paraId="1CDAFE04">
      <w:pPr>
        <w:ind w:firstLine="560"/>
        <w:rPr>
          <w:highlight w:val="none"/>
        </w:rPr>
      </w:pPr>
      <w:r>
        <w:rPr>
          <w:rFonts w:hint="eastAsia"/>
          <w:highlight w:val="none"/>
        </w:rPr>
        <w:t>（4）对</w:t>
      </w:r>
      <w:r>
        <w:rPr>
          <w:rFonts w:hint="eastAsia"/>
          <w:highlight w:val="none"/>
          <w:lang w:val="en-US" w:eastAsia="zh-CN"/>
        </w:rPr>
        <w:t>复垦区</w:t>
      </w:r>
      <w:r>
        <w:rPr>
          <w:rFonts w:hint="eastAsia"/>
          <w:highlight w:val="none"/>
        </w:rPr>
        <w:t>全区进行平整场地</w:t>
      </w:r>
      <w:r>
        <w:rPr>
          <w:highlight w:val="none"/>
        </w:rPr>
        <w:t>；</w:t>
      </w:r>
    </w:p>
    <w:p w14:paraId="184F9388">
      <w:pPr>
        <w:ind w:firstLine="560"/>
        <w:rPr>
          <w:highlight w:val="none"/>
        </w:rPr>
      </w:pPr>
      <w:r>
        <w:rPr>
          <w:rFonts w:hint="eastAsia"/>
          <w:highlight w:val="none"/>
        </w:rPr>
        <w:t>4</w:t>
      </w:r>
      <w:r>
        <w:rPr>
          <w:highlight w:val="none"/>
        </w:rPr>
        <w:t>.第</w:t>
      </w:r>
      <w:r>
        <w:rPr>
          <w:rFonts w:hint="eastAsia"/>
          <w:highlight w:val="none"/>
        </w:rPr>
        <w:t>四</w:t>
      </w:r>
      <w:r>
        <w:rPr>
          <w:highlight w:val="none"/>
        </w:rPr>
        <w:t>阶段（管护期</w:t>
      </w:r>
      <w:r>
        <w:rPr>
          <w:rFonts w:hint="eastAsia"/>
          <w:highlight w:val="none"/>
        </w:rPr>
        <w:t>，3年</w:t>
      </w:r>
      <w:r>
        <w:rPr>
          <w:highlight w:val="none"/>
        </w:rPr>
        <w:t>）</w:t>
      </w:r>
    </w:p>
    <w:p w14:paraId="3FDB8519">
      <w:pPr>
        <w:ind w:firstLine="560"/>
        <w:rPr>
          <w:highlight w:val="none"/>
        </w:rPr>
      </w:pPr>
      <w:r>
        <w:rPr>
          <w:highlight w:val="none"/>
        </w:rPr>
        <w:t>（1）</w:t>
      </w:r>
      <w:r>
        <w:rPr>
          <w:rFonts w:hint="eastAsia"/>
          <w:highlight w:val="none"/>
        </w:rPr>
        <w:t>土地生态资源监测</w:t>
      </w:r>
      <w:r>
        <w:rPr>
          <w:highlight w:val="none"/>
        </w:rPr>
        <w:t>；</w:t>
      </w:r>
    </w:p>
    <w:p w14:paraId="638DEEDD">
      <w:pPr>
        <w:ind w:firstLine="560"/>
        <w:rPr>
          <w:highlight w:val="none"/>
        </w:rPr>
      </w:pPr>
      <w:r>
        <w:rPr>
          <w:highlight w:val="none"/>
        </w:rPr>
        <w:t>（2）对修复后植被进行管护。</w:t>
      </w:r>
    </w:p>
    <w:bookmarkEnd w:id="204"/>
    <w:bookmarkEnd w:id="205"/>
    <w:bookmarkEnd w:id="206"/>
    <w:bookmarkEnd w:id="213"/>
    <w:p w14:paraId="57118BDF">
      <w:pPr>
        <w:pStyle w:val="4"/>
        <w:ind w:firstLine="602"/>
        <w:rPr>
          <w:rFonts w:ascii="Times New Roman" w:hAnsi="Times New Roman"/>
          <w:szCs w:val="30"/>
        </w:rPr>
      </w:pPr>
      <w:bookmarkStart w:id="214" w:name="_Toc215692459"/>
      <w:bookmarkStart w:id="215" w:name="_Toc19143"/>
      <w:bookmarkStart w:id="216" w:name="_Toc219050298"/>
      <w:r>
        <w:rPr>
          <w:rFonts w:ascii="Times New Roman" w:hAnsi="Times New Roman"/>
          <w:szCs w:val="30"/>
        </w:rPr>
        <w:t>二、总体经费估算</w:t>
      </w:r>
      <w:bookmarkEnd w:id="214"/>
      <w:bookmarkEnd w:id="215"/>
      <w:bookmarkEnd w:id="216"/>
    </w:p>
    <w:p w14:paraId="572FBFF4">
      <w:pPr>
        <w:pStyle w:val="5"/>
        <w:ind w:firstLine="562"/>
      </w:pPr>
      <w:r>
        <w:t>（一）经费估算依据</w:t>
      </w:r>
    </w:p>
    <w:p w14:paraId="5DE3DA97">
      <w:pPr>
        <w:ind w:firstLine="560"/>
        <w:rPr>
          <w:bCs/>
          <w:kern w:val="0"/>
          <w:szCs w:val="28"/>
        </w:rPr>
      </w:pPr>
      <w:r>
        <w:rPr>
          <w:bCs/>
          <w:kern w:val="0"/>
          <w:szCs w:val="28"/>
        </w:rPr>
        <w:t>根据财政部和国土资源部编制的《土地开发整理项目预算定额标准》（财综〔2011〕128号，财政部、国土资源部2012.3），</w:t>
      </w:r>
      <w:r>
        <w:rPr>
          <w:rFonts w:hint="eastAsia"/>
          <w:bCs/>
          <w:kern w:val="0"/>
          <w:szCs w:val="28"/>
          <w:lang w:eastAsia="zh-CN"/>
        </w:rPr>
        <w:t>通化市</w:t>
      </w:r>
      <w:r>
        <w:rPr>
          <w:bCs/>
          <w:kern w:val="0"/>
          <w:szCs w:val="28"/>
        </w:rPr>
        <w:t>2025年第四季度材料和建材市场实际收费标准。</w:t>
      </w:r>
    </w:p>
    <w:p w14:paraId="0945C2BA">
      <w:pPr>
        <w:ind w:firstLine="560"/>
        <w:rPr>
          <w:bCs/>
          <w:kern w:val="0"/>
          <w:szCs w:val="28"/>
        </w:rPr>
      </w:pPr>
      <w:r>
        <w:rPr>
          <w:bCs/>
          <w:kern w:val="0"/>
          <w:szCs w:val="28"/>
        </w:rPr>
        <w:t>矿山生态修复费用包括前期费用（勘察费、设计费）、施工费、设备费、监测与管护费、工程监理费、竣工验收费、业主管理费、预备费（基本预备费和风险金）等。</w:t>
      </w:r>
    </w:p>
    <w:p w14:paraId="544C1450">
      <w:pPr>
        <w:ind w:firstLine="560"/>
      </w:pPr>
      <w:r>
        <w:t>1.基础单价</w:t>
      </w:r>
    </w:p>
    <w:p w14:paraId="05B42A7E">
      <w:pPr>
        <w:ind w:firstLine="560"/>
      </w:pPr>
      <w:r>
        <w:t>（1）人工单价确定</w:t>
      </w:r>
    </w:p>
    <w:p w14:paraId="6BCEC6B0">
      <w:pPr>
        <w:ind w:firstLine="560"/>
      </w:pPr>
      <w:r>
        <w:t>项目区地处六类工资区，工资标准和地区工资系数根据《土地整理项目预算编制规定》编制。经计算，甲类工、乙类工的预算单价分别为51.04元/工日和38.84元/工日。</w:t>
      </w:r>
    </w:p>
    <w:p w14:paraId="76A94080">
      <w:pPr>
        <w:ind w:firstLine="560"/>
      </w:pPr>
      <w:r>
        <w:t>（2）材料单价确定</w:t>
      </w:r>
    </w:p>
    <w:p w14:paraId="561C645C">
      <w:pPr>
        <w:ind w:firstLine="560"/>
      </w:pPr>
      <w:r>
        <w:t>在材料费的计算中，材料消耗量主要参考《土地开发整理项目预算定额标准》计取，施工机械台班费主要依据《土地开发整理项目施工机械台班费定额》标准计取。</w:t>
      </w:r>
    </w:p>
    <w:p w14:paraId="1A4312FD">
      <w:pPr>
        <w:ind w:firstLine="560"/>
      </w:pPr>
      <w:r>
        <w:t>2.工程施工费</w:t>
      </w:r>
    </w:p>
    <w:p w14:paraId="1A3C272A">
      <w:pPr>
        <w:ind w:firstLine="560"/>
      </w:pPr>
      <w:r>
        <w:t>工程施工费由直接费、间接费、利润和税金组成。</w:t>
      </w:r>
    </w:p>
    <w:p w14:paraId="10B73307">
      <w:pPr>
        <w:ind w:firstLine="560"/>
      </w:pPr>
      <w:r>
        <w:t>（1）直接费</w:t>
      </w:r>
    </w:p>
    <w:p w14:paraId="5F2D52EE">
      <w:pPr>
        <w:ind w:firstLine="560"/>
      </w:pPr>
      <w:r>
        <w:t>包括直接工程费和措施费。</w:t>
      </w:r>
    </w:p>
    <w:p w14:paraId="68D367EC">
      <w:pPr>
        <w:ind w:firstLine="560"/>
      </w:pPr>
      <w:r>
        <w:rPr>
          <w:rFonts w:ascii="Cambria Math" w:hAnsi="Cambria Math" w:cs="Cambria Math"/>
        </w:rPr>
        <w:t>①</w:t>
      </w:r>
      <w:r>
        <w:t>直接工程费</w:t>
      </w:r>
    </w:p>
    <w:p w14:paraId="1146C56B">
      <w:pPr>
        <w:ind w:firstLine="560"/>
      </w:pPr>
      <w:r>
        <w:t>直接工程费由人工费、材料费、施工机械使用费组成。</w:t>
      </w:r>
    </w:p>
    <w:p w14:paraId="631056F0">
      <w:pPr>
        <w:ind w:firstLine="560"/>
      </w:pPr>
      <w:r>
        <w:t>人工费＝工程量×定额人工费单价</w:t>
      </w:r>
    </w:p>
    <w:p w14:paraId="04E41074">
      <w:pPr>
        <w:ind w:firstLine="560"/>
      </w:pPr>
      <w:r>
        <w:t>材料费＝工程量×定额材料费单价</w:t>
      </w:r>
    </w:p>
    <w:p w14:paraId="3C57EEC2">
      <w:pPr>
        <w:ind w:firstLine="560"/>
      </w:pPr>
      <w:r>
        <w:t>施工机械使用费＝工程量×定额施工机械使用费单价</w:t>
      </w:r>
    </w:p>
    <w:p w14:paraId="146F604C">
      <w:pPr>
        <w:ind w:firstLine="560"/>
      </w:pPr>
      <w:r>
        <w:rPr>
          <w:rFonts w:ascii="Cambria Math" w:hAnsi="Cambria Math" w:cs="Cambria Math"/>
        </w:rPr>
        <w:t>②</w:t>
      </w:r>
      <w:r>
        <w:t>措施费</w:t>
      </w:r>
    </w:p>
    <w:p w14:paraId="0FCDF298">
      <w:pPr>
        <w:ind w:firstLine="560"/>
      </w:pPr>
      <w:r>
        <w:t>包括临时设施费、冬雨季施工增加费、夜间施工增加费、施工辅助费等。</w:t>
      </w:r>
    </w:p>
    <w:p w14:paraId="6AE0606C">
      <w:pPr>
        <w:ind w:firstLine="560"/>
      </w:pPr>
      <w:r>
        <w:t>依据《土地开发整理项目预算编制规定》，临时设施费取费标准以直接工程费为基数，</w:t>
      </w:r>
      <w:r>
        <w:rPr>
          <w:rFonts w:hint="eastAsia"/>
        </w:rPr>
        <w:t>本方案费率取3.8%，相关标准</w:t>
      </w:r>
      <w:r>
        <w:t>如下所示：</w:t>
      </w:r>
    </w:p>
    <w:p w14:paraId="3CDFF9B5">
      <w:pPr>
        <w:pStyle w:val="57"/>
        <w:rPr>
          <w:rFonts w:ascii="Times New Roman" w:hAnsi="Times New Roman"/>
        </w:rPr>
      </w:pPr>
      <w:r>
        <w:rPr>
          <w:rFonts w:ascii="Times New Roman" w:hAnsi="Times New Roman"/>
        </w:rPr>
        <w:t>表6-2临时设施费费率表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38"/>
        <w:gridCol w:w="2186"/>
        <w:gridCol w:w="2661"/>
        <w:gridCol w:w="2899"/>
      </w:tblGrid>
      <w:tr w14:paraId="3509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exact"/>
        </w:trPr>
        <w:tc>
          <w:tcPr>
            <w:tcW w:w="873" w:type="pct"/>
            <w:tcMar>
              <w:top w:w="15" w:type="dxa"/>
              <w:left w:w="15" w:type="dxa"/>
              <w:bottom w:w="0" w:type="dxa"/>
              <w:right w:w="15" w:type="dxa"/>
            </w:tcMar>
            <w:vAlign w:val="center"/>
          </w:tcPr>
          <w:p w14:paraId="777B72F0">
            <w:pPr>
              <w:pStyle w:val="72"/>
              <w:rPr>
                <w:rFonts w:hint="eastAsia"/>
              </w:rPr>
            </w:pPr>
            <w:r>
              <w:t>序号</w:t>
            </w:r>
          </w:p>
        </w:tc>
        <w:tc>
          <w:tcPr>
            <w:tcW w:w="1165" w:type="pct"/>
            <w:tcMar>
              <w:top w:w="15" w:type="dxa"/>
              <w:left w:w="15" w:type="dxa"/>
              <w:bottom w:w="0" w:type="dxa"/>
              <w:right w:w="15" w:type="dxa"/>
            </w:tcMar>
            <w:vAlign w:val="center"/>
          </w:tcPr>
          <w:p w14:paraId="55F54764">
            <w:pPr>
              <w:pStyle w:val="72"/>
              <w:rPr>
                <w:rFonts w:hint="eastAsia"/>
              </w:rPr>
            </w:pPr>
            <w:r>
              <w:t>工程类别</w:t>
            </w:r>
          </w:p>
        </w:tc>
        <w:tc>
          <w:tcPr>
            <w:tcW w:w="1418" w:type="pct"/>
            <w:tcMar>
              <w:top w:w="15" w:type="dxa"/>
              <w:left w:w="15" w:type="dxa"/>
              <w:bottom w:w="0" w:type="dxa"/>
              <w:right w:w="15" w:type="dxa"/>
            </w:tcMar>
            <w:vAlign w:val="center"/>
          </w:tcPr>
          <w:p w14:paraId="3DC097E0">
            <w:pPr>
              <w:pStyle w:val="72"/>
              <w:rPr>
                <w:rFonts w:hint="eastAsia"/>
              </w:rPr>
            </w:pPr>
            <w:r>
              <w:t>计算基础</w:t>
            </w:r>
          </w:p>
        </w:tc>
        <w:tc>
          <w:tcPr>
            <w:tcW w:w="1544" w:type="pct"/>
            <w:tcMar>
              <w:top w:w="15" w:type="dxa"/>
              <w:left w:w="15" w:type="dxa"/>
              <w:bottom w:w="0" w:type="dxa"/>
              <w:right w:w="15" w:type="dxa"/>
            </w:tcMar>
            <w:vAlign w:val="center"/>
          </w:tcPr>
          <w:p w14:paraId="208F5055">
            <w:pPr>
              <w:pStyle w:val="72"/>
              <w:rPr>
                <w:rFonts w:hint="eastAsia"/>
              </w:rPr>
            </w:pPr>
            <w:r>
              <w:t>临时设施费率（%）</w:t>
            </w:r>
          </w:p>
        </w:tc>
      </w:tr>
      <w:tr w14:paraId="7961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exact"/>
        </w:trPr>
        <w:tc>
          <w:tcPr>
            <w:tcW w:w="873" w:type="pct"/>
            <w:tcMar>
              <w:top w:w="15" w:type="dxa"/>
              <w:left w:w="15" w:type="dxa"/>
              <w:bottom w:w="0" w:type="dxa"/>
              <w:right w:w="15" w:type="dxa"/>
            </w:tcMar>
            <w:vAlign w:val="center"/>
          </w:tcPr>
          <w:p w14:paraId="4A54204C">
            <w:pPr>
              <w:pStyle w:val="72"/>
              <w:rPr>
                <w:rFonts w:hint="eastAsia"/>
              </w:rPr>
            </w:pPr>
            <w:r>
              <w:t>1</w:t>
            </w:r>
          </w:p>
        </w:tc>
        <w:tc>
          <w:tcPr>
            <w:tcW w:w="1165" w:type="pct"/>
            <w:tcMar>
              <w:top w:w="15" w:type="dxa"/>
              <w:left w:w="15" w:type="dxa"/>
              <w:bottom w:w="0" w:type="dxa"/>
              <w:right w:w="15" w:type="dxa"/>
            </w:tcMar>
            <w:vAlign w:val="center"/>
          </w:tcPr>
          <w:p w14:paraId="1867DE0D">
            <w:pPr>
              <w:pStyle w:val="72"/>
              <w:rPr>
                <w:rFonts w:hint="eastAsia"/>
              </w:rPr>
            </w:pPr>
            <w:r>
              <w:t>土方工程</w:t>
            </w:r>
          </w:p>
        </w:tc>
        <w:tc>
          <w:tcPr>
            <w:tcW w:w="1418" w:type="pct"/>
            <w:tcMar>
              <w:top w:w="15" w:type="dxa"/>
              <w:left w:w="15" w:type="dxa"/>
              <w:bottom w:w="0" w:type="dxa"/>
              <w:right w:w="15" w:type="dxa"/>
            </w:tcMar>
            <w:vAlign w:val="center"/>
          </w:tcPr>
          <w:p w14:paraId="63BE556A">
            <w:pPr>
              <w:pStyle w:val="72"/>
              <w:rPr>
                <w:rFonts w:hint="eastAsia"/>
              </w:rPr>
            </w:pPr>
            <w:r>
              <w:t>直接工程费</w:t>
            </w:r>
          </w:p>
        </w:tc>
        <w:tc>
          <w:tcPr>
            <w:tcW w:w="1544" w:type="pct"/>
            <w:tcMar>
              <w:top w:w="15" w:type="dxa"/>
              <w:left w:w="15" w:type="dxa"/>
              <w:bottom w:w="0" w:type="dxa"/>
              <w:right w:w="15" w:type="dxa"/>
            </w:tcMar>
            <w:vAlign w:val="center"/>
          </w:tcPr>
          <w:p w14:paraId="17DFA24B">
            <w:pPr>
              <w:pStyle w:val="72"/>
              <w:rPr>
                <w:rFonts w:hint="default" w:ascii="Times New Roman" w:hAnsi="Times New Roman" w:cs="Times New Roman"/>
              </w:rPr>
            </w:pPr>
            <w:r>
              <w:rPr>
                <w:rFonts w:hint="default" w:ascii="Times New Roman" w:hAnsi="Times New Roman" w:cs="Times New Roman"/>
              </w:rPr>
              <w:t>2</w:t>
            </w:r>
          </w:p>
        </w:tc>
      </w:tr>
      <w:tr w14:paraId="1A64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exact"/>
        </w:trPr>
        <w:tc>
          <w:tcPr>
            <w:tcW w:w="873" w:type="pct"/>
            <w:tcMar>
              <w:top w:w="15" w:type="dxa"/>
              <w:left w:w="15" w:type="dxa"/>
              <w:bottom w:w="0" w:type="dxa"/>
              <w:right w:w="15" w:type="dxa"/>
            </w:tcMar>
            <w:vAlign w:val="center"/>
          </w:tcPr>
          <w:p w14:paraId="3C201989">
            <w:pPr>
              <w:pStyle w:val="72"/>
              <w:rPr>
                <w:rFonts w:hint="eastAsia"/>
              </w:rPr>
            </w:pPr>
            <w:r>
              <w:t>2</w:t>
            </w:r>
          </w:p>
        </w:tc>
        <w:tc>
          <w:tcPr>
            <w:tcW w:w="1165" w:type="pct"/>
            <w:tcMar>
              <w:top w:w="15" w:type="dxa"/>
              <w:left w:w="15" w:type="dxa"/>
              <w:bottom w:w="0" w:type="dxa"/>
              <w:right w:w="15" w:type="dxa"/>
            </w:tcMar>
            <w:vAlign w:val="center"/>
          </w:tcPr>
          <w:p w14:paraId="368083CC">
            <w:pPr>
              <w:pStyle w:val="72"/>
              <w:rPr>
                <w:rFonts w:hint="eastAsia"/>
              </w:rPr>
            </w:pPr>
            <w:r>
              <w:t>石方工程</w:t>
            </w:r>
          </w:p>
        </w:tc>
        <w:tc>
          <w:tcPr>
            <w:tcW w:w="1418" w:type="pct"/>
            <w:tcMar>
              <w:top w:w="15" w:type="dxa"/>
              <w:left w:w="15" w:type="dxa"/>
              <w:bottom w:w="0" w:type="dxa"/>
              <w:right w:w="15" w:type="dxa"/>
            </w:tcMar>
            <w:vAlign w:val="center"/>
          </w:tcPr>
          <w:p w14:paraId="7B4CF994">
            <w:pPr>
              <w:pStyle w:val="72"/>
              <w:rPr>
                <w:rFonts w:hint="eastAsia"/>
              </w:rPr>
            </w:pPr>
            <w:r>
              <w:t>直接工程费</w:t>
            </w:r>
          </w:p>
        </w:tc>
        <w:tc>
          <w:tcPr>
            <w:tcW w:w="1544" w:type="pct"/>
            <w:tcMar>
              <w:top w:w="15" w:type="dxa"/>
              <w:left w:w="15" w:type="dxa"/>
              <w:bottom w:w="0" w:type="dxa"/>
              <w:right w:w="15" w:type="dxa"/>
            </w:tcMar>
            <w:vAlign w:val="center"/>
          </w:tcPr>
          <w:p w14:paraId="530FA61D">
            <w:pPr>
              <w:pStyle w:val="72"/>
              <w:rPr>
                <w:rFonts w:hint="default" w:ascii="Times New Roman" w:hAnsi="Times New Roman" w:cs="Times New Roman"/>
              </w:rPr>
            </w:pPr>
            <w:r>
              <w:rPr>
                <w:rFonts w:hint="default" w:ascii="Times New Roman" w:hAnsi="Times New Roman" w:cs="Times New Roman"/>
              </w:rPr>
              <w:t>2</w:t>
            </w:r>
          </w:p>
        </w:tc>
      </w:tr>
      <w:tr w14:paraId="4169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exact"/>
        </w:trPr>
        <w:tc>
          <w:tcPr>
            <w:tcW w:w="873" w:type="pct"/>
            <w:tcMar>
              <w:top w:w="15" w:type="dxa"/>
              <w:left w:w="15" w:type="dxa"/>
              <w:bottom w:w="0" w:type="dxa"/>
              <w:right w:w="15" w:type="dxa"/>
            </w:tcMar>
            <w:vAlign w:val="center"/>
          </w:tcPr>
          <w:p w14:paraId="1F04D8E0">
            <w:pPr>
              <w:pStyle w:val="72"/>
              <w:rPr>
                <w:rFonts w:hint="eastAsia"/>
              </w:rPr>
            </w:pPr>
            <w:r>
              <w:t>3</w:t>
            </w:r>
          </w:p>
        </w:tc>
        <w:tc>
          <w:tcPr>
            <w:tcW w:w="1165" w:type="pct"/>
            <w:tcMar>
              <w:top w:w="15" w:type="dxa"/>
              <w:left w:w="15" w:type="dxa"/>
              <w:bottom w:w="0" w:type="dxa"/>
              <w:right w:w="15" w:type="dxa"/>
            </w:tcMar>
            <w:vAlign w:val="center"/>
          </w:tcPr>
          <w:p w14:paraId="1800BCDA">
            <w:pPr>
              <w:pStyle w:val="72"/>
              <w:rPr>
                <w:rFonts w:hint="eastAsia"/>
              </w:rPr>
            </w:pPr>
            <w:r>
              <w:t>砌体工程</w:t>
            </w:r>
          </w:p>
        </w:tc>
        <w:tc>
          <w:tcPr>
            <w:tcW w:w="1418" w:type="pct"/>
            <w:tcMar>
              <w:top w:w="15" w:type="dxa"/>
              <w:left w:w="15" w:type="dxa"/>
              <w:bottom w:w="0" w:type="dxa"/>
              <w:right w:w="15" w:type="dxa"/>
            </w:tcMar>
            <w:vAlign w:val="center"/>
          </w:tcPr>
          <w:p w14:paraId="6F59C8DD">
            <w:pPr>
              <w:pStyle w:val="72"/>
              <w:rPr>
                <w:rFonts w:hint="eastAsia"/>
              </w:rPr>
            </w:pPr>
            <w:r>
              <w:t>直接工程费</w:t>
            </w:r>
          </w:p>
        </w:tc>
        <w:tc>
          <w:tcPr>
            <w:tcW w:w="1544" w:type="pct"/>
            <w:tcMar>
              <w:top w:w="15" w:type="dxa"/>
              <w:left w:w="15" w:type="dxa"/>
              <w:bottom w:w="0" w:type="dxa"/>
              <w:right w:w="15" w:type="dxa"/>
            </w:tcMar>
            <w:vAlign w:val="center"/>
          </w:tcPr>
          <w:p w14:paraId="627BC609">
            <w:pPr>
              <w:pStyle w:val="72"/>
              <w:rPr>
                <w:rFonts w:hint="default" w:ascii="Times New Roman" w:hAnsi="Times New Roman" w:cs="Times New Roman"/>
              </w:rPr>
            </w:pPr>
            <w:r>
              <w:rPr>
                <w:rFonts w:hint="default" w:ascii="Times New Roman" w:hAnsi="Times New Roman" w:cs="Times New Roman"/>
              </w:rPr>
              <w:t>2</w:t>
            </w:r>
          </w:p>
        </w:tc>
      </w:tr>
      <w:tr w14:paraId="6A50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exact"/>
        </w:trPr>
        <w:tc>
          <w:tcPr>
            <w:tcW w:w="873" w:type="pct"/>
            <w:tcMar>
              <w:top w:w="15" w:type="dxa"/>
              <w:left w:w="15" w:type="dxa"/>
              <w:bottom w:w="0" w:type="dxa"/>
              <w:right w:w="15" w:type="dxa"/>
            </w:tcMar>
            <w:vAlign w:val="center"/>
          </w:tcPr>
          <w:p w14:paraId="7D2D128B">
            <w:pPr>
              <w:pStyle w:val="72"/>
              <w:rPr>
                <w:rFonts w:hint="eastAsia"/>
              </w:rPr>
            </w:pPr>
            <w:r>
              <w:t>4</w:t>
            </w:r>
          </w:p>
        </w:tc>
        <w:tc>
          <w:tcPr>
            <w:tcW w:w="1165" w:type="pct"/>
            <w:tcMar>
              <w:top w:w="15" w:type="dxa"/>
              <w:left w:w="15" w:type="dxa"/>
              <w:bottom w:w="0" w:type="dxa"/>
              <w:right w:w="15" w:type="dxa"/>
            </w:tcMar>
            <w:vAlign w:val="center"/>
          </w:tcPr>
          <w:p w14:paraId="452D4CB7">
            <w:pPr>
              <w:pStyle w:val="72"/>
              <w:rPr>
                <w:rFonts w:hint="eastAsia"/>
              </w:rPr>
            </w:pPr>
            <w:r>
              <w:t>混凝土工程</w:t>
            </w:r>
          </w:p>
        </w:tc>
        <w:tc>
          <w:tcPr>
            <w:tcW w:w="1418" w:type="pct"/>
            <w:tcMar>
              <w:top w:w="15" w:type="dxa"/>
              <w:left w:w="15" w:type="dxa"/>
              <w:bottom w:w="0" w:type="dxa"/>
              <w:right w:w="15" w:type="dxa"/>
            </w:tcMar>
            <w:vAlign w:val="center"/>
          </w:tcPr>
          <w:p w14:paraId="75E4E9CF">
            <w:pPr>
              <w:pStyle w:val="72"/>
              <w:rPr>
                <w:rFonts w:hint="eastAsia"/>
              </w:rPr>
            </w:pPr>
            <w:r>
              <w:t>直接工程费</w:t>
            </w:r>
          </w:p>
        </w:tc>
        <w:tc>
          <w:tcPr>
            <w:tcW w:w="1544" w:type="pct"/>
            <w:tcMar>
              <w:top w:w="15" w:type="dxa"/>
              <w:left w:w="15" w:type="dxa"/>
              <w:bottom w:w="0" w:type="dxa"/>
              <w:right w:w="15" w:type="dxa"/>
            </w:tcMar>
            <w:vAlign w:val="center"/>
          </w:tcPr>
          <w:p w14:paraId="69EAA887">
            <w:pPr>
              <w:pStyle w:val="72"/>
              <w:rPr>
                <w:rFonts w:hint="default" w:ascii="Times New Roman" w:hAnsi="Times New Roman" w:cs="Times New Roman"/>
              </w:rPr>
            </w:pPr>
            <w:r>
              <w:rPr>
                <w:rFonts w:hint="default" w:ascii="Times New Roman" w:hAnsi="Times New Roman" w:cs="Times New Roman"/>
              </w:rPr>
              <w:t>3</w:t>
            </w:r>
          </w:p>
        </w:tc>
      </w:tr>
    </w:tbl>
    <w:p w14:paraId="2D3677DB">
      <w:pPr>
        <w:ind w:firstLine="560"/>
      </w:pPr>
      <w:r>
        <w:t>（2）间接费</w:t>
      </w:r>
    </w:p>
    <w:p w14:paraId="1DA0E846">
      <w:pPr>
        <w:ind w:firstLine="560"/>
      </w:pPr>
      <w:r>
        <w:t>间接费＝直接费（人工费）×间接费率</w:t>
      </w:r>
    </w:p>
    <w:p w14:paraId="40FB857E">
      <w:pPr>
        <w:ind w:firstLine="560"/>
      </w:pPr>
      <w:r>
        <w:t>不同工程类别的间接费费率见下表：</w:t>
      </w:r>
    </w:p>
    <w:p w14:paraId="0C3D183B">
      <w:pPr>
        <w:pStyle w:val="57"/>
        <w:rPr>
          <w:rFonts w:ascii="Times New Roman" w:hAnsi="Times New Roman"/>
        </w:rPr>
      </w:pPr>
      <w:r>
        <w:rPr>
          <w:rFonts w:ascii="Times New Roman" w:hAnsi="Times New Roman"/>
        </w:rPr>
        <w:t>表6-3间接费费率表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7"/>
        <w:gridCol w:w="2328"/>
        <w:gridCol w:w="2380"/>
        <w:gridCol w:w="2535"/>
      </w:tblGrid>
      <w:tr w14:paraId="4CC4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1216" w:type="pct"/>
          </w:tcPr>
          <w:p w14:paraId="1ED740AA">
            <w:pPr>
              <w:pStyle w:val="72"/>
              <w:rPr>
                <w:rFonts w:ascii="Times New Roman" w:hAnsi="Times New Roman"/>
              </w:rPr>
            </w:pPr>
            <w:r>
              <w:rPr>
                <w:rFonts w:ascii="Times New Roman" w:hAnsi="Times New Roman"/>
              </w:rPr>
              <w:t>序号</w:t>
            </w:r>
          </w:p>
        </w:tc>
        <w:tc>
          <w:tcPr>
            <w:tcW w:w="1216" w:type="pct"/>
            <w:vAlign w:val="center"/>
          </w:tcPr>
          <w:p w14:paraId="42D87A32">
            <w:pPr>
              <w:pStyle w:val="72"/>
              <w:rPr>
                <w:rFonts w:ascii="Times New Roman" w:hAnsi="Times New Roman"/>
              </w:rPr>
            </w:pPr>
            <w:r>
              <w:rPr>
                <w:rFonts w:ascii="Times New Roman" w:hAnsi="Times New Roman"/>
              </w:rPr>
              <w:t>工程类别</w:t>
            </w:r>
          </w:p>
        </w:tc>
        <w:tc>
          <w:tcPr>
            <w:tcW w:w="1243" w:type="pct"/>
            <w:vAlign w:val="center"/>
          </w:tcPr>
          <w:p w14:paraId="05D4B219">
            <w:pPr>
              <w:pStyle w:val="72"/>
              <w:rPr>
                <w:rFonts w:ascii="Times New Roman" w:hAnsi="Times New Roman"/>
              </w:rPr>
            </w:pPr>
            <w:r>
              <w:rPr>
                <w:rFonts w:ascii="Times New Roman" w:hAnsi="Times New Roman"/>
              </w:rPr>
              <w:t>计算基础</w:t>
            </w:r>
          </w:p>
        </w:tc>
        <w:tc>
          <w:tcPr>
            <w:tcW w:w="1324" w:type="pct"/>
            <w:vAlign w:val="center"/>
          </w:tcPr>
          <w:p w14:paraId="4BC12C11">
            <w:pPr>
              <w:pStyle w:val="72"/>
              <w:rPr>
                <w:rFonts w:ascii="Times New Roman" w:hAnsi="Times New Roman"/>
              </w:rPr>
            </w:pPr>
            <w:r>
              <w:rPr>
                <w:rFonts w:ascii="Times New Roman" w:hAnsi="Times New Roman"/>
              </w:rPr>
              <w:t>间接费费率（%）</w:t>
            </w:r>
          </w:p>
        </w:tc>
      </w:tr>
      <w:tr w14:paraId="48F5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1216" w:type="pct"/>
          </w:tcPr>
          <w:p w14:paraId="272A2B85">
            <w:pPr>
              <w:pStyle w:val="72"/>
              <w:rPr>
                <w:rFonts w:ascii="Times New Roman" w:hAnsi="Times New Roman"/>
              </w:rPr>
            </w:pPr>
            <w:r>
              <w:rPr>
                <w:rFonts w:ascii="Times New Roman" w:hAnsi="Times New Roman"/>
              </w:rPr>
              <w:t>1</w:t>
            </w:r>
          </w:p>
        </w:tc>
        <w:tc>
          <w:tcPr>
            <w:tcW w:w="1216" w:type="pct"/>
            <w:vAlign w:val="center"/>
          </w:tcPr>
          <w:p w14:paraId="17D45C5E">
            <w:pPr>
              <w:pStyle w:val="72"/>
              <w:rPr>
                <w:rFonts w:ascii="Times New Roman" w:hAnsi="Times New Roman"/>
              </w:rPr>
            </w:pPr>
            <w:r>
              <w:rPr>
                <w:rFonts w:ascii="Times New Roman" w:hAnsi="Times New Roman"/>
              </w:rPr>
              <w:t>土方工程</w:t>
            </w:r>
          </w:p>
        </w:tc>
        <w:tc>
          <w:tcPr>
            <w:tcW w:w="1243" w:type="pct"/>
            <w:vAlign w:val="center"/>
          </w:tcPr>
          <w:p w14:paraId="48E84DD3">
            <w:pPr>
              <w:pStyle w:val="72"/>
              <w:rPr>
                <w:rFonts w:ascii="Times New Roman" w:hAnsi="Times New Roman"/>
              </w:rPr>
            </w:pPr>
            <w:r>
              <w:rPr>
                <w:rFonts w:ascii="Times New Roman" w:hAnsi="Times New Roman"/>
              </w:rPr>
              <w:t>直接费</w:t>
            </w:r>
          </w:p>
        </w:tc>
        <w:tc>
          <w:tcPr>
            <w:tcW w:w="1324" w:type="pct"/>
            <w:vAlign w:val="center"/>
          </w:tcPr>
          <w:p w14:paraId="12FE8307">
            <w:pPr>
              <w:pStyle w:val="72"/>
              <w:rPr>
                <w:rFonts w:ascii="Times New Roman" w:hAnsi="Times New Roman"/>
              </w:rPr>
            </w:pPr>
            <w:r>
              <w:rPr>
                <w:rFonts w:ascii="Times New Roman" w:hAnsi="Times New Roman"/>
              </w:rPr>
              <w:t>6</w:t>
            </w:r>
          </w:p>
        </w:tc>
      </w:tr>
      <w:tr w14:paraId="2253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1216" w:type="pct"/>
          </w:tcPr>
          <w:p w14:paraId="08C47939">
            <w:pPr>
              <w:pStyle w:val="72"/>
              <w:rPr>
                <w:rFonts w:ascii="Times New Roman" w:hAnsi="Times New Roman"/>
              </w:rPr>
            </w:pPr>
            <w:r>
              <w:rPr>
                <w:rFonts w:ascii="Times New Roman" w:hAnsi="Times New Roman"/>
              </w:rPr>
              <w:t>2</w:t>
            </w:r>
          </w:p>
        </w:tc>
        <w:tc>
          <w:tcPr>
            <w:tcW w:w="1216" w:type="pct"/>
            <w:vAlign w:val="center"/>
          </w:tcPr>
          <w:p w14:paraId="746B3281">
            <w:pPr>
              <w:pStyle w:val="72"/>
              <w:rPr>
                <w:rFonts w:ascii="Times New Roman" w:hAnsi="Times New Roman"/>
              </w:rPr>
            </w:pPr>
            <w:r>
              <w:rPr>
                <w:rFonts w:ascii="Times New Roman" w:hAnsi="Times New Roman"/>
              </w:rPr>
              <w:t>石方工程</w:t>
            </w:r>
          </w:p>
        </w:tc>
        <w:tc>
          <w:tcPr>
            <w:tcW w:w="1243" w:type="pct"/>
            <w:vAlign w:val="center"/>
          </w:tcPr>
          <w:p w14:paraId="4F7D84E9">
            <w:pPr>
              <w:pStyle w:val="72"/>
              <w:rPr>
                <w:rFonts w:ascii="Times New Roman" w:hAnsi="Times New Roman"/>
              </w:rPr>
            </w:pPr>
            <w:r>
              <w:rPr>
                <w:rFonts w:ascii="Times New Roman" w:hAnsi="Times New Roman"/>
              </w:rPr>
              <w:t>直接费</w:t>
            </w:r>
          </w:p>
        </w:tc>
        <w:tc>
          <w:tcPr>
            <w:tcW w:w="1324" w:type="pct"/>
            <w:vAlign w:val="center"/>
          </w:tcPr>
          <w:p w14:paraId="1D60B6D6">
            <w:pPr>
              <w:pStyle w:val="72"/>
              <w:rPr>
                <w:rFonts w:ascii="Times New Roman" w:hAnsi="Times New Roman"/>
              </w:rPr>
            </w:pPr>
            <w:r>
              <w:rPr>
                <w:rFonts w:ascii="Times New Roman" w:hAnsi="Times New Roman"/>
              </w:rPr>
              <w:t>7.2</w:t>
            </w:r>
          </w:p>
        </w:tc>
      </w:tr>
      <w:tr w14:paraId="34CD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1216" w:type="pct"/>
          </w:tcPr>
          <w:p w14:paraId="656FD8A3">
            <w:pPr>
              <w:pStyle w:val="72"/>
              <w:rPr>
                <w:rFonts w:ascii="Times New Roman" w:hAnsi="Times New Roman"/>
              </w:rPr>
            </w:pPr>
            <w:r>
              <w:rPr>
                <w:rFonts w:ascii="Times New Roman" w:hAnsi="Times New Roman"/>
              </w:rPr>
              <w:t>3</w:t>
            </w:r>
          </w:p>
        </w:tc>
        <w:tc>
          <w:tcPr>
            <w:tcW w:w="1216" w:type="pct"/>
            <w:vAlign w:val="center"/>
          </w:tcPr>
          <w:p w14:paraId="0ED6D191">
            <w:pPr>
              <w:pStyle w:val="72"/>
              <w:rPr>
                <w:rFonts w:ascii="Times New Roman" w:hAnsi="Times New Roman"/>
              </w:rPr>
            </w:pPr>
            <w:r>
              <w:rPr>
                <w:rFonts w:ascii="Times New Roman" w:hAnsi="Times New Roman"/>
              </w:rPr>
              <w:t>砌体工程</w:t>
            </w:r>
          </w:p>
        </w:tc>
        <w:tc>
          <w:tcPr>
            <w:tcW w:w="1243" w:type="pct"/>
            <w:vAlign w:val="center"/>
          </w:tcPr>
          <w:p w14:paraId="62324DD0">
            <w:pPr>
              <w:pStyle w:val="72"/>
              <w:rPr>
                <w:rFonts w:ascii="Times New Roman" w:hAnsi="Times New Roman"/>
              </w:rPr>
            </w:pPr>
            <w:r>
              <w:rPr>
                <w:rFonts w:ascii="Times New Roman" w:hAnsi="Times New Roman"/>
              </w:rPr>
              <w:t>直接费</w:t>
            </w:r>
          </w:p>
        </w:tc>
        <w:tc>
          <w:tcPr>
            <w:tcW w:w="1324" w:type="pct"/>
            <w:vAlign w:val="center"/>
          </w:tcPr>
          <w:p w14:paraId="3EE00FDC">
            <w:pPr>
              <w:pStyle w:val="72"/>
              <w:rPr>
                <w:rFonts w:ascii="Times New Roman" w:hAnsi="Times New Roman"/>
              </w:rPr>
            </w:pPr>
            <w:r>
              <w:rPr>
                <w:rFonts w:ascii="Times New Roman" w:hAnsi="Times New Roman"/>
              </w:rPr>
              <w:t>6</w:t>
            </w:r>
          </w:p>
        </w:tc>
      </w:tr>
      <w:tr w14:paraId="13CC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1216" w:type="pct"/>
          </w:tcPr>
          <w:p w14:paraId="4274B745">
            <w:pPr>
              <w:pStyle w:val="72"/>
              <w:rPr>
                <w:rFonts w:ascii="Times New Roman" w:hAnsi="Times New Roman"/>
              </w:rPr>
            </w:pPr>
            <w:r>
              <w:rPr>
                <w:rFonts w:ascii="Times New Roman" w:hAnsi="Times New Roman"/>
              </w:rPr>
              <w:t>4</w:t>
            </w:r>
          </w:p>
        </w:tc>
        <w:tc>
          <w:tcPr>
            <w:tcW w:w="1216" w:type="pct"/>
            <w:vAlign w:val="center"/>
          </w:tcPr>
          <w:p w14:paraId="12A7AADC">
            <w:pPr>
              <w:pStyle w:val="72"/>
              <w:rPr>
                <w:rFonts w:ascii="Times New Roman" w:hAnsi="Times New Roman"/>
              </w:rPr>
            </w:pPr>
            <w:r>
              <w:rPr>
                <w:rFonts w:ascii="Times New Roman" w:hAnsi="Times New Roman"/>
              </w:rPr>
              <w:t>混凝土工程</w:t>
            </w:r>
          </w:p>
        </w:tc>
        <w:tc>
          <w:tcPr>
            <w:tcW w:w="1243" w:type="pct"/>
            <w:vAlign w:val="center"/>
          </w:tcPr>
          <w:p w14:paraId="455276C3">
            <w:pPr>
              <w:pStyle w:val="72"/>
              <w:rPr>
                <w:rFonts w:ascii="Times New Roman" w:hAnsi="Times New Roman"/>
              </w:rPr>
            </w:pPr>
            <w:r>
              <w:rPr>
                <w:rFonts w:ascii="Times New Roman" w:hAnsi="Times New Roman"/>
              </w:rPr>
              <w:t>直接费</w:t>
            </w:r>
          </w:p>
        </w:tc>
        <w:tc>
          <w:tcPr>
            <w:tcW w:w="1324" w:type="pct"/>
            <w:vAlign w:val="center"/>
          </w:tcPr>
          <w:p w14:paraId="07A30391">
            <w:pPr>
              <w:pStyle w:val="72"/>
              <w:rPr>
                <w:rFonts w:ascii="Times New Roman" w:hAnsi="Times New Roman"/>
              </w:rPr>
            </w:pPr>
            <w:r>
              <w:rPr>
                <w:rFonts w:ascii="Times New Roman" w:hAnsi="Times New Roman"/>
              </w:rPr>
              <w:t>7.2</w:t>
            </w:r>
          </w:p>
        </w:tc>
      </w:tr>
      <w:tr w14:paraId="291D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1216" w:type="pct"/>
          </w:tcPr>
          <w:p w14:paraId="259637F1">
            <w:pPr>
              <w:pStyle w:val="72"/>
              <w:rPr>
                <w:rFonts w:ascii="Times New Roman" w:hAnsi="Times New Roman"/>
              </w:rPr>
            </w:pPr>
            <w:r>
              <w:rPr>
                <w:rFonts w:ascii="Times New Roman" w:hAnsi="Times New Roman"/>
              </w:rPr>
              <w:t>5</w:t>
            </w:r>
          </w:p>
        </w:tc>
        <w:tc>
          <w:tcPr>
            <w:tcW w:w="1216" w:type="pct"/>
            <w:vAlign w:val="center"/>
          </w:tcPr>
          <w:p w14:paraId="0EECD219">
            <w:pPr>
              <w:pStyle w:val="72"/>
              <w:rPr>
                <w:rFonts w:ascii="Times New Roman" w:hAnsi="Times New Roman"/>
              </w:rPr>
            </w:pPr>
            <w:r>
              <w:rPr>
                <w:rFonts w:ascii="Times New Roman" w:hAnsi="Times New Roman"/>
              </w:rPr>
              <w:t>其他工程</w:t>
            </w:r>
          </w:p>
        </w:tc>
        <w:tc>
          <w:tcPr>
            <w:tcW w:w="1243" w:type="pct"/>
            <w:vAlign w:val="center"/>
          </w:tcPr>
          <w:p w14:paraId="2E44CFBE">
            <w:pPr>
              <w:pStyle w:val="72"/>
              <w:rPr>
                <w:rFonts w:ascii="Times New Roman" w:hAnsi="Times New Roman"/>
              </w:rPr>
            </w:pPr>
            <w:r>
              <w:rPr>
                <w:rFonts w:ascii="Times New Roman" w:hAnsi="Times New Roman"/>
              </w:rPr>
              <w:t>直接费</w:t>
            </w:r>
          </w:p>
        </w:tc>
        <w:tc>
          <w:tcPr>
            <w:tcW w:w="1324" w:type="pct"/>
            <w:vAlign w:val="center"/>
          </w:tcPr>
          <w:p w14:paraId="20E26A84">
            <w:pPr>
              <w:pStyle w:val="72"/>
              <w:rPr>
                <w:rFonts w:ascii="Times New Roman" w:hAnsi="Times New Roman"/>
              </w:rPr>
            </w:pPr>
            <w:r>
              <w:rPr>
                <w:rFonts w:ascii="Times New Roman" w:hAnsi="Times New Roman"/>
              </w:rPr>
              <w:t>6</w:t>
            </w:r>
          </w:p>
        </w:tc>
      </w:tr>
    </w:tbl>
    <w:p w14:paraId="5B01D64D">
      <w:pPr>
        <w:ind w:firstLine="560"/>
      </w:pPr>
      <w:r>
        <w:t>（3）利润</w:t>
      </w:r>
    </w:p>
    <w:p w14:paraId="708726E7">
      <w:pPr>
        <w:ind w:firstLine="560"/>
      </w:pPr>
      <w:r>
        <w:t>利润按直接费与间接费之和计算，费率取3%。计算公式为：</w:t>
      </w:r>
    </w:p>
    <w:p w14:paraId="0BEC7172">
      <w:pPr>
        <w:ind w:firstLine="560"/>
      </w:pPr>
      <w:r>
        <w:t>利润＝（直接费＋间接费）×利润率</w:t>
      </w:r>
    </w:p>
    <w:p w14:paraId="08C8C9E8">
      <w:pPr>
        <w:ind w:firstLine="560"/>
      </w:pPr>
      <w:r>
        <w:t>（4）税金</w:t>
      </w:r>
    </w:p>
    <w:p w14:paraId="19F67232">
      <w:pPr>
        <w:ind w:firstLine="560"/>
      </w:pPr>
      <w:r>
        <w:t>税金指按国家规定应计入造价内的营业税、城市维护建设税和教育费附加。本项目税率依据财政部、税务总局、海关总署公告2019年第39号《关于深化增值税改革有关政策的公告》确定，建设项目在市区或县城以外的，税金费率取9%，计算基础为直接费、间接费和利润之和。</w:t>
      </w:r>
    </w:p>
    <w:p w14:paraId="1E87A263">
      <w:pPr>
        <w:ind w:firstLine="560"/>
      </w:pPr>
      <w:r>
        <w:t>税金＝（直接费＋间接费+利润）×税率</w:t>
      </w:r>
    </w:p>
    <w:p w14:paraId="546D689C">
      <w:pPr>
        <w:ind w:firstLine="560"/>
      </w:pPr>
      <w:bookmarkStart w:id="217" w:name="_Toc54086413"/>
      <w:r>
        <w:t>3.其他费用</w:t>
      </w:r>
      <w:bookmarkEnd w:id="217"/>
    </w:p>
    <w:p w14:paraId="04530ECE">
      <w:pPr>
        <w:ind w:firstLine="560"/>
      </w:pPr>
      <w:r>
        <w:t>其他费用由前期工作费、工程监理费、拆迁补偿费、竣工验收费和业主管理费组成。</w:t>
      </w:r>
    </w:p>
    <w:p w14:paraId="016B980E">
      <w:pPr>
        <w:ind w:firstLine="538"/>
        <w:rPr>
          <w:rFonts w:hint="eastAsia" w:ascii="宋体" w:hAnsi="宋体"/>
          <w:szCs w:val="28"/>
        </w:rPr>
      </w:pPr>
      <w:r>
        <w:rPr>
          <w:rFonts w:hint="eastAsia" w:ascii="宋体" w:hAnsi="宋体"/>
          <w:b/>
          <w:spacing w:val="-6"/>
          <w:szCs w:val="28"/>
        </w:rPr>
        <w:t>其他费用：</w:t>
      </w:r>
      <w:r>
        <w:rPr>
          <w:rFonts w:hint="eastAsia" w:ascii="宋体" w:hAnsi="宋体"/>
          <w:spacing w:val="-6"/>
          <w:szCs w:val="28"/>
        </w:rPr>
        <w:t>前期工作费、工程监理费、竣工验收费、业主管理费。</w:t>
      </w:r>
    </w:p>
    <w:p w14:paraId="17B512CD">
      <w:pPr>
        <w:ind w:firstLine="560"/>
        <w:rPr>
          <w:kern w:val="0"/>
        </w:rPr>
      </w:pPr>
      <w:bookmarkStart w:id="218" w:name="_Toc129688455"/>
      <w:bookmarkStart w:id="219" w:name="_Toc54086419"/>
      <w:r>
        <w:rPr>
          <w:kern w:val="0"/>
        </w:rPr>
        <w:t>（1）前期费用</w:t>
      </w:r>
    </w:p>
    <w:p w14:paraId="189F016B">
      <w:pPr>
        <w:ind w:firstLine="560"/>
        <w:rPr>
          <w:kern w:val="0"/>
        </w:rPr>
      </w:pPr>
      <w:r>
        <w:rPr>
          <w:kern w:val="0"/>
        </w:rPr>
        <w:t>前期费用参考财政部、国土资源部《关于印发土地开发整理项目预算定额标准的通知》（财政〔2011〕128号）和《国土资源部办公厅关于做好矿山地质环境保护与土地复垦方案编报有关工作的通知》</w:t>
      </w:r>
      <w:r>
        <w:rPr>
          <w:rFonts w:hint="eastAsia"/>
          <w:kern w:val="0"/>
        </w:rPr>
        <w:t>（</w:t>
      </w:r>
      <w:r>
        <w:rPr>
          <w:kern w:val="0"/>
        </w:rPr>
        <w:t>国土资规〔2016〕21号</w:t>
      </w:r>
      <w:r>
        <w:rPr>
          <w:rFonts w:hint="eastAsia"/>
          <w:kern w:val="0"/>
        </w:rPr>
        <w:t>）</w:t>
      </w:r>
      <w:r>
        <w:rPr>
          <w:kern w:val="0"/>
        </w:rPr>
        <w:t>中规定计取</w:t>
      </w:r>
      <w:r>
        <w:rPr>
          <w:rFonts w:hint="eastAsia"/>
          <w:kern w:val="0"/>
        </w:rPr>
        <w:t>，</w:t>
      </w:r>
      <w:r>
        <w:rPr>
          <w:kern w:val="0"/>
        </w:rPr>
        <w:t>工程施工费的6.0%。</w:t>
      </w:r>
    </w:p>
    <w:p w14:paraId="270614AA">
      <w:pPr>
        <w:ind w:firstLine="560"/>
        <w:rPr>
          <w:kern w:val="0"/>
        </w:rPr>
      </w:pPr>
      <w:r>
        <w:rPr>
          <w:kern w:val="0"/>
        </w:rPr>
        <w:t>（2）工程监理费</w:t>
      </w:r>
    </w:p>
    <w:p w14:paraId="2F539517">
      <w:pPr>
        <w:ind w:firstLine="560"/>
        <w:rPr>
          <w:kern w:val="0"/>
        </w:rPr>
      </w:pPr>
      <w:r>
        <w:rPr>
          <w:kern w:val="0"/>
        </w:rPr>
        <w:t>参考国家有关规定进行</w:t>
      </w:r>
      <w:r>
        <w:rPr>
          <w:rFonts w:hint="eastAsia"/>
          <w:kern w:val="0"/>
        </w:rPr>
        <w:t>全过</w:t>
      </w:r>
      <w:r>
        <w:rPr>
          <w:kern w:val="0"/>
        </w:rPr>
        <w:t>程的监督与管理所发生的费用，依据财政部、国土资源部《土地开发整理项目预算编制规定》中规定，工程施工费的2.4%。</w:t>
      </w:r>
    </w:p>
    <w:p w14:paraId="348B4E96">
      <w:pPr>
        <w:ind w:firstLine="560"/>
        <w:rPr>
          <w:kern w:val="0"/>
        </w:rPr>
      </w:pPr>
      <w:r>
        <w:rPr>
          <w:kern w:val="0"/>
        </w:rPr>
        <w:t>（3）竣工验收费</w:t>
      </w:r>
    </w:p>
    <w:p w14:paraId="5F52ADAA">
      <w:pPr>
        <w:ind w:firstLine="560"/>
        <w:rPr>
          <w:kern w:val="0"/>
        </w:rPr>
      </w:pPr>
      <w:r>
        <w:rPr>
          <w:kern w:val="0"/>
        </w:rPr>
        <w:t>参考国家有关规定进行</w:t>
      </w:r>
      <w:r>
        <w:rPr>
          <w:rFonts w:hint="eastAsia"/>
          <w:kern w:val="0"/>
        </w:rPr>
        <w:t>全过</w:t>
      </w:r>
      <w:r>
        <w:rPr>
          <w:kern w:val="0"/>
        </w:rPr>
        <w:t>程的监督与管理所发生的费用，依据财政部、国土资源部《土地开发整理项目预算编制规定》中规定，工程施工费的4%。</w:t>
      </w:r>
    </w:p>
    <w:p w14:paraId="01DD3ACD">
      <w:pPr>
        <w:ind w:firstLine="560"/>
        <w:rPr>
          <w:kern w:val="0"/>
        </w:rPr>
      </w:pPr>
      <w:r>
        <w:rPr>
          <w:kern w:val="0"/>
        </w:rPr>
        <w:t>（4）业主管理费</w:t>
      </w:r>
    </w:p>
    <w:p w14:paraId="1F2572C9">
      <w:pPr>
        <w:ind w:firstLine="560"/>
        <w:rPr>
          <w:kern w:val="0"/>
        </w:rPr>
      </w:pPr>
      <w:r>
        <w:rPr>
          <w:kern w:val="0"/>
        </w:rPr>
        <w:t>参考国家有关规定进行</w:t>
      </w:r>
      <w:r>
        <w:rPr>
          <w:rFonts w:hint="eastAsia"/>
          <w:kern w:val="0"/>
        </w:rPr>
        <w:t>全过</w:t>
      </w:r>
      <w:r>
        <w:rPr>
          <w:kern w:val="0"/>
        </w:rPr>
        <w:t>程的监督与管理所发生的费用，依据财政部、国土资源部《土地开发整理项目预算编制规定》中规定，为工程施工费、前期工作费、工程监理费、竣工验收费之和的2.8%。</w:t>
      </w:r>
    </w:p>
    <w:p w14:paraId="7AB15838">
      <w:pPr>
        <w:ind w:firstLine="560"/>
      </w:pPr>
      <w:r>
        <w:t>4.</w:t>
      </w:r>
      <w:bookmarkEnd w:id="218"/>
      <w:r>
        <w:t>预备费</w:t>
      </w:r>
      <w:bookmarkEnd w:id="219"/>
    </w:p>
    <w:p w14:paraId="00924CF7">
      <w:pPr>
        <w:ind w:firstLine="560"/>
      </w:pPr>
      <w:r>
        <w:t>预备费包括基本预备费和差价预备费。基本预备费取费基数为工程施工费、其他费用两项费用合计金额，费率为不超过3%，本方案取3%。</w:t>
      </w:r>
    </w:p>
    <w:p w14:paraId="079F5382">
      <w:pPr>
        <w:ind w:firstLine="560"/>
      </w:pPr>
      <w:r>
        <w:t>5.风险金</w:t>
      </w:r>
    </w:p>
    <w:p w14:paraId="0653696A">
      <w:pPr>
        <w:ind w:firstLine="560"/>
      </w:pPr>
      <w:r>
        <w:t>风险金取费基数为工程施工费金额，费率不超过5%，本方案取5%。</w:t>
      </w:r>
      <w:bookmarkStart w:id="220" w:name="_Toc517356182"/>
      <w:bookmarkStart w:id="221" w:name="_Toc14708"/>
      <w:bookmarkStart w:id="222" w:name="_Toc14422157"/>
    </w:p>
    <w:p w14:paraId="48FFB58D">
      <w:pPr>
        <w:ind w:firstLine="560"/>
      </w:pPr>
      <w:r>
        <w:rPr>
          <w:rFonts w:hint="eastAsia"/>
        </w:rPr>
        <w:t>6.监测费与管护费</w:t>
      </w:r>
    </w:p>
    <w:p w14:paraId="14E4C099">
      <w:pPr>
        <w:autoSpaceDE w:val="0"/>
        <w:autoSpaceDN w:val="0"/>
        <w:ind w:firstLine="560"/>
      </w:pPr>
      <w:r>
        <w:rPr>
          <w:kern w:val="0"/>
        </w:rPr>
        <w:t>本方案</w:t>
      </w:r>
      <w:r>
        <w:rPr>
          <w:rFonts w:hint="eastAsia"/>
          <w:kern w:val="0"/>
        </w:rPr>
        <w:t>矿山地质环境监测费</w:t>
      </w:r>
      <w:r>
        <w:rPr>
          <w:kern w:val="0"/>
        </w:rPr>
        <w:t>用按照</w:t>
      </w:r>
      <w:r>
        <w:rPr>
          <w:rFonts w:hint="eastAsia"/>
          <w:kern w:val="0"/>
        </w:rPr>
        <w:t>200元/次计取；土地资源生态监测费</w:t>
      </w:r>
      <w:r>
        <w:rPr>
          <w:kern w:val="0"/>
        </w:rPr>
        <w:t>用按照</w:t>
      </w:r>
      <w:r>
        <w:rPr>
          <w:rFonts w:hint="eastAsia"/>
          <w:kern w:val="0"/>
        </w:rPr>
        <w:t>200元/次计取；水量监测费</w:t>
      </w:r>
      <w:r>
        <w:rPr>
          <w:kern w:val="0"/>
        </w:rPr>
        <w:t>用按照</w:t>
      </w:r>
      <w:r>
        <w:rPr>
          <w:rFonts w:hint="eastAsia"/>
          <w:kern w:val="0"/>
        </w:rPr>
        <w:t>200元/次计取；水质监测费</w:t>
      </w:r>
      <w:r>
        <w:rPr>
          <w:kern w:val="0"/>
        </w:rPr>
        <w:t>用按照</w:t>
      </w:r>
      <w:r>
        <w:rPr>
          <w:rFonts w:hint="eastAsia"/>
          <w:kern w:val="0"/>
        </w:rPr>
        <w:t>2000元/次计取；</w:t>
      </w:r>
      <w:r>
        <w:rPr>
          <w:kern w:val="0"/>
        </w:rPr>
        <w:t>管护费按当地人工价</w:t>
      </w:r>
      <w:r>
        <w:rPr>
          <w:rFonts w:hint="eastAsia"/>
          <w:kern w:val="0"/>
        </w:rPr>
        <w:t>4</w:t>
      </w:r>
      <w:r>
        <w:rPr>
          <w:kern w:val="0"/>
        </w:rPr>
        <w:t>000元/hm</w:t>
      </w:r>
      <w:r>
        <w:rPr>
          <w:kern w:val="0"/>
          <w:vertAlign w:val="superscript"/>
        </w:rPr>
        <w:t>2</w:t>
      </w:r>
      <w:r>
        <w:rPr>
          <w:kern w:val="0"/>
        </w:rPr>
        <w:t>年计取。</w:t>
      </w:r>
    </w:p>
    <w:p w14:paraId="26BD6BA0">
      <w:pPr>
        <w:ind w:firstLine="560"/>
      </w:pPr>
      <w:r>
        <w:t>（二）</w:t>
      </w:r>
      <w:bookmarkEnd w:id="220"/>
      <w:bookmarkEnd w:id="221"/>
      <w:bookmarkEnd w:id="222"/>
      <w:r>
        <w:t>单项工程量及其经费估算</w:t>
      </w:r>
    </w:p>
    <w:p w14:paraId="4BD69BE3">
      <w:pPr>
        <w:ind w:firstLine="560"/>
        <w:rPr>
          <w:szCs w:val="28"/>
        </w:rPr>
      </w:pPr>
      <w:r>
        <w:rPr>
          <w:szCs w:val="28"/>
        </w:rPr>
        <w:t>矿山生态修复包括</w:t>
      </w:r>
      <w:r>
        <w:rPr>
          <w:rFonts w:hint="eastAsia"/>
          <w:szCs w:val="28"/>
        </w:rPr>
        <w:t>地质灾害治理和</w:t>
      </w:r>
      <w:r>
        <w:rPr>
          <w:szCs w:val="28"/>
        </w:rPr>
        <w:t>地貌重塑等，单项工程量经费详见表6-4。</w:t>
      </w:r>
    </w:p>
    <w:p w14:paraId="2443E2F7">
      <w:pPr>
        <w:ind w:firstLine="560"/>
        <w:rPr>
          <w:szCs w:val="28"/>
        </w:rPr>
      </w:pPr>
    </w:p>
    <w:p w14:paraId="0327273D">
      <w:pPr>
        <w:pStyle w:val="57"/>
        <w:rPr>
          <w:rFonts w:ascii="Times New Roman" w:hAnsi="Times New Roman"/>
        </w:rPr>
      </w:pPr>
      <w:r>
        <w:rPr>
          <w:rFonts w:ascii="Times New Roman" w:hAnsi="Times New Roman"/>
        </w:rPr>
        <w:t>表6-4单项工程量及其经费估算汇总表</w:t>
      </w:r>
    </w:p>
    <w:tbl>
      <w:tblPr>
        <w:tblStyle w:val="42"/>
        <w:tblW w:w="5000" w:type="pct"/>
        <w:tblInd w:w="0" w:type="dxa"/>
        <w:tblLayout w:type="autofit"/>
        <w:tblCellMar>
          <w:top w:w="0" w:type="dxa"/>
          <w:left w:w="108" w:type="dxa"/>
          <w:bottom w:w="0" w:type="dxa"/>
          <w:right w:w="108" w:type="dxa"/>
        </w:tblCellMar>
      </w:tblPr>
      <w:tblGrid>
        <w:gridCol w:w="815"/>
        <w:gridCol w:w="1249"/>
        <w:gridCol w:w="2113"/>
        <w:gridCol w:w="1121"/>
        <w:gridCol w:w="1354"/>
        <w:gridCol w:w="1546"/>
        <w:gridCol w:w="1372"/>
      </w:tblGrid>
      <w:tr w14:paraId="4E054181">
        <w:tblPrEx>
          <w:tblCellMar>
            <w:top w:w="0" w:type="dxa"/>
            <w:left w:w="108" w:type="dxa"/>
            <w:bottom w:w="0" w:type="dxa"/>
            <w:right w:w="108" w:type="dxa"/>
          </w:tblCellMar>
        </w:tblPrEx>
        <w:trPr>
          <w:trHeight w:val="64" w:hRule="atLeast"/>
          <w:tblHeader/>
        </w:trPr>
        <w:tc>
          <w:tcPr>
            <w:tcW w:w="426" w:type="pct"/>
            <w:tcBorders>
              <w:top w:val="single" w:color="auto" w:sz="4" w:space="0"/>
              <w:left w:val="single" w:color="auto" w:sz="4" w:space="0"/>
              <w:bottom w:val="single" w:color="auto" w:sz="4" w:space="0"/>
              <w:right w:val="single" w:color="auto" w:sz="4" w:space="0"/>
            </w:tcBorders>
            <w:vAlign w:val="center"/>
          </w:tcPr>
          <w:p w14:paraId="1019057D">
            <w:pPr>
              <w:pStyle w:val="72"/>
              <w:rPr>
                <w:rFonts w:hint="eastAsia"/>
                <w:color w:val="000000"/>
              </w:rPr>
            </w:pPr>
            <w:r>
              <w:rPr>
                <w:rFonts w:hint="eastAsia" w:ascii="仿宋" w:hAnsi="仿宋"/>
                <w:sz w:val="20"/>
                <w:szCs w:val="20"/>
              </w:rPr>
              <w:t>序号</w:t>
            </w:r>
          </w:p>
        </w:tc>
        <w:tc>
          <w:tcPr>
            <w:tcW w:w="652" w:type="pct"/>
            <w:tcBorders>
              <w:top w:val="single" w:color="auto" w:sz="4" w:space="0"/>
              <w:left w:val="nil"/>
              <w:bottom w:val="single" w:color="auto" w:sz="4" w:space="0"/>
              <w:right w:val="single" w:color="auto" w:sz="4" w:space="0"/>
            </w:tcBorders>
            <w:vAlign w:val="center"/>
          </w:tcPr>
          <w:p w14:paraId="2AF433FA">
            <w:pPr>
              <w:pStyle w:val="72"/>
              <w:rPr>
                <w:rFonts w:hint="eastAsia"/>
                <w:color w:val="000000"/>
              </w:rPr>
            </w:pPr>
            <w:r>
              <w:rPr>
                <w:rFonts w:hint="eastAsia" w:ascii="仿宋" w:hAnsi="仿宋"/>
                <w:sz w:val="20"/>
                <w:szCs w:val="20"/>
              </w:rPr>
              <w:t>定额编号</w:t>
            </w:r>
          </w:p>
        </w:tc>
        <w:tc>
          <w:tcPr>
            <w:tcW w:w="1103" w:type="pct"/>
            <w:tcBorders>
              <w:top w:val="single" w:color="auto" w:sz="4" w:space="0"/>
              <w:left w:val="nil"/>
              <w:bottom w:val="single" w:color="auto" w:sz="4" w:space="0"/>
              <w:right w:val="single" w:color="auto" w:sz="4" w:space="0"/>
            </w:tcBorders>
            <w:vAlign w:val="center"/>
          </w:tcPr>
          <w:p w14:paraId="757AC4B3">
            <w:pPr>
              <w:pStyle w:val="72"/>
              <w:rPr>
                <w:rFonts w:hint="eastAsia"/>
                <w:color w:val="000000"/>
              </w:rPr>
            </w:pPr>
            <w:r>
              <w:rPr>
                <w:rFonts w:hint="eastAsia" w:ascii="仿宋" w:hAnsi="仿宋"/>
                <w:sz w:val="20"/>
                <w:szCs w:val="20"/>
              </w:rPr>
              <w:t>工程内容</w:t>
            </w:r>
          </w:p>
        </w:tc>
        <w:tc>
          <w:tcPr>
            <w:tcW w:w="585" w:type="pct"/>
            <w:tcBorders>
              <w:top w:val="single" w:color="auto" w:sz="4" w:space="0"/>
              <w:left w:val="nil"/>
              <w:bottom w:val="single" w:color="auto" w:sz="4" w:space="0"/>
              <w:right w:val="single" w:color="auto" w:sz="4" w:space="0"/>
            </w:tcBorders>
            <w:vAlign w:val="center"/>
          </w:tcPr>
          <w:p w14:paraId="01D900CA">
            <w:pPr>
              <w:pStyle w:val="72"/>
              <w:rPr>
                <w:rFonts w:hint="eastAsia"/>
                <w:color w:val="000000"/>
              </w:rPr>
            </w:pPr>
            <w:r>
              <w:rPr>
                <w:rFonts w:hint="eastAsia" w:ascii="仿宋" w:hAnsi="仿宋"/>
                <w:sz w:val="20"/>
                <w:szCs w:val="20"/>
              </w:rPr>
              <w:t>计算单位</w:t>
            </w:r>
          </w:p>
        </w:tc>
        <w:tc>
          <w:tcPr>
            <w:tcW w:w="707" w:type="pct"/>
            <w:tcBorders>
              <w:top w:val="single" w:color="auto" w:sz="4" w:space="0"/>
              <w:left w:val="nil"/>
              <w:bottom w:val="single" w:color="auto" w:sz="4" w:space="0"/>
              <w:right w:val="single" w:color="auto" w:sz="4" w:space="0"/>
            </w:tcBorders>
            <w:vAlign w:val="center"/>
          </w:tcPr>
          <w:p w14:paraId="7CFFFF4D">
            <w:pPr>
              <w:pStyle w:val="72"/>
              <w:rPr>
                <w:rFonts w:hint="eastAsia"/>
                <w:color w:val="000000"/>
              </w:rPr>
            </w:pPr>
            <w:r>
              <w:rPr>
                <w:rFonts w:hint="eastAsia" w:ascii="仿宋" w:hAnsi="仿宋"/>
                <w:sz w:val="20"/>
                <w:szCs w:val="20"/>
              </w:rPr>
              <w:t>工程量</w:t>
            </w:r>
          </w:p>
        </w:tc>
        <w:tc>
          <w:tcPr>
            <w:tcW w:w="807" w:type="pct"/>
            <w:tcBorders>
              <w:top w:val="single" w:color="auto" w:sz="4" w:space="0"/>
              <w:left w:val="nil"/>
              <w:bottom w:val="single" w:color="auto" w:sz="4" w:space="0"/>
              <w:right w:val="single" w:color="auto" w:sz="4" w:space="0"/>
            </w:tcBorders>
            <w:vAlign w:val="center"/>
          </w:tcPr>
          <w:p w14:paraId="03F2167A">
            <w:pPr>
              <w:pStyle w:val="72"/>
              <w:rPr>
                <w:rFonts w:hint="eastAsia"/>
                <w:color w:val="000000"/>
              </w:rPr>
            </w:pPr>
            <w:r>
              <w:rPr>
                <w:rFonts w:hint="eastAsia" w:ascii="仿宋" w:hAnsi="仿宋"/>
                <w:sz w:val="20"/>
                <w:szCs w:val="20"/>
              </w:rPr>
              <w:t>综合单价（元）</w:t>
            </w:r>
          </w:p>
        </w:tc>
        <w:tc>
          <w:tcPr>
            <w:tcW w:w="716" w:type="pct"/>
            <w:tcBorders>
              <w:top w:val="single" w:color="auto" w:sz="4" w:space="0"/>
              <w:left w:val="nil"/>
              <w:bottom w:val="single" w:color="auto" w:sz="4" w:space="0"/>
              <w:right w:val="single" w:color="auto" w:sz="4" w:space="0"/>
            </w:tcBorders>
            <w:vAlign w:val="center"/>
          </w:tcPr>
          <w:p w14:paraId="79550748">
            <w:pPr>
              <w:pStyle w:val="72"/>
              <w:rPr>
                <w:rFonts w:hint="eastAsia"/>
                <w:color w:val="000000"/>
              </w:rPr>
            </w:pPr>
            <w:r>
              <w:rPr>
                <w:rFonts w:hint="eastAsia" w:ascii="仿宋" w:hAnsi="仿宋"/>
                <w:sz w:val="20"/>
                <w:szCs w:val="20"/>
              </w:rPr>
              <w:t>合计（万元）</w:t>
            </w:r>
          </w:p>
        </w:tc>
      </w:tr>
      <w:tr w14:paraId="2E624C86">
        <w:tblPrEx>
          <w:tblCellMar>
            <w:top w:w="0" w:type="dxa"/>
            <w:left w:w="108" w:type="dxa"/>
            <w:bottom w:w="0" w:type="dxa"/>
            <w:right w:w="108" w:type="dxa"/>
          </w:tblCellMar>
        </w:tblPrEx>
        <w:trPr>
          <w:trHeight w:val="264" w:hRule="atLeast"/>
        </w:trPr>
        <w:tc>
          <w:tcPr>
            <w:tcW w:w="426" w:type="pct"/>
            <w:tcBorders>
              <w:top w:val="nil"/>
              <w:left w:val="single" w:color="auto" w:sz="4" w:space="0"/>
              <w:bottom w:val="single" w:color="auto" w:sz="4" w:space="0"/>
              <w:right w:val="single" w:color="auto" w:sz="4" w:space="0"/>
            </w:tcBorders>
            <w:vAlign w:val="center"/>
          </w:tcPr>
          <w:p w14:paraId="3AAEBE84">
            <w:pPr>
              <w:pStyle w:val="72"/>
              <w:rPr>
                <w:rFonts w:hint="eastAsia"/>
                <w:color w:val="000000"/>
              </w:rPr>
            </w:pPr>
            <w:r>
              <w:rPr>
                <w:rFonts w:hint="eastAsia" w:ascii="仿宋" w:hAnsi="仿宋"/>
                <w:color w:val="000000"/>
                <w:sz w:val="20"/>
                <w:szCs w:val="20"/>
              </w:rPr>
              <w:t>一</w:t>
            </w:r>
          </w:p>
        </w:tc>
        <w:tc>
          <w:tcPr>
            <w:tcW w:w="652" w:type="pct"/>
            <w:tcBorders>
              <w:top w:val="nil"/>
              <w:left w:val="nil"/>
              <w:bottom w:val="single" w:color="auto" w:sz="4" w:space="0"/>
              <w:right w:val="single" w:color="auto" w:sz="4" w:space="0"/>
            </w:tcBorders>
            <w:vAlign w:val="center"/>
          </w:tcPr>
          <w:p w14:paraId="5CCFA0D3">
            <w:pPr>
              <w:pStyle w:val="72"/>
              <w:rPr>
                <w:rFonts w:hint="eastAsia"/>
                <w:color w:val="000000"/>
              </w:rPr>
            </w:pPr>
            <w:r>
              <w:rPr>
                <w:rFonts w:hint="eastAsia" w:ascii="仿宋" w:hAnsi="仿宋"/>
                <w:color w:val="000000"/>
                <w:sz w:val="20"/>
                <w:szCs w:val="20"/>
              </w:rPr>
              <w:t>　</w:t>
            </w:r>
          </w:p>
        </w:tc>
        <w:tc>
          <w:tcPr>
            <w:tcW w:w="1103" w:type="pct"/>
            <w:tcBorders>
              <w:top w:val="nil"/>
              <w:left w:val="nil"/>
              <w:bottom w:val="single" w:color="auto" w:sz="4" w:space="0"/>
              <w:right w:val="single" w:color="auto" w:sz="4" w:space="0"/>
            </w:tcBorders>
            <w:vAlign w:val="center"/>
          </w:tcPr>
          <w:p w14:paraId="24599472">
            <w:pPr>
              <w:pStyle w:val="72"/>
              <w:rPr>
                <w:rFonts w:hint="eastAsia"/>
                <w:b/>
                <w:color w:val="000000"/>
              </w:rPr>
            </w:pPr>
            <w:r>
              <w:rPr>
                <w:rFonts w:hint="eastAsia" w:ascii="仿宋" w:hAnsi="仿宋"/>
                <w:szCs w:val="21"/>
              </w:rPr>
              <w:t>地质灾害治理</w:t>
            </w:r>
          </w:p>
        </w:tc>
        <w:tc>
          <w:tcPr>
            <w:tcW w:w="585" w:type="pct"/>
            <w:tcBorders>
              <w:top w:val="nil"/>
              <w:left w:val="nil"/>
              <w:bottom w:val="single" w:color="auto" w:sz="4" w:space="0"/>
              <w:right w:val="single" w:color="auto" w:sz="4" w:space="0"/>
            </w:tcBorders>
            <w:vAlign w:val="center"/>
          </w:tcPr>
          <w:p w14:paraId="1BA0B26E">
            <w:pPr>
              <w:pStyle w:val="72"/>
              <w:rPr>
                <w:rFonts w:hint="eastAsia"/>
                <w:color w:val="000000"/>
              </w:rPr>
            </w:pPr>
            <w:r>
              <w:rPr>
                <w:rFonts w:hint="eastAsia"/>
                <w:szCs w:val="21"/>
              </w:rPr>
              <w:t>　</w:t>
            </w:r>
          </w:p>
        </w:tc>
        <w:tc>
          <w:tcPr>
            <w:tcW w:w="707" w:type="pct"/>
            <w:tcBorders>
              <w:top w:val="nil"/>
              <w:left w:val="nil"/>
              <w:bottom w:val="single" w:color="auto" w:sz="4" w:space="0"/>
              <w:right w:val="single" w:color="auto" w:sz="4" w:space="0"/>
            </w:tcBorders>
            <w:vAlign w:val="center"/>
          </w:tcPr>
          <w:p w14:paraId="7EE9F7B4">
            <w:pPr>
              <w:pStyle w:val="72"/>
              <w:rPr>
                <w:rFonts w:hint="eastAsia"/>
                <w:color w:val="000000"/>
              </w:rPr>
            </w:pPr>
            <w:r>
              <w:rPr>
                <w:rFonts w:hint="eastAsia"/>
              </w:rPr>
              <w:t>　</w:t>
            </w:r>
          </w:p>
        </w:tc>
        <w:tc>
          <w:tcPr>
            <w:tcW w:w="807" w:type="pct"/>
            <w:tcBorders>
              <w:top w:val="nil"/>
              <w:left w:val="nil"/>
              <w:bottom w:val="single" w:color="auto" w:sz="4" w:space="0"/>
              <w:right w:val="single" w:color="auto" w:sz="4" w:space="0"/>
            </w:tcBorders>
            <w:vAlign w:val="center"/>
          </w:tcPr>
          <w:p w14:paraId="70D0BB1C">
            <w:pPr>
              <w:pStyle w:val="72"/>
              <w:rPr>
                <w:rFonts w:hint="eastAsia"/>
                <w:color w:val="000000"/>
              </w:rPr>
            </w:pPr>
            <w:r>
              <w:rPr>
                <w:rFonts w:hint="eastAsia" w:ascii="仿宋" w:hAnsi="仿宋"/>
                <w:color w:val="000000"/>
                <w:sz w:val="20"/>
                <w:szCs w:val="20"/>
              </w:rPr>
              <w:t>　</w:t>
            </w:r>
          </w:p>
        </w:tc>
        <w:tc>
          <w:tcPr>
            <w:tcW w:w="1372" w:type="dxa"/>
            <w:tcBorders>
              <w:top w:val="nil"/>
              <w:left w:val="nil"/>
              <w:bottom w:val="single" w:color="auto" w:sz="4" w:space="0"/>
              <w:right w:val="single" w:color="auto" w:sz="4" w:space="0"/>
            </w:tcBorders>
            <w:vAlign w:val="center"/>
          </w:tcPr>
          <w:p w14:paraId="12A711CB">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30.58 </w:t>
            </w:r>
          </w:p>
        </w:tc>
      </w:tr>
      <w:tr w14:paraId="0EAC8172">
        <w:tblPrEx>
          <w:tblCellMar>
            <w:top w:w="0" w:type="dxa"/>
            <w:left w:w="108" w:type="dxa"/>
            <w:bottom w:w="0" w:type="dxa"/>
            <w:right w:w="108" w:type="dxa"/>
          </w:tblCellMar>
        </w:tblPrEx>
        <w:trPr>
          <w:trHeight w:val="264" w:hRule="atLeast"/>
        </w:trPr>
        <w:tc>
          <w:tcPr>
            <w:tcW w:w="426" w:type="pct"/>
            <w:tcBorders>
              <w:top w:val="nil"/>
              <w:left w:val="single" w:color="auto" w:sz="4" w:space="0"/>
              <w:bottom w:val="single" w:color="auto" w:sz="4" w:space="0"/>
              <w:right w:val="single" w:color="auto" w:sz="4" w:space="0"/>
            </w:tcBorders>
            <w:vAlign w:val="center"/>
          </w:tcPr>
          <w:p w14:paraId="30CC4FDF">
            <w:pPr>
              <w:pStyle w:val="72"/>
              <w:rPr>
                <w:rFonts w:hint="eastAsia" w:ascii="仿宋" w:hAnsi="仿宋" w:eastAsia="仿宋"/>
                <w:color w:val="000000"/>
                <w:sz w:val="20"/>
                <w:szCs w:val="20"/>
                <w:lang w:val="en-US" w:eastAsia="zh-CN"/>
              </w:rPr>
            </w:pPr>
            <w:r>
              <w:rPr>
                <w:rFonts w:hint="eastAsia" w:ascii="仿宋" w:hAnsi="仿宋"/>
                <w:color w:val="000000"/>
                <w:sz w:val="20"/>
                <w:szCs w:val="20"/>
                <w:lang w:val="en-US" w:eastAsia="zh-CN"/>
              </w:rPr>
              <w:t>1</w:t>
            </w:r>
          </w:p>
        </w:tc>
        <w:tc>
          <w:tcPr>
            <w:tcW w:w="652" w:type="pct"/>
            <w:tcBorders>
              <w:top w:val="nil"/>
              <w:left w:val="nil"/>
              <w:bottom w:val="single" w:color="auto" w:sz="4" w:space="0"/>
              <w:right w:val="single" w:color="auto" w:sz="4" w:space="0"/>
            </w:tcBorders>
            <w:shd w:val="clear" w:color="auto" w:fill="auto"/>
            <w:vAlign w:val="center"/>
          </w:tcPr>
          <w:p w14:paraId="2888412D">
            <w:pPr>
              <w:pStyle w:val="72"/>
              <w:ind w:firstLine="0" w:firstLineChars="0"/>
              <w:rPr>
                <w:rFonts w:hint="eastAsia" w:ascii="仿宋" w:hAnsi="仿宋" w:cs="Times New Roman"/>
                <w:szCs w:val="21"/>
                <w:lang w:val="en-US" w:eastAsia="zh-CN"/>
              </w:rPr>
            </w:pPr>
            <w:r>
              <w:rPr>
                <w:rFonts w:hint="eastAsia" w:ascii="仿宋" w:hAnsi="仿宋" w:cs="Times New Roman"/>
                <w:szCs w:val="21"/>
              </w:rPr>
              <w:t>10158</w:t>
            </w:r>
          </w:p>
        </w:tc>
        <w:tc>
          <w:tcPr>
            <w:tcW w:w="1103" w:type="pct"/>
            <w:tcBorders>
              <w:top w:val="nil"/>
              <w:left w:val="nil"/>
              <w:bottom w:val="single" w:color="auto" w:sz="4" w:space="0"/>
              <w:right w:val="single" w:color="auto" w:sz="4" w:space="0"/>
            </w:tcBorders>
            <w:shd w:val="clear" w:color="auto" w:fill="auto"/>
            <w:vAlign w:val="center"/>
          </w:tcPr>
          <w:p w14:paraId="2151EFB0">
            <w:pPr>
              <w:pStyle w:val="72"/>
              <w:ind w:firstLine="0" w:firstLineChars="0"/>
              <w:rPr>
                <w:rFonts w:hint="eastAsia" w:ascii="宋体" w:hAnsi="宋体" w:eastAsia="仿宋" w:cs="Times New Roman"/>
                <w:b w:val="0"/>
                <w:bCs/>
                <w:color w:val="000000"/>
                <w:kern w:val="2"/>
                <w:sz w:val="21"/>
                <w:szCs w:val="28"/>
                <w:lang w:val="en-US" w:eastAsia="zh-CN" w:bidi="ar-SA"/>
              </w:rPr>
            </w:pPr>
            <w:r>
              <w:rPr>
                <w:rFonts w:hint="eastAsia" w:ascii="仿宋" w:hAnsi="仿宋"/>
                <w:szCs w:val="21"/>
              </w:rPr>
              <w:t>表土剥离</w:t>
            </w:r>
          </w:p>
        </w:tc>
        <w:tc>
          <w:tcPr>
            <w:tcW w:w="585" w:type="pct"/>
            <w:tcBorders>
              <w:top w:val="nil"/>
              <w:left w:val="nil"/>
              <w:bottom w:val="single" w:color="auto" w:sz="4" w:space="0"/>
              <w:right w:val="single" w:color="auto" w:sz="4" w:space="0"/>
            </w:tcBorders>
            <w:shd w:val="clear" w:color="auto" w:fill="auto"/>
            <w:vAlign w:val="center"/>
          </w:tcPr>
          <w:p w14:paraId="258E1C1B">
            <w:pPr>
              <w:pStyle w:val="72"/>
              <w:ind w:firstLine="0" w:firstLineChars="0"/>
              <w:rPr>
                <w:rFonts w:hint="eastAsia" w:ascii="宋体" w:hAnsi="宋体" w:eastAsia="仿宋" w:cs="Times New Roman"/>
                <w:b w:val="0"/>
                <w:bCs/>
                <w:color w:val="000000"/>
                <w:kern w:val="2"/>
                <w:sz w:val="21"/>
                <w:szCs w:val="21"/>
                <w:lang w:val="en-US" w:eastAsia="zh-CN" w:bidi="ar-SA"/>
              </w:rPr>
            </w:pP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p>
        </w:tc>
        <w:tc>
          <w:tcPr>
            <w:tcW w:w="1354" w:type="dxa"/>
            <w:tcBorders>
              <w:top w:val="nil"/>
              <w:left w:val="nil"/>
              <w:bottom w:val="single" w:color="auto" w:sz="4" w:space="0"/>
              <w:right w:val="single" w:color="auto" w:sz="4" w:space="0"/>
            </w:tcBorders>
            <w:vAlign w:val="center"/>
          </w:tcPr>
          <w:p w14:paraId="531E9474">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3504</w:t>
            </w:r>
          </w:p>
        </w:tc>
        <w:tc>
          <w:tcPr>
            <w:tcW w:w="807" w:type="pct"/>
            <w:tcBorders>
              <w:top w:val="nil"/>
              <w:left w:val="nil"/>
              <w:bottom w:val="single" w:color="auto" w:sz="4" w:space="0"/>
              <w:right w:val="single" w:color="auto" w:sz="4" w:space="0"/>
            </w:tcBorders>
            <w:vAlign w:val="center"/>
          </w:tcPr>
          <w:p w14:paraId="01B0E2C0">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6.02</w:t>
            </w:r>
          </w:p>
        </w:tc>
        <w:tc>
          <w:tcPr>
            <w:tcW w:w="1372" w:type="dxa"/>
            <w:tcBorders>
              <w:top w:val="nil"/>
              <w:left w:val="nil"/>
              <w:bottom w:val="single" w:color="auto" w:sz="4" w:space="0"/>
              <w:right w:val="single" w:color="auto" w:sz="4" w:space="0"/>
            </w:tcBorders>
            <w:vAlign w:val="center"/>
          </w:tcPr>
          <w:p w14:paraId="629E725E">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2.11 </w:t>
            </w:r>
          </w:p>
        </w:tc>
      </w:tr>
      <w:tr w14:paraId="31BD1152">
        <w:tblPrEx>
          <w:tblCellMar>
            <w:top w:w="0" w:type="dxa"/>
            <w:left w:w="108" w:type="dxa"/>
            <w:bottom w:w="0" w:type="dxa"/>
            <w:right w:w="108" w:type="dxa"/>
          </w:tblCellMar>
        </w:tblPrEx>
        <w:trPr>
          <w:trHeight w:val="264" w:hRule="atLeast"/>
        </w:trPr>
        <w:tc>
          <w:tcPr>
            <w:tcW w:w="426" w:type="pct"/>
            <w:tcBorders>
              <w:top w:val="nil"/>
              <w:left w:val="single" w:color="auto" w:sz="4" w:space="0"/>
              <w:bottom w:val="single" w:color="auto" w:sz="4" w:space="0"/>
              <w:right w:val="single" w:color="auto" w:sz="4" w:space="0"/>
            </w:tcBorders>
            <w:vAlign w:val="center"/>
          </w:tcPr>
          <w:p w14:paraId="5095EB6B">
            <w:pPr>
              <w:pStyle w:val="72"/>
              <w:rPr>
                <w:rFonts w:hint="eastAsia" w:ascii="仿宋" w:hAnsi="仿宋" w:eastAsia="仿宋"/>
                <w:color w:val="000000"/>
                <w:sz w:val="20"/>
                <w:szCs w:val="20"/>
                <w:lang w:val="en-US" w:eastAsia="zh-CN"/>
              </w:rPr>
            </w:pPr>
            <w:r>
              <w:rPr>
                <w:rFonts w:hint="eastAsia" w:ascii="仿宋" w:hAnsi="仿宋"/>
                <w:color w:val="000000"/>
                <w:sz w:val="20"/>
                <w:szCs w:val="20"/>
                <w:lang w:val="en-US" w:eastAsia="zh-CN"/>
              </w:rPr>
              <w:t>2</w:t>
            </w:r>
          </w:p>
        </w:tc>
        <w:tc>
          <w:tcPr>
            <w:tcW w:w="652" w:type="pct"/>
            <w:tcBorders>
              <w:top w:val="nil"/>
              <w:left w:val="nil"/>
              <w:bottom w:val="single" w:color="auto" w:sz="4" w:space="0"/>
              <w:right w:val="single" w:color="auto" w:sz="4" w:space="0"/>
            </w:tcBorders>
            <w:vAlign w:val="center"/>
          </w:tcPr>
          <w:p w14:paraId="4FD3C69F">
            <w:pPr>
              <w:pStyle w:val="72"/>
              <w:ind w:firstLine="0" w:firstLineChars="0"/>
              <w:rPr>
                <w:rFonts w:hint="eastAsia" w:ascii="仿宋" w:hAnsi="仿宋" w:cs="Times New Roman"/>
                <w:szCs w:val="21"/>
              </w:rPr>
            </w:pPr>
            <w:r>
              <w:rPr>
                <w:rFonts w:hint="eastAsia" w:ascii="仿宋" w:hAnsi="仿宋" w:cs="Times New Roman"/>
                <w:szCs w:val="21"/>
              </w:rPr>
              <w:t>参水利90002</w:t>
            </w:r>
          </w:p>
        </w:tc>
        <w:tc>
          <w:tcPr>
            <w:tcW w:w="1103" w:type="pct"/>
            <w:tcBorders>
              <w:top w:val="nil"/>
              <w:left w:val="nil"/>
              <w:bottom w:val="single" w:color="auto" w:sz="4" w:space="0"/>
              <w:right w:val="single" w:color="auto" w:sz="4" w:space="0"/>
            </w:tcBorders>
            <w:vAlign w:val="center"/>
          </w:tcPr>
          <w:p w14:paraId="12E3350B">
            <w:pPr>
              <w:pStyle w:val="72"/>
              <w:rPr>
                <w:rFonts w:hint="eastAsia" w:ascii="仿宋" w:hAnsi="仿宋" w:eastAsia="仿宋"/>
                <w:szCs w:val="21"/>
                <w:lang w:val="en-US" w:eastAsia="zh-CN"/>
              </w:rPr>
            </w:pPr>
            <w:r>
              <w:rPr>
                <w:rFonts w:hint="eastAsia" w:ascii="仿宋" w:hAnsi="仿宋"/>
                <w:szCs w:val="21"/>
                <w:lang w:val="en-US" w:eastAsia="zh-CN"/>
              </w:rPr>
              <w:t>挡土墙</w:t>
            </w:r>
          </w:p>
        </w:tc>
        <w:tc>
          <w:tcPr>
            <w:tcW w:w="585" w:type="pct"/>
            <w:tcBorders>
              <w:top w:val="nil"/>
              <w:left w:val="nil"/>
              <w:bottom w:val="single" w:color="auto" w:sz="4" w:space="0"/>
              <w:right w:val="single" w:color="auto" w:sz="4" w:space="0"/>
            </w:tcBorders>
            <w:vAlign w:val="center"/>
          </w:tcPr>
          <w:p w14:paraId="7166DB8D">
            <w:pPr>
              <w:pStyle w:val="72"/>
              <w:rPr>
                <w:rFonts w:hint="eastAsia"/>
                <w:sz w:val="21"/>
                <w:szCs w:val="21"/>
              </w:rPr>
            </w:pP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p>
        </w:tc>
        <w:tc>
          <w:tcPr>
            <w:tcW w:w="1354" w:type="dxa"/>
            <w:tcBorders>
              <w:top w:val="nil"/>
              <w:left w:val="nil"/>
              <w:bottom w:val="single" w:color="auto" w:sz="4" w:space="0"/>
              <w:right w:val="single" w:color="auto" w:sz="4" w:space="0"/>
            </w:tcBorders>
            <w:vAlign w:val="center"/>
          </w:tcPr>
          <w:p w14:paraId="307802BC">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807" w:type="pct"/>
            <w:tcBorders>
              <w:top w:val="nil"/>
              <w:left w:val="nil"/>
              <w:bottom w:val="single" w:color="auto" w:sz="4" w:space="0"/>
              <w:right w:val="single" w:color="auto" w:sz="4" w:space="0"/>
            </w:tcBorders>
            <w:vAlign w:val="center"/>
          </w:tcPr>
          <w:p w14:paraId="479DC10D">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108.02</w:t>
            </w:r>
          </w:p>
        </w:tc>
        <w:tc>
          <w:tcPr>
            <w:tcW w:w="1372" w:type="dxa"/>
            <w:tcBorders>
              <w:top w:val="nil"/>
              <w:left w:val="nil"/>
              <w:bottom w:val="single" w:color="auto" w:sz="4" w:space="0"/>
              <w:right w:val="single" w:color="auto" w:sz="4" w:space="0"/>
            </w:tcBorders>
            <w:vAlign w:val="center"/>
          </w:tcPr>
          <w:p w14:paraId="22667B14">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0.81 </w:t>
            </w:r>
          </w:p>
        </w:tc>
      </w:tr>
      <w:tr w14:paraId="04E8254B">
        <w:tblPrEx>
          <w:tblCellMar>
            <w:top w:w="0" w:type="dxa"/>
            <w:left w:w="108" w:type="dxa"/>
            <w:bottom w:w="0" w:type="dxa"/>
            <w:right w:w="108" w:type="dxa"/>
          </w:tblCellMar>
        </w:tblPrEx>
        <w:trPr>
          <w:trHeight w:val="264" w:hRule="atLeast"/>
        </w:trPr>
        <w:tc>
          <w:tcPr>
            <w:tcW w:w="426" w:type="pct"/>
            <w:tcBorders>
              <w:top w:val="nil"/>
              <w:left w:val="single" w:color="auto" w:sz="4" w:space="0"/>
              <w:bottom w:val="single" w:color="auto" w:sz="4" w:space="0"/>
              <w:right w:val="single" w:color="auto" w:sz="4" w:space="0"/>
            </w:tcBorders>
            <w:vAlign w:val="center"/>
          </w:tcPr>
          <w:p w14:paraId="0C10E04F">
            <w:pPr>
              <w:pStyle w:val="72"/>
              <w:rPr>
                <w:rFonts w:hint="eastAsia" w:ascii="仿宋" w:hAnsi="仿宋" w:eastAsia="仿宋"/>
                <w:color w:val="000000"/>
                <w:sz w:val="20"/>
                <w:szCs w:val="20"/>
                <w:lang w:val="en-US" w:eastAsia="zh-CN"/>
              </w:rPr>
            </w:pPr>
            <w:r>
              <w:rPr>
                <w:rFonts w:hint="eastAsia" w:ascii="仿宋" w:hAnsi="仿宋"/>
                <w:color w:val="000000"/>
                <w:sz w:val="20"/>
                <w:szCs w:val="20"/>
                <w:lang w:val="en-US" w:eastAsia="zh-CN"/>
              </w:rPr>
              <w:t>3</w:t>
            </w:r>
          </w:p>
        </w:tc>
        <w:tc>
          <w:tcPr>
            <w:tcW w:w="652" w:type="pct"/>
            <w:tcBorders>
              <w:top w:val="nil"/>
              <w:left w:val="nil"/>
              <w:bottom w:val="single" w:color="auto" w:sz="4" w:space="0"/>
              <w:right w:val="single" w:color="auto" w:sz="4" w:space="0"/>
            </w:tcBorders>
            <w:vAlign w:val="center"/>
          </w:tcPr>
          <w:p w14:paraId="2575F23B">
            <w:pPr>
              <w:pStyle w:val="72"/>
              <w:ind w:firstLine="0" w:firstLineChars="0"/>
              <w:rPr>
                <w:rFonts w:hint="eastAsia" w:ascii="仿宋" w:hAnsi="仿宋" w:cs="Times New Roman"/>
                <w:szCs w:val="21"/>
              </w:rPr>
            </w:pPr>
            <w:r>
              <w:rPr>
                <w:rFonts w:hint="eastAsia" w:ascii="仿宋" w:hAnsi="仿宋" w:cs="Times New Roman"/>
                <w:szCs w:val="21"/>
              </w:rPr>
              <w:t>20294</w:t>
            </w:r>
          </w:p>
        </w:tc>
        <w:tc>
          <w:tcPr>
            <w:tcW w:w="1103" w:type="pct"/>
            <w:tcBorders>
              <w:top w:val="nil"/>
              <w:left w:val="nil"/>
              <w:bottom w:val="single" w:color="auto" w:sz="4" w:space="0"/>
              <w:right w:val="single" w:color="auto" w:sz="4" w:space="0"/>
            </w:tcBorders>
            <w:vAlign w:val="center"/>
          </w:tcPr>
          <w:p w14:paraId="448919D3">
            <w:pPr>
              <w:pStyle w:val="72"/>
              <w:ind w:firstLine="0" w:firstLineChars="0"/>
              <w:rPr>
                <w:rFonts w:hint="default" w:ascii="仿宋" w:hAnsi="仿宋" w:eastAsia="仿宋"/>
                <w:szCs w:val="21"/>
                <w:lang w:val="en-US" w:eastAsia="zh-CN"/>
              </w:rPr>
            </w:pPr>
            <w:r>
              <w:rPr>
                <w:rFonts w:hint="eastAsia" w:ascii="仿宋" w:hAnsi="仿宋"/>
                <w:szCs w:val="21"/>
              </w:rPr>
              <w:t>地裂缝充填</w:t>
            </w:r>
          </w:p>
        </w:tc>
        <w:tc>
          <w:tcPr>
            <w:tcW w:w="585" w:type="pct"/>
            <w:tcBorders>
              <w:top w:val="nil"/>
              <w:left w:val="nil"/>
              <w:bottom w:val="single" w:color="auto" w:sz="4" w:space="0"/>
              <w:right w:val="single" w:color="auto" w:sz="4" w:space="0"/>
            </w:tcBorders>
            <w:shd w:val="clear" w:color="auto" w:fill="auto"/>
            <w:vAlign w:val="center"/>
          </w:tcPr>
          <w:p w14:paraId="15389C8F">
            <w:pPr>
              <w:pStyle w:val="72"/>
              <w:ind w:firstLine="0" w:firstLineChars="0"/>
              <w:rPr>
                <w:rFonts w:hint="eastAsia" w:ascii="宋体" w:hAnsi="宋体" w:eastAsia="仿宋" w:cs="Times New Roman"/>
                <w:b w:val="0"/>
                <w:bCs/>
                <w:kern w:val="2"/>
                <w:sz w:val="21"/>
                <w:szCs w:val="21"/>
                <w:lang w:val="en-US" w:eastAsia="zh-CN" w:bidi="ar-SA"/>
              </w:rPr>
            </w:pP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p>
        </w:tc>
        <w:tc>
          <w:tcPr>
            <w:tcW w:w="1354" w:type="dxa"/>
            <w:tcBorders>
              <w:top w:val="nil"/>
              <w:left w:val="nil"/>
              <w:bottom w:val="single" w:color="auto" w:sz="4" w:space="0"/>
              <w:right w:val="single" w:color="auto" w:sz="4" w:space="0"/>
            </w:tcBorders>
            <w:vAlign w:val="center"/>
          </w:tcPr>
          <w:p w14:paraId="6B8578AC">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270</w:t>
            </w:r>
          </w:p>
        </w:tc>
        <w:tc>
          <w:tcPr>
            <w:tcW w:w="807" w:type="pct"/>
            <w:tcBorders>
              <w:top w:val="nil"/>
              <w:left w:val="nil"/>
              <w:bottom w:val="single" w:color="auto" w:sz="4" w:space="0"/>
              <w:right w:val="single" w:color="auto" w:sz="4" w:space="0"/>
            </w:tcBorders>
            <w:vAlign w:val="center"/>
          </w:tcPr>
          <w:p w14:paraId="732E97D9">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18.72</w:t>
            </w:r>
          </w:p>
        </w:tc>
        <w:tc>
          <w:tcPr>
            <w:tcW w:w="1372" w:type="dxa"/>
            <w:tcBorders>
              <w:top w:val="nil"/>
              <w:left w:val="nil"/>
              <w:bottom w:val="single" w:color="auto" w:sz="4" w:space="0"/>
              <w:right w:val="single" w:color="auto" w:sz="4" w:space="0"/>
            </w:tcBorders>
            <w:vAlign w:val="center"/>
          </w:tcPr>
          <w:p w14:paraId="5FB8ED29">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0.51 </w:t>
            </w:r>
          </w:p>
        </w:tc>
      </w:tr>
      <w:tr w14:paraId="70AD4EED">
        <w:tblPrEx>
          <w:tblCellMar>
            <w:top w:w="0" w:type="dxa"/>
            <w:left w:w="108" w:type="dxa"/>
            <w:bottom w:w="0" w:type="dxa"/>
            <w:right w:w="108" w:type="dxa"/>
          </w:tblCellMar>
        </w:tblPrEx>
        <w:trPr>
          <w:trHeight w:val="264" w:hRule="atLeast"/>
        </w:trPr>
        <w:tc>
          <w:tcPr>
            <w:tcW w:w="426" w:type="pct"/>
            <w:tcBorders>
              <w:top w:val="nil"/>
              <w:left w:val="single" w:color="auto" w:sz="4" w:space="0"/>
              <w:bottom w:val="single" w:color="auto" w:sz="4" w:space="0"/>
              <w:right w:val="single" w:color="auto" w:sz="4" w:space="0"/>
            </w:tcBorders>
            <w:vAlign w:val="center"/>
          </w:tcPr>
          <w:p w14:paraId="032852A7">
            <w:pPr>
              <w:pStyle w:val="72"/>
              <w:rPr>
                <w:rFonts w:hint="eastAsia" w:ascii="仿宋" w:hAnsi="仿宋" w:eastAsia="仿宋"/>
                <w:color w:val="000000"/>
                <w:sz w:val="20"/>
                <w:szCs w:val="20"/>
                <w:lang w:val="en-US" w:eastAsia="zh-CN"/>
              </w:rPr>
            </w:pPr>
            <w:r>
              <w:rPr>
                <w:rFonts w:hint="eastAsia" w:ascii="仿宋" w:hAnsi="仿宋"/>
                <w:color w:val="000000"/>
                <w:sz w:val="20"/>
                <w:szCs w:val="20"/>
                <w:lang w:val="en-US" w:eastAsia="zh-CN"/>
              </w:rPr>
              <w:t>4</w:t>
            </w:r>
          </w:p>
        </w:tc>
        <w:tc>
          <w:tcPr>
            <w:tcW w:w="652" w:type="pct"/>
            <w:tcBorders>
              <w:top w:val="nil"/>
              <w:left w:val="nil"/>
              <w:bottom w:val="single" w:color="auto" w:sz="4" w:space="0"/>
              <w:right w:val="single" w:color="auto" w:sz="4" w:space="0"/>
            </w:tcBorders>
            <w:shd w:val="clear" w:color="auto" w:fill="auto"/>
            <w:vAlign w:val="center"/>
          </w:tcPr>
          <w:p w14:paraId="45FCD60E">
            <w:pPr>
              <w:pStyle w:val="72"/>
              <w:ind w:firstLine="0" w:firstLineChars="0"/>
              <w:rPr>
                <w:rFonts w:hint="eastAsia" w:ascii="仿宋" w:hAnsi="仿宋" w:cs="Times New Roman"/>
                <w:szCs w:val="21"/>
                <w:lang w:val="en-US" w:eastAsia="zh-CN"/>
              </w:rPr>
            </w:pPr>
            <w:r>
              <w:rPr>
                <w:rFonts w:hint="eastAsia" w:ascii="仿宋" w:hAnsi="仿宋" w:cs="Times New Roman"/>
                <w:szCs w:val="21"/>
              </w:rPr>
              <w:t>30020</w:t>
            </w:r>
          </w:p>
        </w:tc>
        <w:tc>
          <w:tcPr>
            <w:tcW w:w="1103" w:type="pct"/>
            <w:tcBorders>
              <w:top w:val="nil"/>
              <w:left w:val="nil"/>
              <w:bottom w:val="single" w:color="auto" w:sz="4" w:space="0"/>
              <w:right w:val="single" w:color="auto" w:sz="4" w:space="0"/>
            </w:tcBorders>
            <w:shd w:val="clear" w:color="auto" w:fill="auto"/>
            <w:vAlign w:val="center"/>
          </w:tcPr>
          <w:p w14:paraId="107C8BBE">
            <w:pPr>
              <w:pStyle w:val="72"/>
              <w:ind w:firstLine="0" w:firstLineChars="0"/>
              <w:rPr>
                <w:rFonts w:hint="eastAsia" w:ascii="仿宋" w:hAnsi="仿宋" w:eastAsia="仿宋" w:cs="Times New Roman"/>
                <w:b w:val="0"/>
                <w:bCs/>
                <w:kern w:val="2"/>
                <w:sz w:val="21"/>
                <w:szCs w:val="21"/>
                <w:lang w:val="en-US" w:eastAsia="zh-CN" w:bidi="ar-SA"/>
              </w:rPr>
            </w:pPr>
            <w:r>
              <w:rPr>
                <w:rFonts w:hint="eastAsia" w:ascii="仿宋" w:hAnsi="仿宋"/>
                <w:szCs w:val="21"/>
                <w:lang w:val="en-US" w:eastAsia="zh-CN"/>
              </w:rPr>
              <w:t>井口浆砌石砌筑</w:t>
            </w:r>
          </w:p>
        </w:tc>
        <w:tc>
          <w:tcPr>
            <w:tcW w:w="585" w:type="pct"/>
            <w:tcBorders>
              <w:top w:val="nil"/>
              <w:left w:val="nil"/>
              <w:bottom w:val="single" w:color="auto" w:sz="4" w:space="0"/>
              <w:right w:val="single" w:color="auto" w:sz="4" w:space="0"/>
            </w:tcBorders>
            <w:shd w:val="clear" w:color="auto" w:fill="auto"/>
            <w:vAlign w:val="center"/>
          </w:tcPr>
          <w:p w14:paraId="078AEB09">
            <w:pPr>
              <w:pStyle w:val="72"/>
              <w:ind w:firstLine="0" w:firstLineChars="0"/>
              <w:rPr>
                <w:rFonts w:hint="eastAsia" w:ascii="宋体" w:hAnsi="宋体" w:eastAsia="仿宋" w:cs="Times New Roman"/>
                <w:b w:val="0"/>
                <w:bCs/>
                <w:kern w:val="2"/>
                <w:sz w:val="21"/>
                <w:szCs w:val="21"/>
                <w:lang w:val="en-US" w:eastAsia="zh-CN" w:bidi="ar-SA"/>
              </w:rPr>
            </w:pP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p>
        </w:tc>
        <w:tc>
          <w:tcPr>
            <w:tcW w:w="1354" w:type="dxa"/>
            <w:tcBorders>
              <w:top w:val="nil"/>
              <w:left w:val="nil"/>
              <w:bottom w:val="single" w:color="auto" w:sz="4" w:space="0"/>
              <w:right w:val="single" w:color="auto" w:sz="4" w:space="0"/>
            </w:tcBorders>
            <w:vAlign w:val="center"/>
          </w:tcPr>
          <w:p w14:paraId="4D0C3D42">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68.94</w:t>
            </w:r>
          </w:p>
        </w:tc>
        <w:tc>
          <w:tcPr>
            <w:tcW w:w="807" w:type="pct"/>
            <w:tcBorders>
              <w:top w:val="nil"/>
              <w:left w:val="nil"/>
              <w:bottom w:val="single" w:color="auto" w:sz="4" w:space="0"/>
              <w:right w:val="single" w:color="auto" w:sz="4" w:space="0"/>
            </w:tcBorders>
            <w:vAlign w:val="center"/>
          </w:tcPr>
          <w:p w14:paraId="6469BBE7">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313.17</w:t>
            </w:r>
          </w:p>
        </w:tc>
        <w:tc>
          <w:tcPr>
            <w:tcW w:w="1372" w:type="dxa"/>
            <w:tcBorders>
              <w:top w:val="nil"/>
              <w:left w:val="nil"/>
              <w:bottom w:val="single" w:color="auto" w:sz="4" w:space="0"/>
              <w:right w:val="single" w:color="auto" w:sz="4" w:space="0"/>
            </w:tcBorders>
            <w:vAlign w:val="center"/>
          </w:tcPr>
          <w:p w14:paraId="3C21B0DF">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2.16 </w:t>
            </w:r>
          </w:p>
        </w:tc>
      </w:tr>
      <w:tr w14:paraId="3B7BC70E">
        <w:tblPrEx>
          <w:tblCellMar>
            <w:top w:w="0" w:type="dxa"/>
            <w:left w:w="108" w:type="dxa"/>
            <w:bottom w:w="0" w:type="dxa"/>
            <w:right w:w="108" w:type="dxa"/>
          </w:tblCellMar>
        </w:tblPrEx>
        <w:trPr>
          <w:trHeight w:val="264" w:hRule="atLeast"/>
        </w:trPr>
        <w:tc>
          <w:tcPr>
            <w:tcW w:w="426" w:type="pct"/>
            <w:tcBorders>
              <w:top w:val="nil"/>
              <w:left w:val="single" w:color="auto" w:sz="4" w:space="0"/>
              <w:bottom w:val="single" w:color="auto" w:sz="4" w:space="0"/>
              <w:right w:val="single" w:color="auto" w:sz="4" w:space="0"/>
            </w:tcBorders>
            <w:vAlign w:val="center"/>
          </w:tcPr>
          <w:p w14:paraId="589FC901">
            <w:pPr>
              <w:pStyle w:val="72"/>
              <w:rPr>
                <w:rFonts w:hint="eastAsia" w:ascii="仿宋" w:hAnsi="仿宋" w:eastAsia="仿宋"/>
                <w:color w:val="000000"/>
                <w:sz w:val="20"/>
                <w:szCs w:val="20"/>
                <w:lang w:val="en-US" w:eastAsia="zh-CN"/>
              </w:rPr>
            </w:pPr>
            <w:r>
              <w:rPr>
                <w:rFonts w:hint="eastAsia" w:ascii="仿宋" w:hAnsi="仿宋"/>
                <w:color w:val="000000"/>
                <w:sz w:val="20"/>
                <w:szCs w:val="20"/>
                <w:lang w:val="en-US" w:eastAsia="zh-CN"/>
              </w:rPr>
              <w:t>5</w:t>
            </w:r>
          </w:p>
        </w:tc>
        <w:tc>
          <w:tcPr>
            <w:tcW w:w="652" w:type="pct"/>
            <w:tcBorders>
              <w:top w:val="nil"/>
              <w:left w:val="nil"/>
              <w:bottom w:val="single" w:color="auto" w:sz="4" w:space="0"/>
              <w:right w:val="single" w:color="auto" w:sz="4" w:space="0"/>
            </w:tcBorders>
            <w:shd w:val="clear" w:color="auto" w:fill="auto"/>
            <w:vAlign w:val="center"/>
          </w:tcPr>
          <w:p w14:paraId="59ACB9BD">
            <w:pPr>
              <w:pStyle w:val="72"/>
              <w:ind w:firstLine="0" w:firstLineChars="0"/>
              <w:rPr>
                <w:rFonts w:hint="eastAsia" w:ascii="仿宋" w:hAnsi="仿宋" w:cs="Times New Roman"/>
                <w:szCs w:val="21"/>
                <w:lang w:val="en-US" w:eastAsia="zh-CN"/>
              </w:rPr>
            </w:pPr>
            <w:r>
              <w:rPr>
                <w:rFonts w:hint="eastAsia" w:ascii="仿宋" w:hAnsi="仿宋" w:cs="Times New Roman"/>
                <w:szCs w:val="21"/>
              </w:rPr>
              <w:t>20294</w:t>
            </w:r>
          </w:p>
        </w:tc>
        <w:tc>
          <w:tcPr>
            <w:tcW w:w="1103" w:type="pct"/>
            <w:tcBorders>
              <w:top w:val="nil"/>
              <w:left w:val="nil"/>
              <w:bottom w:val="single" w:color="auto" w:sz="4" w:space="0"/>
              <w:right w:val="single" w:color="auto" w:sz="4" w:space="0"/>
            </w:tcBorders>
            <w:shd w:val="clear" w:color="auto" w:fill="auto"/>
            <w:vAlign w:val="center"/>
          </w:tcPr>
          <w:p w14:paraId="4D750E5D">
            <w:pPr>
              <w:pStyle w:val="72"/>
              <w:ind w:firstLine="0" w:firstLineChars="0"/>
              <w:rPr>
                <w:rFonts w:hint="eastAsia" w:ascii="宋体" w:hAnsi="宋体" w:eastAsia="仿宋" w:cs="Times New Roman"/>
                <w:b w:val="0"/>
                <w:bCs/>
                <w:color w:val="000000"/>
                <w:kern w:val="2"/>
                <w:sz w:val="21"/>
                <w:szCs w:val="28"/>
                <w:lang w:val="en-US" w:eastAsia="zh-CN" w:bidi="ar-SA"/>
              </w:rPr>
            </w:pPr>
            <w:r>
              <w:rPr>
                <w:rFonts w:hint="eastAsia" w:ascii="仿宋" w:hAnsi="仿宋"/>
                <w:szCs w:val="21"/>
              </w:rPr>
              <w:t>井口回填</w:t>
            </w:r>
          </w:p>
        </w:tc>
        <w:tc>
          <w:tcPr>
            <w:tcW w:w="585" w:type="pct"/>
            <w:tcBorders>
              <w:top w:val="nil"/>
              <w:left w:val="nil"/>
              <w:bottom w:val="single" w:color="auto" w:sz="4" w:space="0"/>
              <w:right w:val="single" w:color="auto" w:sz="4" w:space="0"/>
            </w:tcBorders>
            <w:shd w:val="clear" w:color="auto" w:fill="auto"/>
            <w:vAlign w:val="center"/>
          </w:tcPr>
          <w:p w14:paraId="045F0A0F">
            <w:pPr>
              <w:pStyle w:val="72"/>
              <w:ind w:firstLine="0" w:firstLineChars="0"/>
              <w:rPr>
                <w:rFonts w:hint="eastAsia" w:ascii="宋体" w:hAnsi="宋体" w:eastAsia="仿宋" w:cs="Times New Roman"/>
                <w:b w:val="0"/>
                <w:bCs/>
                <w:kern w:val="2"/>
                <w:sz w:val="21"/>
                <w:szCs w:val="21"/>
                <w:lang w:val="en-US" w:eastAsia="zh-CN" w:bidi="ar-SA"/>
              </w:rPr>
            </w:pP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p>
        </w:tc>
        <w:tc>
          <w:tcPr>
            <w:tcW w:w="1354" w:type="dxa"/>
            <w:tcBorders>
              <w:top w:val="nil"/>
              <w:left w:val="nil"/>
              <w:bottom w:val="single" w:color="auto" w:sz="4" w:space="0"/>
              <w:right w:val="single" w:color="auto" w:sz="4" w:space="0"/>
            </w:tcBorders>
            <w:vAlign w:val="center"/>
          </w:tcPr>
          <w:p w14:paraId="0654F24C">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3600</w:t>
            </w:r>
          </w:p>
        </w:tc>
        <w:tc>
          <w:tcPr>
            <w:tcW w:w="807" w:type="pct"/>
            <w:tcBorders>
              <w:top w:val="nil"/>
              <w:left w:val="nil"/>
              <w:bottom w:val="single" w:color="auto" w:sz="4" w:space="0"/>
              <w:right w:val="single" w:color="auto" w:sz="4" w:space="0"/>
            </w:tcBorders>
            <w:vAlign w:val="center"/>
          </w:tcPr>
          <w:p w14:paraId="3FBBE748">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18.72</w:t>
            </w:r>
          </w:p>
        </w:tc>
        <w:tc>
          <w:tcPr>
            <w:tcW w:w="1372" w:type="dxa"/>
            <w:tcBorders>
              <w:top w:val="nil"/>
              <w:left w:val="nil"/>
              <w:bottom w:val="single" w:color="auto" w:sz="4" w:space="0"/>
              <w:right w:val="single" w:color="auto" w:sz="4" w:space="0"/>
            </w:tcBorders>
            <w:vAlign w:val="center"/>
          </w:tcPr>
          <w:p w14:paraId="3F360F32">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6.74 </w:t>
            </w:r>
          </w:p>
        </w:tc>
      </w:tr>
      <w:tr w14:paraId="7D8296C0">
        <w:tblPrEx>
          <w:tblCellMar>
            <w:top w:w="0" w:type="dxa"/>
            <w:left w:w="108" w:type="dxa"/>
            <w:bottom w:w="0" w:type="dxa"/>
            <w:right w:w="108" w:type="dxa"/>
          </w:tblCellMar>
        </w:tblPrEx>
        <w:trPr>
          <w:trHeight w:val="264" w:hRule="atLeast"/>
        </w:trPr>
        <w:tc>
          <w:tcPr>
            <w:tcW w:w="426" w:type="pct"/>
            <w:tcBorders>
              <w:top w:val="nil"/>
              <w:left w:val="single" w:color="auto" w:sz="4" w:space="0"/>
              <w:bottom w:val="single" w:color="auto" w:sz="4" w:space="0"/>
              <w:right w:val="single" w:color="auto" w:sz="4" w:space="0"/>
            </w:tcBorders>
            <w:vAlign w:val="center"/>
          </w:tcPr>
          <w:p w14:paraId="0585104B">
            <w:pPr>
              <w:pStyle w:val="72"/>
              <w:rPr>
                <w:rFonts w:hint="eastAsia" w:ascii="仿宋" w:hAnsi="仿宋" w:eastAsia="仿宋"/>
                <w:color w:val="000000"/>
                <w:sz w:val="20"/>
                <w:szCs w:val="20"/>
                <w:lang w:val="en-US" w:eastAsia="zh-CN"/>
              </w:rPr>
            </w:pPr>
            <w:r>
              <w:rPr>
                <w:rFonts w:hint="eastAsia" w:ascii="仿宋" w:hAnsi="仿宋"/>
                <w:color w:val="000000"/>
                <w:sz w:val="20"/>
                <w:szCs w:val="20"/>
                <w:lang w:val="en-US" w:eastAsia="zh-CN"/>
              </w:rPr>
              <w:t>6</w:t>
            </w:r>
          </w:p>
        </w:tc>
        <w:tc>
          <w:tcPr>
            <w:tcW w:w="652" w:type="pct"/>
            <w:tcBorders>
              <w:top w:val="nil"/>
              <w:left w:val="nil"/>
              <w:bottom w:val="single" w:color="auto" w:sz="4" w:space="0"/>
              <w:right w:val="single" w:color="auto" w:sz="4" w:space="0"/>
            </w:tcBorders>
            <w:shd w:val="clear" w:color="auto" w:fill="auto"/>
            <w:vAlign w:val="center"/>
          </w:tcPr>
          <w:p w14:paraId="34728032">
            <w:pPr>
              <w:pStyle w:val="72"/>
              <w:ind w:firstLine="0" w:firstLineChars="0"/>
              <w:rPr>
                <w:rFonts w:hint="eastAsia" w:ascii="宋体" w:hAnsi="宋体" w:eastAsia="仿宋" w:cs="Times New Roman"/>
                <w:b w:val="0"/>
                <w:bCs/>
                <w:color w:val="000000"/>
                <w:kern w:val="2"/>
                <w:sz w:val="21"/>
                <w:szCs w:val="28"/>
                <w:lang w:val="en-US" w:eastAsia="zh-CN" w:bidi="ar-SA"/>
              </w:rPr>
            </w:pPr>
            <w:r>
              <w:rPr>
                <w:rFonts w:hint="eastAsia" w:ascii="仿宋" w:hAnsi="仿宋"/>
                <w:color w:val="000000"/>
                <w:sz w:val="20"/>
                <w:szCs w:val="20"/>
              </w:rPr>
              <w:t>20273</w:t>
            </w:r>
          </w:p>
        </w:tc>
        <w:tc>
          <w:tcPr>
            <w:tcW w:w="1103" w:type="pct"/>
            <w:tcBorders>
              <w:top w:val="nil"/>
              <w:left w:val="nil"/>
              <w:bottom w:val="single" w:color="auto" w:sz="4" w:space="0"/>
              <w:right w:val="single" w:color="auto" w:sz="4" w:space="0"/>
            </w:tcBorders>
            <w:shd w:val="clear" w:color="auto" w:fill="auto"/>
            <w:vAlign w:val="center"/>
          </w:tcPr>
          <w:p w14:paraId="25E9A2E7">
            <w:pPr>
              <w:pStyle w:val="72"/>
              <w:ind w:firstLine="0" w:firstLineChars="0"/>
              <w:rPr>
                <w:rFonts w:hint="eastAsia" w:ascii="宋体" w:hAnsi="宋体" w:eastAsia="仿宋" w:cs="Times New Roman"/>
                <w:b w:val="0"/>
                <w:bCs/>
                <w:color w:val="000000"/>
                <w:kern w:val="2"/>
                <w:sz w:val="21"/>
                <w:szCs w:val="28"/>
                <w:lang w:val="en-US" w:eastAsia="zh-CN" w:bidi="ar-SA"/>
              </w:rPr>
            </w:pPr>
            <w:r>
              <w:rPr>
                <w:rFonts w:hint="eastAsia" w:ascii="仿宋" w:hAnsi="仿宋"/>
                <w:szCs w:val="21"/>
              </w:rPr>
              <w:t>场地平整</w:t>
            </w:r>
          </w:p>
        </w:tc>
        <w:tc>
          <w:tcPr>
            <w:tcW w:w="585" w:type="pct"/>
            <w:tcBorders>
              <w:top w:val="nil"/>
              <w:left w:val="nil"/>
              <w:bottom w:val="single" w:color="auto" w:sz="4" w:space="0"/>
              <w:right w:val="single" w:color="auto" w:sz="4" w:space="0"/>
            </w:tcBorders>
            <w:shd w:val="clear" w:color="auto" w:fill="auto"/>
            <w:vAlign w:val="center"/>
          </w:tcPr>
          <w:p w14:paraId="4F5A19E5">
            <w:pPr>
              <w:pStyle w:val="72"/>
              <w:ind w:firstLine="0" w:firstLineChars="0"/>
              <w:rPr>
                <w:rFonts w:hint="eastAsia" w:ascii="宋体" w:hAnsi="宋体" w:eastAsia="仿宋" w:cs="Times New Roman"/>
                <w:b w:val="0"/>
                <w:bCs/>
                <w:kern w:val="2"/>
                <w:sz w:val="21"/>
                <w:szCs w:val="21"/>
                <w:lang w:val="en-US" w:eastAsia="zh-CN" w:bidi="ar-SA"/>
              </w:rPr>
            </w:pP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p>
        </w:tc>
        <w:tc>
          <w:tcPr>
            <w:tcW w:w="1354" w:type="dxa"/>
            <w:tcBorders>
              <w:top w:val="nil"/>
              <w:left w:val="nil"/>
              <w:bottom w:val="single" w:color="auto" w:sz="4" w:space="0"/>
              <w:right w:val="single" w:color="auto" w:sz="4" w:space="0"/>
            </w:tcBorders>
            <w:vAlign w:val="center"/>
          </w:tcPr>
          <w:p w14:paraId="2CA080E1">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2336</w:t>
            </w:r>
          </w:p>
        </w:tc>
        <w:tc>
          <w:tcPr>
            <w:tcW w:w="807" w:type="pct"/>
            <w:tcBorders>
              <w:top w:val="nil"/>
              <w:left w:val="nil"/>
              <w:bottom w:val="single" w:color="auto" w:sz="4" w:space="0"/>
              <w:right w:val="single" w:color="auto" w:sz="4" w:space="0"/>
            </w:tcBorders>
            <w:vAlign w:val="center"/>
          </w:tcPr>
          <w:p w14:paraId="0026DEB3">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6.37</w:t>
            </w:r>
          </w:p>
        </w:tc>
        <w:tc>
          <w:tcPr>
            <w:tcW w:w="1372" w:type="dxa"/>
            <w:tcBorders>
              <w:top w:val="nil"/>
              <w:left w:val="nil"/>
              <w:bottom w:val="single" w:color="auto" w:sz="4" w:space="0"/>
              <w:right w:val="single" w:color="auto" w:sz="4" w:space="0"/>
            </w:tcBorders>
            <w:vAlign w:val="center"/>
          </w:tcPr>
          <w:p w14:paraId="00AC7F45">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1.49 </w:t>
            </w:r>
          </w:p>
        </w:tc>
      </w:tr>
      <w:tr w14:paraId="32245F45">
        <w:tblPrEx>
          <w:tblCellMar>
            <w:top w:w="0" w:type="dxa"/>
            <w:left w:w="108" w:type="dxa"/>
            <w:bottom w:w="0" w:type="dxa"/>
            <w:right w:w="108" w:type="dxa"/>
          </w:tblCellMar>
        </w:tblPrEx>
        <w:trPr>
          <w:trHeight w:val="264" w:hRule="atLeast"/>
        </w:trPr>
        <w:tc>
          <w:tcPr>
            <w:tcW w:w="426" w:type="pct"/>
            <w:tcBorders>
              <w:top w:val="nil"/>
              <w:left w:val="single" w:color="auto" w:sz="4" w:space="0"/>
              <w:bottom w:val="single" w:color="auto" w:sz="4" w:space="0"/>
              <w:right w:val="single" w:color="auto" w:sz="4" w:space="0"/>
            </w:tcBorders>
            <w:vAlign w:val="center"/>
          </w:tcPr>
          <w:p w14:paraId="0BB8C698">
            <w:pPr>
              <w:pStyle w:val="72"/>
              <w:rPr>
                <w:rFonts w:hint="eastAsia" w:ascii="仿宋" w:hAnsi="仿宋" w:eastAsia="仿宋"/>
                <w:color w:val="000000"/>
                <w:sz w:val="20"/>
                <w:szCs w:val="20"/>
                <w:lang w:val="en-US" w:eastAsia="zh-CN"/>
              </w:rPr>
            </w:pPr>
            <w:r>
              <w:rPr>
                <w:rFonts w:hint="eastAsia" w:ascii="仿宋" w:hAnsi="仿宋"/>
                <w:color w:val="000000"/>
                <w:sz w:val="20"/>
                <w:szCs w:val="20"/>
                <w:lang w:val="en-US" w:eastAsia="zh-CN"/>
              </w:rPr>
              <w:t>7</w:t>
            </w:r>
          </w:p>
        </w:tc>
        <w:tc>
          <w:tcPr>
            <w:tcW w:w="652" w:type="pct"/>
            <w:tcBorders>
              <w:top w:val="nil"/>
              <w:left w:val="nil"/>
              <w:bottom w:val="single" w:color="auto" w:sz="4" w:space="0"/>
              <w:right w:val="single" w:color="auto" w:sz="4" w:space="0"/>
            </w:tcBorders>
            <w:vAlign w:val="center"/>
          </w:tcPr>
          <w:p w14:paraId="4C407324">
            <w:pPr>
              <w:pStyle w:val="72"/>
              <w:rPr>
                <w:rFonts w:hint="default" w:ascii="仿宋" w:hAnsi="仿宋" w:eastAsia="仿宋"/>
                <w:color w:val="000000"/>
                <w:sz w:val="20"/>
                <w:szCs w:val="20"/>
                <w:lang w:val="en-US" w:eastAsia="zh-CN"/>
              </w:rPr>
            </w:pPr>
            <w:r>
              <w:rPr>
                <w:rFonts w:hint="eastAsia" w:ascii="仿宋" w:hAnsi="仿宋"/>
                <w:color w:val="000000"/>
                <w:sz w:val="20"/>
                <w:szCs w:val="20"/>
                <w:lang w:val="en-US" w:eastAsia="zh-CN"/>
              </w:rPr>
              <w:t>Zb001</w:t>
            </w:r>
          </w:p>
        </w:tc>
        <w:tc>
          <w:tcPr>
            <w:tcW w:w="1103" w:type="pct"/>
            <w:tcBorders>
              <w:top w:val="nil"/>
              <w:left w:val="nil"/>
              <w:bottom w:val="single" w:color="auto" w:sz="4" w:space="0"/>
              <w:right w:val="single" w:color="auto" w:sz="4" w:space="0"/>
            </w:tcBorders>
            <w:vAlign w:val="center"/>
          </w:tcPr>
          <w:p w14:paraId="20A299A9">
            <w:pPr>
              <w:pStyle w:val="72"/>
              <w:rPr>
                <w:rFonts w:hint="eastAsia" w:ascii="仿宋" w:hAnsi="仿宋" w:eastAsia="仿宋"/>
                <w:szCs w:val="21"/>
                <w:lang w:val="en-US" w:eastAsia="zh-CN"/>
              </w:rPr>
            </w:pPr>
            <w:r>
              <w:rPr>
                <w:rFonts w:hint="eastAsia" w:ascii="仿宋" w:hAnsi="仿宋"/>
                <w:szCs w:val="21"/>
                <w:lang w:val="en-US" w:eastAsia="zh-CN"/>
              </w:rPr>
              <w:t>购买表土</w:t>
            </w:r>
          </w:p>
        </w:tc>
        <w:tc>
          <w:tcPr>
            <w:tcW w:w="585" w:type="pct"/>
            <w:tcBorders>
              <w:top w:val="nil"/>
              <w:left w:val="nil"/>
              <w:bottom w:val="single" w:color="auto" w:sz="4" w:space="0"/>
              <w:right w:val="single" w:color="auto" w:sz="4" w:space="0"/>
            </w:tcBorders>
            <w:shd w:val="clear" w:color="auto" w:fill="auto"/>
            <w:vAlign w:val="center"/>
          </w:tcPr>
          <w:p w14:paraId="6C46AD90">
            <w:pPr>
              <w:pStyle w:val="72"/>
              <w:ind w:firstLine="0" w:firstLineChars="0"/>
              <w:rPr>
                <w:rFonts w:hint="eastAsia" w:ascii="宋体" w:hAnsi="宋体" w:eastAsia="仿宋" w:cs="Times New Roman"/>
                <w:b w:val="0"/>
                <w:bCs/>
                <w:kern w:val="2"/>
                <w:sz w:val="21"/>
                <w:szCs w:val="21"/>
                <w:lang w:val="en-US" w:eastAsia="zh-CN" w:bidi="ar-SA"/>
              </w:rPr>
            </w:pP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p>
        </w:tc>
        <w:tc>
          <w:tcPr>
            <w:tcW w:w="1354" w:type="dxa"/>
            <w:tcBorders>
              <w:top w:val="nil"/>
              <w:left w:val="nil"/>
              <w:bottom w:val="single" w:color="auto" w:sz="4" w:space="0"/>
              <w:right w:val="single" w:color="auto" w:sz="4" w:space="0"/>
            </w:tcBorders>
            <w:vAlign w:val="center"/>
          </w:tcPr>
          <w:p w14:paraId="3D78A313">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1082.4</w:t>
            </w:r>
          </w:p>
        </w:tc>
        <w:tc>
          <w:tcPr>
            <w:tcW w:w="807" w:type="pct"/>
            <w:tcBorders>
              <w:top w:val="nil"/>
              <w:left w:val="nil"/>
              <w:bottom w:val="single" w:color="auto" w:sz="4" w:space="0"/>
              <w:right w:val="single" w:color="auto" w:sz="4" w:space="0"/>
            </w:tcBorders>
            <w:vAlign w:val="center"/>
          </w:tcPr>
          <w:p w14:paraId="2657E3B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w:t>
            </w:r>
          </w:p>
        </w:tc>
        <w:tc>
          <w:tcPr>
            <w:tcW w:w="1372" w:type="dxa"/>
            <w:tcBorders>
              <w:top w:val="nil"/>
              <w:left w:val="nil"/>
              <w:bottom w:val="single" w:color="auto" w:sz="4" w:space="0"/>
              <w:right w:val="single" w:color="auto" w:sz="4" w:space="0"/>
            </w:tcBorders>
            <w:vAlign w:val="center"/>
          </w:tcPr>
          <w:p w14:paraId="34F1DE4D">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5.41 </w:t>
            </w:r>
          </w:p>
        </w:tc>
      </w:tr>
      <w:tr w14:paraId="4FF63A69">
        <w:tblPrEx>
          <w:tblCellMar>
            <w:top w:w="0" w:type="dxa"/>
            <w:left w:w="108" w:type="dxa"/>
            <w:bottom w:w="0" w:type="dxa"/>
            <w:right w:w="108" w:type="dxa"/>
          </w:tblCellMar>
        </w:tblPrEx>
        <w:trPr>
          <w:trHeight w:val="351" w:hRule="atLeast"/>
        </w:trPr>
        <w:tc>
          <w:tcPr>
            <w:tcW w:w="426" w:type="pct"/>
            <w:tcBorders>
              <w:top w:val="nil"/>
              <w:left w:val="single" w:color="auto" w:sz="4" w:space="0"/>
              <w:bottom w:val="single" w:color="auto" w:sz="4" w:space="0"/>
              <w:right w:val="single" w:color="auto" w:sz="4" w:space="0"/>
            </w:tcBorders>
            <w:vAlign w:val="center"/>
          </w:tcPr>
          <w:p w14:paraId="6BAA97DC">
            <w:pPr>
              <w:pStyle w:val="72"/>
              <w:rPr>
                <w:rFonts w:hint="eastAsia" w:ascii="仿宋" w:hAnsi="仿宋" w:eastAsia="仿宋"/>
                <w:color w:val="000000"/>
                <w:sz w:val="20"/>
                <w:szCs w:val="20"/>
                <w:lang w:val="en-US" w:eastAsia="zh-CN"/>
              </w:rPr>
            </w:pPr>
            <w:r>
              <w:rPr>
                <w:rFonts w:hint="eastAsia" w:ascii="仿宋" w:hAnsi="仿宋"/>
                <w:color w:val="000000"/>
                <w:sz w:val="20"/>
                <w:szCs w:val="20"/>
                <w:lang w:val="en-US" w:eastAsia="zh-CN"/>
              </w:rPr>
              <w:t>8</w:t>
            </w:r>
          </w:p>
        </w:tc>
        <w:tc>
          <w:tcPr>
            <w:tcW w:w="652" w:type="pct"/>
            <w:tcBorders>
              <w:top w:val="nil"/>
              <w:left w:val="nil"/>
              <w:bottom w:val="single" w:color="auto" w:sz="4" w:space="0"/>
              <w:right w:val="single" w:color="auto" w:sz="4" w:space="0"/>
            </w:tcBorders>
            <w:vAlign w:val="center"/>
          </w:tcPr>
          <w:p w14:paraId="0CBED793">
            <w:pPr>
              <w:pStyle w:val="72"/>
              <w:ind w:firstLine="0" w:firstLineChars="0"/>
              <w:rPr>
                <w:rFonts w:hint="eastAsia" w:ascii="仿宋" w:hAnsi="仿宋"/>
                <w:color w:val="000000"/>
                <w:sz w:val="20"/>
                <w:szCs w:val="20"/>
              </w:rPr>
            </w:pPr>
            <w:r>
              <w:rPr>
                <w:rFonts w:hint="eastAsia" w:ascii="仿宋" w:hAnsi="仿宋"/>
                <w:color w:val="000000"/>
                <w:sz w:val="20"/>
                <w:szCs w:val="20"/>
              </w:rPr>
              <w:t>10305</w:t>
            </w:r>
          </w:p>
        </w:tc>
        <w:tc>
          <w:tcPr>
            <w:tcW w:w="1103" w:type="pct"/>
            <w:tcBorders>
              <w:top w:val="nil"/>
              <w:left w:val="nil"/>
              <w:bottom w:val="single" w:color="auto" w:sz="4" w:space="0"/>
              <w:right w:val="single" w:color="auto" w:sz="4" w:space="0"/>
            </w:tcBorders>
            <w:vAlign w:val="center"/>
          </w:tcPr>
          <w:p w14:paraId="1A857879">
            <w:pPr>
              <w:pStyle w:val="72"/>
              <w:ind w:firstLine="0" w:firstLineChars="0"/>
              <w:rPr>
                <w:rFonts w:hint="default" w:ascii="仿宋" w:hAnsi="仿宋" w:eastAsia="仿宋"/>
                <w:szCs w:val="21"/>
                <w:lang w:val="en-US" w:eastAsia="zh-CN"/>
              </w:rPr>
            </w:pPr>
            <w:r>
              <w:rPr>
                <w:rFonts w:hint="eastAsia" w:ascii="仿宋" w:hAnsi="仿宋"/>
                <w:szCs w:val="21"/>
              </w:rPr>
              <w:t>表土回填</w:t>
            </w:r>
          </w:p>
        </w:tc>
        <w:tc>
          <w:tcPr>
            <w:tcW w:w="585" w:type="pct"/>
            <w:tcBorders>
              <w:top w:val="nil"/>
              <w:left w:val="nil"/>
              <w:bottom w:val="single" w:color="auto" w:sz="4" w:space="0"/>
              <w:right w:val="single" w:color="auto" w:sz="4" w:space="0"/>
            </w:tcBorders>
            <w:shd w:val="clear" w:color="auto" w:fill="auto"/>
            <w:vAlign w:val="center"/>
          </w:tcPr>
          <w:p w14:paraId="3A68DC85">
            <w:pPr>
              <w:pStyle w:val="72"/>
              <w:ind w:firstLine="0" w:firstLineChars="0"/>
              <w:rPr>
                <w:rFonts w:hint="eastAsia" w:ascii="宋体" w:hAnsi="宋体" w:eastAsia="仿宋" w:cs="Times New Roman"/>
                <w:b w:val="0"/>
                <w:bCs/>
                <w:kern w:val="2"/>
                <w:sz w:val="21"/>
                <w:szCs w:val="21"/>
                <w:lang w:val="en-US" w:eastAsia="zh-CN" w:bidi="ar-SA"/>
              </w:rPr>
            </w:pP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p>
        </w:tc>
        <w:tc>
          <w:tcPr>
            <w:tcW w:w="1354" w:type="dxa"/>
            <w:tcBorders>
              <w:top w:val="nil"/>
              <w:left w:val="nil"/>
              <w:bottom w:val="single" w:color="auto" w:sz="4" w:space="0"/>
              <w:right w:val="single" w:color="auto" w:sz="4" w:space="0"/>
            </w:tcBorders>
            <w:vAlign w:val="center"/>
          </w:tcPr>
          <w:p w14:paraId="768DD2D4">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4586.4</w:t>
            </w:r>
          </w:p>
        </w:tc>
        <w:tc>
          <w:tcPr>
            <w:tcW w:w="807" w:type="pct"/>
            <w:tcBorders>
              <w:top w:val="nil"/>
              <w:left w:val="nil"/>
              <w:bottom w:val="single" w:color="auto" w:sz="4" w:space="0"/>
              <w:right w:val="single" w:color="auto" w:sz="4" w:space="0"/>
            </w:tcBorders>
            <w:vAlign w:val="center"/>
          </w:tcPr>
          <w:p w14:paraId="47D322AF">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10.75</w:t>
            </w:r>
          </w:p>
        </w:tc>
        <w:tc>
          <w:tcPr>
            <w:tcW w:w="1372" w:type="dxa"/>
            <w:tcBorders>
              <w:top w:val="nil"/>
              <w:left w:val="nil"/>
              <w:bottom w:val="single" w:color="auto" w:sz="4" w:space="0"/>
              <w:right w:val="single" w:color="auto" w:sz="4" w:space="0"/>
            </w:tcBorders>
            <w:vAlign w:val="center"/>
          </w:tcPr>
          <w:p w14:paraId="2EC0E536">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4.93 </w:t>
            </w:r>
          </w:p>
        </w:tc>
      </w:tr>
      <w:tr w14:paraId="1C0922AA">
        <w:tblPrEx>
          <w:tblCellMar>
            <w:top w:w="0" w:type="dxa"/>
            <w:left w:w="108" w:type="dxa"/>
            <w:bottom w:w="0" w:type="dxa"/>
            <w:right w:w="108" w:type="dxa"/>
          </w:tblCellMar>
        </w:tblPrEx>
        <w:trPr>
          <w:trHeight w:val="264" w:hRule="atLeast"/>
        </w:trPr>
        <w:tc>
          <w:tcPr>
            <w:tcW w:w="426" w:type="pct"/>
            <w:tcBorders>
              <w:top w:val="nil"/>
              <w:left w:val="single" w:color="auto" w:sz="4" w:space="0"/>
              <w:bottom w:val="single" w:color="auto" w:sz="4" w:space="0"/>
              <w:right w:val="single" w:color="auto" w:sz="4" w:space="0"/>
            </w:tcBorders>
            <w:vAlign w:val="center"/>
          </w:tcPr>
          <w:p w14:paraId="79259B7F">
            <w:pPr>
              <w:pStyle w:val="72"/>
              <w:rPr>
                <w:rFonts w:hint="eastAsia" w:ascii="仿宋" w:hAnsi="仿宋" w:eastAsia="仿宋"/>
                <w:color w:val="000000"/>
                <w:sz w:val="20"/>
                <w:szCs w:val="20"/>
                <w:lang w:val="en-US" w:eastAsia="zh-CN"/>
              </w:rPr>
            </w:pPr>
            <w:r>
              <w:rPr>
                <w:rFonts w:hint="eastAsia" w:ascii="仿宋" w:hAnsi="仿宋"/>
                <w:color w:val="000000"/>
                <w:sz w:val="20"/>
                <w:szCs w:val="20"/>
                <w:lang w:val="en-US" w:eastAsia="zh-CN"/>
              </w:rPr>
              <w:t>9</w:t>
            </w:r>
          </w:p>
        </w:tc>
        <w:tc>
          <w:tcPr>
            <w:tcW w:w="652" w:type="pct"/>
            <w:tcBorders>
              <w:top w:val="nil"/>
              <w:left w:val="nil"/>
              <w:bottom w:val="single" w:color="auto" w:sz="4" w:space="0"/>
              <w:right w:val="single" w:color="auto" w:sz="4" w:space="0"/>
            </w:tcBorders>
            <w:vAlign w:val="center"/>
          </w:tcPr>
          <w:p w14:paraId="2A4B1C5E">
            <w:pPr>
              <w:pStyle w:val="72"/>
              <w:ind w:firstLine="0" w:firstLineChars="0"/>
              <w:rPr>
                <w:rFonts w:hint="eastAsia" w:ascii="仿宋" w:hAnsi="仿宋"/>
                <w:color w:val="000000"/>
                <w:sz w:val="20"/>
                <w:szCs w:val="20"/>
              </w:rPr>
            </w:pPr>
            <w:r>
              <w:rPr>
                <w:rFonts w:hint="eastAsia" w:ascii="仿宋" w:hAnsi="仿宋"/>
                <w:color w:val="000000"/>
                <w:sz w:val="20"/>
                <w:szCs w:val="20"/>
              </w:rPr>
              <w:t>90008</w:t>
            </w:r>
          </w:p>
        </w:tc>
        <w:tc>
          <w:tcPr>
            <w:tcW w:w="1103" w:type="pct"/>
            <w:tcBorders>
              <w:top w:val="nil"/>
              <w:left w:val="nil"/>
              <w:bottom w:val="single" w:color="auto" w:sz="4" w:space="0"/>
              <w:right w:val="single" w:color="auto" w:sz="4" w:space="0"/>
            </w:tcBorders>
            <w:vAlign w:val="center"/>
          </w:tcPr>
          <w:p w14:paraId="14293EB5">
            <w:pPr>
              <w:pStyle w:val="72"/>
              <w:ind w:firstLine="0" w:firstLineChars="0"/>
              <w:rPr>
                <w:rFonts w:hint="default" w:ascii="仿宋" w:hAnsi="仿宋" w:eastAsia="仿宋"/>
                <w:szCs w:val="21"/>
                <w:lang w:val="en-US" w:eastAsia="zh-CN"/>
              </w:rPr>
            </w:pPr>
            <w:r>
              <w:rPr>
                <w:rFonts w:hint="eastAsia" w:ascii="仿宋" w:hAnsi="仿宋"/>
                <w:szCs w:val="21"/>
                <w:lang w:val="en-US" w:eastAsia="zh-CN"/>
              </w:rPr>
              <w:t>栽植乔木</w:t>
            </w:r>
          </w:p>
        </w:tc>
        <w:tc>
          <w:tcPr>
            <w:tcW w:w="585" w:type="pct"/>
            <w:tcBorders>
              <w:top w:val="nil"/>
              <w:left w:val="nil"/>
              <w:bottom w:val="single" w:color="auto" w:sz="4" w:space="0"/>
              <w:right w:val="single" w:color="auto" w:sz="4" w:space="0"/>
            </w:tcBorders>
            <w:shd w:val="clear" w:color="auto" w:fill="auto"/>
            <w:vAlign w:val="center"/>
          </w:tcPr>
          <w:p w14:paraId="21A84FAA">
            <w:pPr>
              <w:pStyle w:val="72"/>
              <w:ind w:firstLine="0" w:firstLineChars="0"/>
              <w:rPr>
                <w:rFonts w:hint="eastAsia" w:ascii="宋体" w:hAnsi="宋体" w:eastAsia="仿宋" w:cs="Times New Roman"/>
                <w:b w:val="0"/>
                <w:bCs/>
                <w:kern w:val="2"/>
                <w:sz w:val="21"/>
                <w:szCs w:val="21"/>
                <w:lang w:val="en-US" w:eastAsia="zh-CN" w:bidi="ar-SA"/>
              </w:rPr>
            </w:pP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p>
        </w:tc>
        <w:tc>
          <w:tcPr>
            <w:tcW w:w="1354" w:type="dxa"/>
            <w:tcBorders>
              <w:top w:val="nil"/>
              <w:left w:val="nil"/>
              <w:bottom w:val="single" w:color="auto" w:sz="4" w:space="0"/>
              <w:right w:val="single" w:color="auto" w:sz="4" w:space="0"/>
            </w:tcBorders>
            <w:vAlign w:val="center"/>
          </w:tcPr>
          <w:p w14:paraId="2E81772D">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4205</w:t>
            </w:r>
          </w:p>
        </w:tc>
        <w:tc>
          <w:tcPr>
            <w:tcW w:w="807" w:type="pct"/>
            <w:tcBorders>
              <w:top w:val="nil"/>
              <w:left w:val="nil"/>
              <w:bottom w:val="single" w:color="auto" w:sz="4" w:space="0"/>
              <w:right w:val="single" w:color="auto" w:sz="4" w:space="0"/>
            </w:tcBorders>
            <w:vAlign w:val="center"/>
          </w:tcPr>
          <w:p w14:paraId="7BA26E22">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13.46</w:t>
            </w:r>
          </w:p>
        </w:tc>
        <w:tc>
          <w:tcPr>
            <w:tcW w:w="1372" w:type="dxa"/>
            <w:tcBorders>
              <w:top w:val="nil"/>
              <w:left w:val="nil"/>
              <w:bottom w:val="single" w:color="auto" w:sz="4" w:space="0"/>
              <w:right w:val="single" w:color="auto" w:sz="4" w:space="0"/>
            </w:tcBorders>
            <w:vAlign w:val="center"/>
          </w:tcPr>
          <w:p w14:paraId="16D7DF79">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5.66 </w:t>
            </w:r>
          </w:p>
        </w:tc>
      </w:tr>
      <w:tr w14:paraId="45E92954">
        <w:tblPrEx>
          <w:tblCellMar>
            <w:top w:w="0" w:type="dxa"/>
            <w:left w:w="108" w:type="dxa"/>
            <w:bottom w:w="0" w:type="dxa"/>
            <w:right w:w="108" w:type="dxa"/>
          </w:tblCellMar>
        </w:tblPrEx>
        <w:trPr>
          <w:trHeight w:val="264" w:hRule="atLeast"/>
        </w:trPr>
        <w:tc>
          <w:tcPr>
            <w:tcW w:w="426" w:type="pct"/>
            <w:tcBorders>
              <w:top w:val="nil"/>
              <w:left w:val="single" w:color="auto" w:sz="4" w:space="0"/>
              <w:bottom w:val="single" w:color="auto" w:sz="4" w:space="0"/>
              <w:right w:val="single" w:color="auto" w:sz="4" w:space="0"/>
            </w:tcBorders>
            <w:vAlign w:val="center"/>
          </w:tcPr>
          <w:p w14:paraId="3984644B">
            <w:pPr>
              <w:pStyle w:val="72"/>
              <w:rPr>
                <w:rFonts w:hint="default" w:ascii="仿宋" w:hAnsi="仿宋" w:eastAsia="仿宋"/>
                <w:color w:val="000000"/>
                <w:sz w:val="20"/>
                <w:szCs w:val="20"/>
                <w:lang w:val="en-US" w:eastAsia="zh-CN"/>
              </w:rPr>
            </w:pPr>
            <w:r>
              <w:rPr>
                <w:rFonts w:hint="eastAsia" w:ascii="仿宋" w:hAnsi="仿宋"/>
                <w:color w:val="000000"/>
                <w:sz w:val="20"/>
                <w:szCs w:val="20"/>
                <w:lang w:val="en-US" w:eastAsia="zh-CN"/>
              </w:rPr>
              <w:t>10</w:t>
            </w:r>
          </w:p>
        </w:tc>
        <w:tc>
          <w:tcPr>
            <w:tcW w:w="652" w:type="pct"/>
            <w:tcBorders>
              <w:top w:val="nil"/>
              <w:left w:val="nil"/>
              <w:bottom w:val="single" w:color="auto" w:sz="4" w:space="0"/>
              <w:right w:val="single" w:color="auto" w:sz="4" w:space="0"/>
            </w:tcBorders>
            <w:vAlign w:val="center"/>
          </w:tcPr>
          <w:p w14:paraId="289336B0">
            <w:pPr>
              <w:pStyle w:val="72"/>
              <w:ind w:firstLine="0" w:firstLineChars="0"/>
              <w:rPr>
                <w:rFonts w:hint="default" w:ascii="仿宋" w:hAnsi="仿宋"/>
                <w:color w:val="000000"/>
                <w:sz w:val="20"/>
                <w:szCs w:val="20"/>
                <w:lang w:val="en-US" w:eastAsia="zh-CN"/>
              </w:rPr>
            </w:pPr>
            <w:r>
              <w:rPr>
                <w:rFonts w:hint="eastAsia" w:ascii="仿宋" w:hAnsi="仿宋"/>
                <w:color w:val="000000"/>
                <w:sz w:val="20"/>
                <w:szCs w:val="20"/>
                <w:lang w:val="en-US" w:eastAsia="zh-CN"/>
              </w:rPr>
              <w:t>90018</w:t>
            </w:r>
          </w:p>
        </w:tc>
        <w:tc>
          <w:tcPr>
            <w:tcW w:w="1103" w:type="pct"/>
            <w:tcBorders>
              <w:top w:val="nil"/>
              <w:left w:val="nil"/>
              <w:bottom w:val="single" w:color="auto" w:sz="4" w:space="0"/>
              <w:right w:val="single" w:color="auto" w:sz="4" w:space="0"/>
            </w:tcBorders>
            <w:vAlign w:val="center"/>
          </w:tcPr>
          <w:p w14:paraId="6295C210">
            <w:pPr>
              <w:pStyle w:val="72"/>
              <w:rPr>
                <w:rFonts w:hint="default" w:ascii="仿宋" w:hAnsi="仿宋" w:eastAsia="仿宋"/>
                <w:szCs w:val="21"/>
                <w:lang w:val="en-US" w:eastAsia="zh-CN"/>
              </w:rPr>
            </w:pPr>
            <w:r>
              <w:rPr>
                <w:rFonts w:hint="eastAsia" w:ascii="仿宋" w:hAnsi="仿宋"/>
                <w:szCs w:val="21"/>
                <w:lang w:val="en-US" w:eastAsia="zh-CN"/>
              </w:rPr>
              <w:t>表土场撒播紫花苜蓿</w:t>
            </w:r>
          </w:p>
        </w:tc>
        <w:tc>
          <w:tcPr>
            <w:tcW w:w="585" w:type="pct"/>
            <w:tcBorders>
              <w:top w:val="nil"/>
              <w:left w:val="nil"/>
              <w:bottom w:val="single" w:color="auto" w:sz="4" w:space="0"/>
              <w:right w:val="single" w:color="auto" w:sz="4" w:space="0"/>
            </w:tcBorders>
            <w:vAlign w:val="center"/>
          </w:tcPr>
          <w:p w14:paraId="42E6C569">
            <w:pPr>
              <w:pStyle w:val="72"/>
              <w:rPr>
                <w:rFonts w:hint="eastAsia"/>
                <w:sz w:val="21"/>
                <w:szCs w:val="21"/>
              </w:rPr>
            </w:pPr>
            <w:r>
              <w:rPr>
                <w:rFonts w:hint="default" w:ascii="Times New Roman" w:hAnsi="Times New Roman" w:cs="Times New Roman"/>
                <w:sz w:val="21"/>
                <w:szCs w:val="21"/>
              </w:rPr>
              <w:t>hm</w:t>
            </w:r>
            <w:r>
              <w:rPr>
                <w:rFonts w:hint="eastAsia"/>
                <w:sz w:val="21"/>
                <w:szCs w:val="21"/>
                <w:vertAlign w:val="superscript"/>
              </w:rPr>
              <w:t>2</w:t>
            </w:r>
          </w:p>
        </w:tc>
        <w:tc>
          <w:tcPr>
            <w:tcW w:w="707" w:type="pct"/>
            <w:tcBorders>
              <w:top w:val="nil"/>
              <w:left w:val="nil"/>
              <w:bottom w:val="single" w:color="auto" w:sz="4" w:space="0"/>
              <w:right w:val="single" w:color="auto" w:sz="4" w:space="0"/>
            </w:tcBorders>
            <w:vAlign w:val="center"/>
          </w:tcPr>
          <w:p w14:paraId="32EB429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w:t>
            </w:r>
          </w:p>
        </w:tc>
        <w:tc>
          <w:tcPr>
            <w:tcW w:w="807" w:type="pct"/>
            <w:tcBorders>
              <w:top w:val="nil"/>
              <w:left w:val="nil"/>
              <w:bottom w:val="single" w:color="auto" w:sz="4" w:space="0"/>
              <w:right w:val="single" w:color="auto" w:sz="4" w:space="0"/>
            </w:tcBorders>
            <w:vAlign w:val="center"/>
          </w:tcPr>
          <w:p w14:paraId="6004AB8C">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3209.42</w:t>
            </w:r>
          </w:p>
        </w:tc>
        <w:tc>
          <w:tcPr>
            <w:tcW w:w="1372" w:type="dxa"/>
            <w:tcBorders>
              <w:top w:val="nil"/>
              <w:left w:val="nil"/>
              <w:bottom w:val="single" w:color="auto" w:sz="4" w:space="0"/>
              <w:right w:val="single" w:color="auto" w:sz="4" w:space="0"/>
            </w:tcBorders>
            <w:vAlign w:val="center"/>
          </w:tcPr>
          <w:p w14:paraId="0380D3C6">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0.77 </w:t>
            </w:r>
          </w:p>
        </w:tc>
      </w:tr>
      <w:tr w14:paraId="4E275222">
        <w:tblPrEx>
          <w:tblCellMar>
            <w:top w:w="0" w:type="dxa"/>
            <w:left w:w="108" w:type="dxa"/>
            <w:bottom w:w="0" w:type="dxa"/>
            <w:right w:w="108" w:type="dxa"/>
          </w:tblCellMar>
        </w:tblPrEx>
        <w:trPr>
          <w:trHeight w:val="264" w:hRule="atLeast"/>
        </w:trPr>
        <w:tc>
          <w:tcPr>
            <w:tcW w:w="426" w:type="pct"/>
            <w:tcBorders>
              <w:top w:val="nil"/>
              <w:left w:val="single" w:color="auto" w:sz="4" w:space="0"/>
              <w:bottom w:val="single" w:color="auto" w:sz="4" w:space="0"/>
              <w:right w:val="single" w:color="auto" w:sz="4" w:space="0"/>
            </w:tcBorders>
            <w:shd w:val="clear" w:color="auto" w:fill="auto"/>
            <w:vAlign w:val="center"/>
          </w:tcPr>
          <w:p w14:paraId="1B60BA69">
            <w:pPr>
              <w:pStyle w:val="72"/>
              <w:ind w:firstLine="0" w:firstLineChars="0"/>
              <w:rPr>
                <w:rFonts w:hint="eastAsia" w:ascii="宋体" w:hAnsi="宋体" w:eastAsia="仿宋" w:cs="Times New Roman"/>
                <w:b w:val="0"/>
                <w:bCs/>
                <w:color w:val="000000"/>
                <w:kern w:val="2"/>
                <w:sz w:val="21"/>
                <w:szCs w:val="28"/>
                <w:lang w:val="en-US" w:eastAsia="zh-CN" w:bidi="ar-SA"/>
              </w:rPr>
            </w:pPr>
            <w:r>
              <w:rPr>
                <w:rFonts w:hint="eastAsia" w:ascii="仿宋" w:hAnsi="仿宋"/>
                <w:color w:val="000000"/>
                <w:sz w:val="20"/>
                <w:szCs w:val="20"/>
              </w:rPr>
              <w:t>二</w:t>
            </w:r>
          </w:p>
        </w:tc>
        <w:tc>
          <w:tcPr>
            <w:tcW w:w="652" w:type="pct"/>
            <w:tcBorders>
              <w:top w:val="nil"/>
              <w:left w:val="nil"/>
              <w:bottom w:val="single" w:color="auto" w:sz="4" w:space="0"/>
              <w:right w:val="single" w:color="auto" w:sz="4" w:space="0"/>
            </w:tcBorders>
            <w:shd w:val="clear" w:color="auto" w:fill="auto"/>
            <w:vAlign w:val="center"/>
          </w:tcPr>
          <w:p w14:paraId="4A2FD680">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　</w:t>
            </w:r>
          </w:p>
        </w:tc>
        <w:tc>
          <w:tcPr>
            <w:tcW w:w="1103" w:type="pct"/>
            <w:tcBorders>
              <w:top w:val="nil"/>
              <w:left w:val="nil"/>
              <w:bottom w:val="single" w:color="auto" w:sz="4" w:space="0"/>
              <w:right w:val="single" w:color="auto" w:sz="4" w:space="0"/>
            </w:tcBorders>
            <w:shd w:val="clear" w:color="auto" w:fill="auto"/>
            <w:vAlign w:val="center"/>
          </w:tcPr>
          <w:p w14:paraId="3682015D">
            <w:pPr>
              <w:pStyle w:val="72"/>
              <w:ind w:firstLine="0" w:firstLineChars="0"/>
              <w:rPr>
                <w:rFonts w:hint="eastAsia" w:ascii="宋体" w:hAnsi="宋体" w:eastAsia="仿宋" w:cs="Times New Roman"/>
                <w:b w:val="0"/>
                <w:bCs/>
                <w:color w:val="000000"/>
                <w:kern w:val="2"/>
                <w:sz w:val="21"/>
                <w:szCs w:val="28"/>
                <w:lang w:val="en-US" w:eastAsia="zh-CN" w:bidi="ar-SA"/>
              </w:rPr>
            </w:pPr>
            <w:r>
              <w:rPr>
                <w:rFonts w:hint="eastAsia" w:ascii="仿宋" w:hAnsi="仿宋"/>
                <w:szCs w:val="21"/>
              </w:rPr>
              <w:t>地貌重塑</w:t>
            </w:r>
          </w:p>
        </w:tc>
        <w:tc>
          <w:tcPr>
            <w:tcW w:w="585" w:type="pct"/>
            <w:tcBorders>
              <w:top w:val="nil"/>
              <w:left w:val="nil"/>
              <w:bottom w:val="single" w:color="auto" w:sz="4" w:space="0"/>
              <w:right w:val="single" w:color="auto" w:sz="4" w:space="0"/>
            </w:tcBorders>
            <w:vAlign w:val="center"/>
          </w:tcPr>
          <w:p w14:paraId="59EF3B55">
            <w:pPr>
              <w:pStyle w:val="72"/>
              <w:rPr>
                <w:rFonts w:hint="eastAsia"/>
                <w:sz w:val="21"/>
                <w:szCs w:val="21"/>
              </w:rPr>
            </w:pPr>
          </w:p>
        </w:tc>
        <w:tc>
          <w:tcPr>
            <w:tcW w:w="707" w:type="pct"/>
            <w:tcBorders>
              <w:top w:val="nil"/>
              <w:left w:val="nil"/>
              <w:bottom w:val="single" w:color="auto" w:sz="4" w:space="0"/>
              <w:right w:val="single" w:color="auto" w:sz="4" w:space="0"/>
            </w:tcBorders>
            <w:vAlign w:val="center"/>
          </w:tcPr>
          <w:p w14:paraId="1830D881">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807" w:type="pct"/>
            <w:tcBorders>
              <w:top w:val="nil"/>
              <w:left w:val="nil"/>
              <w:bottom w:val="single" w:color="auto" w:sz="4" w:space="0"/>
              <w:right w:val="single" w:color="auto" w:sz="4" w:space="0"/>
            </w:tcBorders>
            <w:vAlign w:val="center"/>
          </w:tcPr>
          <w:p w14:paraId="67AF0547">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1372" w:type="dxa"/>
            <w:tcBorders>
              <w:top w:val="nil"/>
              <w:left w:val="nil"/>
              <w:bottom w:val="single" w:color="auto" w:sz="4" w:space="0"/>
              <w:right w:val="single" w:color="auto" w:sz="4" w:space="0"/>
            </w:tcBorders>
            <w:vAlign w:val="center"/>
          </w:tcPr>
          <w:p w14:paraId="137BD571">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34.90 </w:t>
            </w:r>
          </w:p>
        </w:tc>
      </w:tr>
      <w:tr w14:paraId="44428CB6">
        <w:tblPrEx>
          <w:tblCellMar>
            <w:top w:w="0" w:type="dxa"/>
            <w:left w:w="108" w:type="dxa"/>
            <w:bottom w:w="0" w:type="dxa"/>
            <w:right w:w="108" w:type="dxa"/>
          </w:tblCellMar>
        </w:tblPrEx>
        <w:trPr>
          <w:trHeight w:val="234" w:hRule="atLeast"/>
        </w:trPr>
        <w:tc>
          <w:tcPr>
            <w:tcW w:w="426" w:type="pct"/>
            <w:tcBorders>
              <w:top w:val="nil"/>
              <w:left w:val="single" w:color="auto" w:sz="4" w:space="0"/>
              <w:bottom w:val="single" w:color="auto" w:sz="4" w:space="0"/>
              <w:right w:val="single" w:color="auto" w:sz="4" w:space="0"/>
            </w:tcBorders>
            <w:vAlign w:val="center"/>
          </w:tcPr>
          <w:p w14:paraId="45557E4A">
            <w:pPr>
              <w:pStyle w:val="72"/>
              <w:rPr>
                <w:rFonts w:hint="default" w:ascii="仿宋" w:hAnsi="仿宋" w:eastAsia="仿宋"/>
                <w:color w:val="000000"/>
                <w:sz w:val="20"/>
                <w:szCs w:val="20"/>
                <w:lang w:val="en-US" w:eastAsia="zh-CN"/>
              </w:rPr>
            </w:pPr>
            <w:r>
              <w:rPr>
                <w:rFonts w:hint="eastAsia" w:ascii="仿宋" w:hAnsi="仿宋"/>
                <w:color w:val="000000"/>
                <w:sz w:val="20"/>
                <w:szCs w:val="20"/>
                <w:lang w:val="en-US" w:eastAsia="zh-CN"/>
              </w:rPr>
              <w:t>11</w:t>
            </w:r>
          </w:p>
        </w:tc>
        <w:tc>
          <w:tcPr>
            <w:tcW w:w="652" w:type="pct"/>
            <w:tcBorders>
              <w:top w:val="nil"/>
              <w:left w:val="nil"/>
              <w:bottom w:val="single" w:color="auto" w:sz="4" w:space="0"/>
              <w:right w:val="single" w:color="auto" w:sz="4" w:space="0"/>
            </w:tcBorders>
            <w:shd w:val="clear" w:color="auto" w:fill="auto"/>
            <w:vAlign w:val="center"/>
          </w:tcPr>
          <w:p w14:paraId="07DA61C0">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30073</w:t>
            </w:r>
          </w:p>
        </w:tc>
        <w:tc>
          <w:tcPr>
            <w:tcW w:w="1103" w:type="pct"/>
            <w:tcBorders>
              <w:top w:val="nil"/>
              <w:left w:val="nil"/>
              <w:bottom w:val="single" w:color="auto" w:sz="4" w:space="0"/>
              <w:right w:val="single" w:color="auto" w:sz="4" w:space="0"/>
            </w:tcBorders>
            <w:shd w:val="clear" w:color="auto" w:fill="auto"/>
            <w:vAlign w:val="center"/>
          </w:tcPr>
          <w:p w14:paraId="42BEFFBC">
            <w:pPr>
              <w:pStyle w:val="72"/>
              <w:ind w:firstLine="0" w:firstLineChars="0"/>
              <w:rPr>
                <w:rFonts w:hint="eastAsia" w:ascii="宋体" w:hAnsi="宋体" w:eastAsia="仿宋" w:cs="Times New Roman"/>
                <w:b w:val="0"/>
                <w:bCs/>
                <w:color w:val="000000"/>
                <w:kern w:val="2"/>
                <w:sz w:val="21"/>
                <w:szCs w:val="28"/>
                <w:lang w:val="en-US" w:eastAsia="zh-CN" w:bidi="ar-SA"/>
              </w:rPr>
            </w:pPr>
            <w:r>
              <w:rPr>
                <w:rFonts w:hint="eastAsia" w:ascii="仿宋" w:hAnsi="仿宋"/>
                <w:szCs w:val="21"/>
              </w:rPr>
              <w:t>水泥浆砌砖建筑拆除</w:t>
            </w:r>
          </w:p>
        </w:tc>
        <w:tc>
          <w:tcPr>
            <w:tcW w:w="585" w:type="pct"/>
            <w:tcBorders>
              <w:top w:val="nil"/>
              <w:left w:val="nil"/>
              <w:bottom w:val="single" w:color="auto" w:sz="4" w:space="0"/>
              <w:right w:val="single" w:color="auto" w:sz="4" w:space="0"/>
            </w:tcBorders>
            <w:shd w:val="clear" w:color="auto" w:fill="auto"/>
            <w:vAlign w:val="center"/>
          </w:tcPr>
          <w:p w14:paraId="1E391611">
            <w:pPr>
              <w:ind w:firstLine="420" w:firstLineChars="200"/>
              <w:rPr>
                <w:rFonts w:hint="eastAsia" w:ascii="宋体" w:hAnsi="宋体" w:eastAsia="仿宋" w:cs="Times New Roman"/>
                <w:b w:val="0"/>
                <w:bCs/>
                <w:color w:val="000000"/>
                <w:kern w:val="2"/>
                <w:sz w:val="21"/>
                <w:szCs w:val="21"/>
                <w:lang w:val="en-US" w:eastAsia="zh-CN" w:bidi="ar-SA"/>
              </w:rPr>
            </w:pP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p>
        </w:tc>
        <w:tc>
          <w:tcPr>
            <w:tcW w:w="1354" w:type="dxa"/>
            <w:tcBorders>
              <w:top w:val="nil"/>
              <w:left w:val="nil"/>
              <w:bottom w:val="single" w:color="auto" w:sz="4" w:space="0"/>
              <w:right w:val="single" w:color="auto" w:sz="4" w:space="0"/>
            </w:tcBorders>
            <w:vAlign w:val="center"/>
          </w:tcPr>
          <w:p w14:paraId="3BC89B23">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1693</w:t>
            </w:r>
          </w:p>
        </w:tc>
        <w:tc>
          <w:tcPr>
            <w:tcW w:w="807" w:type="pct"/>
            <w:tcBorders>
              <w:top w:val="nil"/>
              <w:left w:val="nil"/>
              <w:bottom w:val="single" w:color="auto" w:sz="4" w:space="0"/>
              <w:right w:val="single" w:color="auto" w:sz="4" w:space="0"/>
            </w:tcBorders>
            <w:vAlign w:val="center"/>
          </w:tcPr>
          <w:p w14:paraId="60FB2B61">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92.59</w:t>
            </w:r>
          </w:p>
        </w:tc>
        <w:tc>
          <w:tcPr>
            <w:tcW w:w="1372" w:type="dxa"/>
            <w:tcBorders>
              <w:top w:val="nil"/>
              <w:left w:val="nil"/>
              <w:bottom w:val="single" w:color="auto" w:sz="4" w:space="0"/>
              <w:right w:val="single" w:color="auto" w:sz="4" w:space="0"/>
            </w:tcBorders>
            <w:vAlign w:val="center"/>
          </w:tcPr>
          <w:p w14:paraId="3D614923">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15.68 </w:t>
            </w:r>
          </w:p>
        </w:tc>
      </w:tr>
      <w:tr w14:paraId="2C11AE99">
        <w:tblPrEx>
          <w:tblCellMar>
            <w:top w:w="0" w:type="dxa"/>
            <w:left w:w="108" w:type="dxa"/>
            <w:bottom w:w="0" w:type="dxa"/>
            <w:right w:w="108" w:type="dxa"/>
          </w:tblCellMar>
        </w:tblPrEx>
        <w:trPr>
          <w:trHeight w:val="186" w:hRule="atLeast"/>
        </w:trPr>
        <w:tc>
          <w:tcPr>
            <w:tcW w:w="426" w:type="pct"/>
            <w:tcBorders>
              <w:top w:val="nil"/>
              <w:left w:val="single" w:color="auto" w:sz="4" w:space="0"/>
              <w:bottom w:val="single" w:color="auto" w:sz="4" w:space="0"/>
              <w:right w:val="single" w:color="auto" w:sz="4" w:space="0"/>
            </w:tcBorders>
            <w:vAlign w:val="center"/>
          </w:tcPr>
          <w:p w14:paraId="28F941A4">
            <w:pPr>
              <w:pStyle w:val="72"/>
              <w:rPr>
                <w:rFonts w:hint="default" w:ascii="仿宋" w:hAnsi="仿宋" w:eastAsia="仿宋"/>
                <w:color w:val="000000"/>
                <w:sz w:val="20"/>
                <w:szCs w:val="20"/>
                <w:lang w:val="en-US" w:eastAsia="zh-CN"/>
              </w:rPr>
            </w:pPr>
            <w:r>
              <w:rPr>
                <w:rFonts w:hint="eastAsia" w:ascii="仿宋" w:hAnsi="仿宋"/>
                <w:color w:val="000000"/>
                <w:sz w:val="20"/>
                <w:szCs w:val="20"/>
                <w:lang w:val="en-US" w:eastAsia="zh-CN"/>
              </w:rPr>
              <w:t>12</w:t>
            </w:r>
          </w:p>
        </w:tc>
        <w:tc>
          <w:tcPr>
            <w:tcW w:w="652" w:type="pct"/>
            <w:tcBorders>
              <w:top w:val="nil"/>
              <w:left w:val="nil"/>
              <w:bottom w:val="single" w:color="auto" w:sz="4" w:space="0"/>
              <w:right w:val="single" w:color="auto" w:sz="4" w:space="0"/>
            </w:tcBorders>
            <w:shd w:val="clear" w:color="auto" w:fill="auto"/>
            <w:vAlign w:val="center"/>
          </w:tcPr>
          <w:p w14:paraId="179793F1">
            <w:pPr>
              <w:pStyle w:val="72"/>
              <w:ind w:firstLine="0" w:firstLineChars="0"/>
              <w:rPr>
                <w:rFonts w:hint="default" w:ascii="仿宋" w:hAnsi="仿宋"/>
                <w:color w:val="000000"/>
                <w:sz w:val="20"/>
                <w:szCs w:val="20"/>
                <w:lang w:val="en-US" w:eastAsia="zh-CN"/>
              </w:rPr>
            </w:pPr>
            <w:r>
              <w:rPr>
                <w:rFonts w:hint="eastAsia" w:ascii="仿宋" w:hAnsi="仿宋"/>
                <w:color w:val="000000"/>
                <w:sz w:val="20"/>
                <w:szCs w:val="20"/>
              </w:rPr>
              <w:t>20284</w:t>
            </w:r>
          </w:p>
        </w:tc>
        <w:tc>
          <w:tcPr>
            <w:tcW w:w="1103" w:type="pct"/>
            <w:tcBorders>
              <w:top w:val="nil"/>
              <w:left w:val="nil"/>
              <w:bottom w:val="single" w:color="auto" w:sz="4" w:space="0"/>
              <w:right w:val="single" w:color="auto" w:sz="4" w:space="0"/>
            </w:tcBorders>
            <w:shd w:val="clear" w:color="auto" w:fill="auto"/>
            <w:vAlign w:val="center"/>
          </w:tcPr>
          <w:p w14:paraId="741ABDE9">
            <w:pPr>
              <w:pStyle w:val="72"/>
              <w:ind w:firstLine="0" w:firstLineChars="0"/>
              <w:rPr>
                <w:rFonts w:hint="eastAsia" w:ascii="宋体" w:hAnsi="宋体" w:eastAsia="仿宋" w:cs="Times New Roman"/>
                <w:b w:val="0"/>
                <w:bCs/>
                <w:color w:val="000000"/>
                <w:kern w:val="2"/>
                <w:sz w:val="21"/>
                <w:szCs w:val="28"/>
                <w:lang w:val="en-US" w:eastAsia="zh-CN" w:bidi="ar-SA"/>
              </w:rPr>
            </w:pPr>
            <w:r>
              <w:rPr>
                <w:rFonts w:hint="eastAsia" w:ascii="仿宋" w:hAnsi="仿宋"/>
                <w:szCs w:val="21"/>
              </w:rPr>
              <w:t>硬覆盖清理</w:t>
            </w:r>
          </w:p>
        </w:tc>
        <w:tc>
          <w:tcPr>
            <w:tcW w:w="585" w:type="pct"/>
            <w:tcBorders>
              <w:top w:val="nil"/>
              <w:left w:val="nil"/>
              <w:bottom w:val="single" w:color="auto" w:sz="4" w:space="0"/>
              <w:right w:val="single" w:color="auto" w:sz="4" w:space="0"/>
            </w:tcBorders>
            <w:vAlign w:val="center"/>
          </w:tcPr>
          <w:p w14:paraId="401CD713">
            <w:pPr>
              <w:ind w:firstLine="420" w:firstLineChars="200"/>
              <w:rPr>
                <w:rFonts w:hint="eastAsia"/>
                <w:sz w:val="21"/>
                <w:szCs w:val="21"/>
              </w:rPr>
            </w:pP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p>
        </w:tc>
        <w:tc>
          <w:tcPr>
            <w:tcW w:w="1354" w:type="dxa"/>
            <w:tcBorders>
              <w:top w:val="nil"/>
              <w:left w:val="nil"/>
              <w:bottom w:val="single" w:color="auto" w:sz="4" w:space="0"/>
              <w:right w:val="single" w:color="auto" w:sz="4" w:space="0"/>
            </w:tcBorders>
            <w:vAlign w:val="center"/>
          </w:tcPr>
          <w:p w14:paraId="509BCB61">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3057.6</w:t>
            </w:r>
          </w:p>
        </w:tc>
        <w:tc>
          <w:tcPr>
            <w:tcW w:w="807" w:type="pct"/>
            <w:tcBorders>
              <w:top w:val="nil"/>
              <w:left w:val="nil"/>
              <w:bottom w:val="single" w:color="auto" w:sz="4" w:space="0"/>
              <w:right w:val="single" w:color="auto" w:sz="4" w:space="0"/>
            </w:tcBorders>
            <w:vAlign w:val="center"/>
          </w:tcPr>
          <w:p w14:paraId="2466B3BC">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27.43</w:t>
            </w:r>
          </w:p>
        </w:tc>
        <w:tc>
          <w:tcPr>
            <w:tcW w:w="1372" w:type="dxa"/>
            <w:tcBorders>
              <w:top w:val="nil"/>
              <w:left w:val="nil"/>
              <w:bottom w:val="single" w:color="auto" w:sz="4" w:space="0"/>
              <w:right w:val="single" w:color="auto" w:sz="4" w:space="0"/>
            </w:tcBorders>
            <w:vAlign w:val="center"/>
          </w:tcPr>
          <w:p w14:paraId="01356B3C">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8.39 </w:t>
            </w:r>
          </w:p>
        </w:tc>
      </w:tr>
      <w:tr w14:paraId="76C887DD">
        <w:tblPrEx>
          <w:tblCellMar>
            <w:top w:w="0" w:type="dxa"/>
            <w:left w:w="108" w:type="dxa"/>
            <w:bottom w:w="0" w:type="dxa"/>
            <w:right w:w="108" w:type="dxa"/>
          </w:tblCellMar>
        </w:tblPrEx>
        <w:trPr>
          <w:trHeight w:val="197" w:hRule="atLeast"/>
        </w:trPr>
        <w:tc>
          <w:tcPr>
            <w:tcW w:w="426" w:type="pct"/>
            <w:tcBorders>
              <w:top w:val="nil"/>
              <w:left w:val="single" w:color="auto" w:sz="4" w:space="0"/>
              <w:bottom w:val="single" w:color="auto" w:sz="4" w:space="0"/>
              <w:right w:val="single" w:color="auto" w:sz="4" w:space="0"/>
            </w:tcBorders>
            <w:vAlign w:val="center"/>
          </w:tcPr>
          <w:p w14:paraId="5E9739ED">
            <w:pPr>
              <w:pStyle w:val="72"/>
              <w:rPr>
                <w:rFonts w:hint="default" w:ascii="仿宋" w:hAnsi="仿宋" w:eastAsia="仿宋"/>
                <w:color w:val="000000"/>
                <w:sz w:val="20"/>
                <w:szCs w:val="20"/>
                <w:lang w:val="en-US" w:eastAsia="zh-CN"/>
              </w:rPr>
            </w:pPr>
            <w:r>
              <w:rPr>
                <w:rFonts w:hint="eastAsia" w:ascii="仿宋" w:hAnsi="仿宋"/>
                <w:color w:val="000000"/>
                <w:sz w:val="20"/>
                <w:szCs w:val="20"/>
                <w:lang w:val="en-US" w:eastAsia="zh-CN"/>
              </w:rPr>
              <w:t>13</w:t>
            </w:r>
          </w:p>
        </w:tc>
        <w:tc>
          <w:tcPr>
            <w:tcW w:w="652" w:type="pct"/>
            <w:tcBorders>
              <w:top w:val="nil"/>
              <w:left w:val="nil"/>
              <w:bottom w:val="single" w:color="auto" w:sz="4" w:space="0"/>
              <w:right w:val="single" w:color="auto" w:sz="4" w:space="0"/>
            </w:tcBorders>
            <w:shd w:val="clear" w:color="auto" w:fill="auto"/>
            <w:vAlign w:val="center"/>
          </w:tcPr>
          <w:p w14:paraId="3BA92CDF">
            <w:pPr>
              <w:pStyle w:val="72"/>
              <w:ind w:firstLine="0" w:firstLineChars="0"/>
              <w:rPr>
                <w:rFonts w:hint="eastAsia" w:ascii="宋体" w:hAnsi="宋体" w:eastAsia="仿宋" w:cs="Times New Roman"/>
                <w:b w:val="0"/>
                <w:bCs/>
                <w:color w:val="000000"/>
                <w:kern w:val="2"/>
                <w:sz w:val="21"/>
                <w:szCs w:val="28"/>
                <w:lang w:val="en-US" w:eastAsia="zh-CN" w:bidi="ar-SA"/>
              </w:rPr>
            </w:pPr>
            <w:r>
              <w:rPr>
                <w:rFonts w:hint="eastAsia" w:ascii="仿宋" w:hAnsi="仿宋"/>
                <w:color w:val="000000"/>
                <w:sz w:val="20"/>
                <w:szCs w:val="20"/>
              </w:rPr>
              <w:t>20294</w:t>
            </w:r>
          </w:p>
        </w:tc>
        <w:tc>
          <w:tcPr>
            <w:tcW w:w="1103" w:type="pct"/>
            <w:tcBorders>
              <w:top w:val="nil"/>
              <w:left w:val="nil"/>
              <w:bottom w:val="single" w:color="auto" w:sz="4" w:space="0"/>
              <w:right w:val="single" w:color="auto" w:sz="4" w:space="0"/>
            </w:tcBorders>
            <w:shd w:val="clear" w:color="auto" w:fill="auto"/>
            <w:vAlign w:val="center"/>
          </w:tcPr>
          <w:p w14:paraId="4829C68F">
            <w:pPr>
              <w:pStyle w:val="72"/>
              <w:ind w:firstLine="0" w:firstLineChars="0"/>
              <w:rPr>
                <w:rFonts w:hint="eastAsia" w:ascii="宋体" w:hAnsi="宋体" w:eastAsia="仿宋" w:cs="Times New Roman"/>
                <w:b w:val="0"/>
                <w:bCs/>
                <w:color w:val="000000"/>
                <w:kern w:val="2"/>
                <w:sz w:val="21"/>
                <w:szCs w:val="28"/>
                <w:lang w:val="en-US" w:eastAsia="zh-CN" w:bidi="ar-SA"/>
              </w:rPr>
            </w:pPr>
            <w:r>
              <w:rPr>
                <w:rFonts w:hint="eastAsia" w:ascii="仿宋" w:hAnsi="仿宋"/>
                <w:szCs w:val="21"/>
                <w:lang w:val="en-US" w:eastAsia="zh-CN"/>
              </w:rPr>
              <w:t>建筑物及硬盖层</w:t>
            </w:r>
            <w:r>
              <w:rPr>
                <w:rFonts w:hint="eastAsia" w:ascii="仿宋" w:hAnsi="仿宋"/>
                <w:szCs w:val="21"/>
              </w:rPr>
              <w:t>回填</w:t>
            </w:r>
          </w:p>
        </w:tc>
        <w:tc>
          <w:tcPr>
            <w:tcW w:w="585" w:type="pct"/>
            <w:tcBorders>
              <w:top w:val="nil"/>
              <w:left w:val="nil"/>
              <w:bottom w:val="single" w:color="auto" w:sz="4" w:space="0"/>
              <w:right w:val="single" w:color="auto" w:sz="4" w:space="0"/>
            </w:tcBorders>
            <w:shd w:val="clear" w:color="auto" w:fill="auto"/>
            <w:vAlign w:val="center"/>
          </w:tcPr>
          <w:p w14:paraId="579D5D45">
            <w:pPr>
              <w:ind w:firstLine="420" w:firstLineChars="200"/>
              <w:rPr>
                <w:rFonts w:hint="eastAsia" w:ascii="宋体" w:hAnsi="宋体" w:eastAsia="仿宋" w:cs="Times New Roman"/>
                <w:b w:val="0"/>
                <w:bCs/>
                <w:color w:val="000000"/>
                <w:kern w:val="2"/>
                <w:sz w:val="21"/>
                <w:szCs w:val="21"/>
                <w:lang w:val="en-US" w:eastAsia="zh-CN" w:bidi="ar-SA"/>
              </w:rPr>
            </w:pP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p>
        </w:tc>
        <w:tc>
          <w:tcPr>
            <w:tcW w:w="1354" w:type="dxa"/>
            <w:tcBorders>
              <w:top w:val="nil"/>
              <w:left w:val="nil"/>
              <w:bottom w:val="single" w:color="auto" w:sz="4" w:space="0"/>
              <w:right w:val="single" w:color="auto" w:sz="4" w:space="0"/>
            </w:tcBorders>
            <w:vAlign w:val="center"/>
          </w:tcPr>
          <w:p w14:paraId="36D5A4F7">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4749.6</w:t>
            </w:r>
          </w:p>
        </w:tc>
        <w:tc>
          <w:tcPr>
            <w:tcW w:w="807" w:type="pct"/>
            <w:tcBorders>
              <w:top w:val="nil"/>
              <w:left w:val="nil"/>
              <w:bottom w:val="single" w:color="auto" w:sz="4" w:space="0"/>
              <w:right w:val="single" w:color="auto" w:sz="4" w:space="0"/>
            </w:tcBorders>
            <w:vAlign w:val="center"/>
          </w:tcPr>
          <w:p w14:paraId="037B90F3">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18.72</w:t>
            </w:r>
          </w:p>
        </w:tc>
        <w:tc>
          <w:tcPr>
            <w:tcW w:w="1372" w:type="dxa"/>
            <w:tcBorders>
              <w:top w:val="nil"/>
              <w:left w:val="nil"/>
              <w:bottom w:val="single" w:color="auto" w:sz="4" w:space="0"/>
              <w:right w:val="single" w:color="auto" w:sz="4" w:space="0"/>
            </w:tcBorders>
            <w:vAlign w:val="center"/>
          </w:tcPr>
          <w:p w14:paraId="05F2620F">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8.89 </w:t>
            </w:r>
          </w:p>
        </w:tc>
      </w:tr>
      <w:tr w14:paraId="5DE0DA65">
        <w:tblPrEx>
          <w:tblCellMar>
            <w:top w:w="0" w:type="dxa"/>
            <w:left w:w="108" w:type="dxa"/>
            <w:bottom w:w="0" w:type="dxa"/>
            <w:right w:w="108" w:type="dxa"/>
          </w:tblCellMar>
        </w:tblPrEx>
        <w:trPr>
          <w:trHeight w:val="264" w:hRule="atLeast"/>
        </w:trPr>
        <w:tc>
          <w:tcPr>
            <w:tcW w:w="426" w:type="pct"/>
            <w:tcBorders>
              <w:top w:val="nil"/>
              <w:left w:val="single" w:color="auto" w:sz="4" w:space="0"/>
              <w:bottom w:val="single" w:color="auto" w:sz="4" w:space="0"/>
              <w:right w:val="single" w:color="auto" w:sz="4" w:space="0"/>
            </w:tcBorders>
            <w:vAlign w:val="center"/>
          </w:tcPr>
          <w:p w14:paraId="675A7EDB">
            <w:pPr>
              <w:pStyle w:val="72"/>
              <w:rPr>
                <w:rFonts w:hint="default" w:ascii="仿宋" w:hAnsi="仿宋" w:eastAsia="仿宋"/>
                <w:color w:val="000000"/>
                <w:sz w:val="20"/>
                <w:szCs w:val="20"/>
                <w:lang w:val="en-US" w:eastAsia="zh-CN"/>
              </w:rPr>
            </w:pPr>
            <w:r>
              <w:rPr>
                <w:rFonts w:hint="eastAsia" w:ascii="仿宋" w:hAnsi="仿宋"/>
                <w:color w:val="000000"/>
                <w:sz w:val="20"/>
                <w:szCs w:val="20"/>
                <w:lang w:val="en-US" w:eastAsia="zh-CN"/>
              </w:rPr>
              <w:t>14</w:t>
            </w:r>
          </w:p>
        </w:tc>
        <w:tc>
          <w:tcPr>
            <w:tcW w:w="652" w:type="pct"/>
            <w:tcBorders>
              <w:top w:val="nil"/>
              <w:left w:val="nil"/>
              <w:bottom w:val="single" w:color="auto" w:sz="4" w:space="0"/>
              <w:right w:val="single" w:color="auto" w:sz="4" w:space="0"/>
            </w:tcBorders>
            <w:shd w:val="clear" w:color="auto" w:fill="auto"/>
            <w:vAlign w:val="center"/>
          </w:tcPr>
          <w:p w14:paraId="38F1932F">
            <w:pPr>
              <w:pStyle w:val="72"/>
              <w:ind w:firstLine="0" w:firstLineChars="0"/>
              <w:rPr>
                <w:rFonts w:hint="eastAsia" w:ascii="宋体" w:hAnsi="宋体" w:eastAsia="仿宋" w:cs="Times New Roman"/>
                <w:b w:val="0"/>
                <w:bCs/>
                <w:color w:val="000000"/>
                <w:kern w:val="2"/>
                <w:sz w:val="21"/>
                <w:szCs w:val="28"/>
                <w:lang w:val="en-US" w:eastAsia="zh-CN" w:bidi="ar-SA"/>
              </w:rPr>
            </w:pPr>
            <w:r>
              <w:rPr>
                <w:rFonts w:hint="eastAsia" w:ascii="仿宋" w:hAnsi="仿宋"/>
                <w:color w:val="000000"/>
                <w:sz w:val="20"/>
                <w:szCs w:val="20"/>
              </w:rPr>
              <w:t>20273</w:t>
            </w:r>
          </w:p>
        </w:tc>
        <w:tc>
          <w:tcPr>
            <w:tcW w:w="1103" w:type="pct"/>
            <w:tcBorders>
              <w:top w:val="nil"/>
              <w:left w:val="nil"/>
              <w:bottom w:val="single" w:color="auto" w:sz="4" w:space="0"/>
              <w:right w:val="single" w:color="auto" w:sz="4" w:space="0"/>
            </w:tcBorders>
            <w:shd w:val="clear" w:color="auto" w:fill="auto"/>
            <w:vAlign w:val="center"/>
          </w:tcPr>
          <w:p w14:paraId="158C04CE">
            <w:pPr>
              <w:pStyle w:val="72"/>
              <w:ind w:firstLine="0" w:firstLineChars="0"/>
              <w:rPr>
                <w:rFonts w:hint="eastAsia" w:ascii="宋体" w:hAnsi="宋体" w:eastAsia="仿宋" w:cs="Times New Roman"/>
                <w:b/>
                <w:bCs/>
                <w:color w:val="000000"/>
                <w:kern w:val="2"/>
                <w:sz w:val="21"/>
                <w:szCs w:val="28"/>
                <w:lang w:val="en-US" w:eastAsia="zh-CN" w:bidi="ar-SA"/>
              </w:rPr>
            </w:pPr>
            <w:r>
              <w:rPr>
                <w:rFonts w:hint="eastAsia" w:ascii="仿宋" w:hAnsi="仿宋"/>
                <w:szCs w:val="21"/>
              </w:rPr>
              <w:t>场地平整</w:t>
            </w:r>
          </w:p>
        </w:tc>
        <w:tc>
          <w:tcPr>
            <w:tcW w:w="585" w:type="pct"/>
            <w:tcBorders>
              <w:top w:val="nil"/>
              <w:left w:val="nil"/>
              <w:bottom w:val="single" w:color="auto" w:sz="4" w:space="0"/>
              <w:right w:val="single" w:color="auto" w:sz="4" w:space="0"/>
            </w:tcBorders>
            <w:vAlign w:val="center"/>
          </w:tcPr>
          <w:p w14:paraId="4CB03795">
            <w:pPr>
              <w:ind w:firstLine="420" w:firstLineChars="200"/>
              <w:rPr>
                <w:rFonts w:hint="eastAsia"/>
                <w:sz w:val="21"/>
                <w:szCs w:val="21"/>
              </w:rPr>
            </w:pP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p>
        </w:tc>
        <w:tc>
          <w:tcPr>
            <w:tcW w:w="1354" w:type="dxa"/>
            <w:tcBorders>
              <w:top w:val="nil"/>
              <w:left w:val="nil"/>
              <w:bottom w:val="single" w:color="auto" w:sz="4" w:space="0"/>
              <w:right w:val="single" w:color="auto" w:sz="4" w:space="0"/>
            </w:tcBorders>
            <w:vAlign w:val="center"/>
          </w:tcPr>
          <w:p w14:paraId="4FB0D420">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3057.6</w:t>
            </w:r>
          </w:p>
        </w:tc>
        <w:tc>
          <w:tcPr>
            <w:tcW w:w="807" w:type="pct"/>
            <w:tcBorders>
              <w:top w:val="nil"/>
              <w:left w:val="nil"/>
              <w:bottom w:val="single" w:color="auto" w:sz="4" w:space="0"/>
              <w:right w:val="single" w:color="auto" w:sz="4" w:space="0"/>
            </w:tcBorders>
            <w:vAlign w:val="center"/>
          </w:tcPr>
          <w:p w14:paraId="00C48A09">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6.37</w:t>
            </w:r>
          </w:p>
        </w:tc>
        <w:tc>
          <w:tcPr>
            <w:tcW w:w="1372" w:type="dxa"/>
            <w:tcBorders>
              <w:top w:val="nil"/>
              <w:left w:val="nil"/>
              <w:bottom w:val="single" w:color="auto" w:sz="4" w:space="0"/>
              <w:right w:val="single" w:color="auto" w:sz="4" w:space="0"/>
            </w:tcBorders>
            <w:vAlign w:val="center"/>
          </w:tcPr>
          <w:p w14:paraId="3B9B2DBD">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1.95 </w:t>
            </w:r>
          </w:p>
        </w:tc>
      </w:tr>
      <w:tr w14:paraId="60CF2461">
        <w:tblPrEx>
          <w:tblCellMar>
            <w:top w:w="0" w:type="dxa"/>
            <w:left w:w="108" w:type="dxa"/>
            <w:bottom w:w="0" w:type="dxa"/>
            <w:right w:w="108" w:type="dxa"/>
          </w:tblCellMar>
        </w:tblPrEx>
        <w:trPr>
          <w:trHeight w:val="264" w:hRule="atLeast"/>
        </w:trPr>
        <w:tc>
          <w:tcPr>
            <w:tcW w:w="426" w:type="pct"/>
            <w:tcBorders>
              <w:top w:val="nil"/>
              <w:left w:val="single" w:color="auto" w:sz="4" w:space="0"/>
              <w:bottom w:val="single" w:color="auto" w:sz="4" w:space="0"/>
              <w:right w:val="single" w:color="auto" w:sz="4" w:space="0"/>
            </w:tcBorders>
            <w:vAlign w:val="center"/>
          </w:tcPr>
          <w:p w14:paraId="583C123C">
            <w:pPr>
              <w:pStyle w:val="72"/>
              <w:rPr>
                <w:rFonts w:hint="eastAsia"/>
                <w:color w:val="000000"/>
              </w:rPr>
            </w:pPr>
            <w:r>
              <w:rPr>
                <w:rFonts w:hint="eastAsia" w:ascii="仿宋" w:hAnsi="仿宋"/>
                <w:b/>
                <w:bCs w:val="0"/>
                <w:sz w:val="20"/>
                <w:szCs w:val="20"/>
              </w:rPr>
              <w:t>合计</w:t>
            </w:r>
          </w:p>
        </w:tc>
        <w:tc>
          <w:tcPr>
            <w:tcW w:w="652" w:type="pct"/>
            <w:tcBorders>
              <w:top w:val="nil"/>
              <w:left w:val="nil"/>
              <w:bottom w:val="single" w:color="auto" w:sz="4" w:space="0"/>
              <w:right w:val="single" w:color="auto" w:sz="4" w:space="0"/>
            </w:tcBorders>
            <w:vAlign w:val="center"/>
          </w:tcPr>
          <w:p w14:paraId="139472B9">
            <w:pPr>
              <w:pStyle w:val="72"/>
              <w:rPr>
                <w:rFonts w:hint="eastAsia"/>
                <w:color w:val="000000"/>
              </w:rPr>
            </w:pPr>
            <w:r>
              <w:rPr>
                <w:rFonts w:hint="eastAsia" w:ascii="仿宋" w:hAnsi="仿宋"/>
                <w:b/>
                <w:bCs w:val="0"/>
                <w:sz w:val="20"/>
                <w:szCs w:val="20"/>
              </w:rPr>
              <w:t>　</w:t>
            </w:r>
          </w:p>
        </w:tc>
        <w:tc>
          <w:tcPr>
            <w:tcW w:w="1103" w:type="pct"/>
            <w:tcBorders>
              <w:top w:val="nil"/>
              <w:left w:val="nil"/>
              <w:bottom w:val="single" w:color="auto" w:sz="4" w:space="0"/>
              <w:right w:val="single" w:color="auto" w:sz="4" w:space="0"/>
            </w:tcBorders>
            <w:vAlign w:val="center"/>
          </w:tcPr>
          <w:p w14:paraId="4101DE67">
            <w:pPr>
              <w:pStyle w:val="72"/>
              <w:rPr>
                <w:rFonts w:hint="eastAsia"/>
                <w:color w:val="000000"/>
              </w:rPr>
            </w:pPr>
            <w:r>
              <w:rPr>
                <w:rFonts w:hint="eastAsia" w:ascii="仿宋" w:hAnsi="仿宋"/>
                <w:b/>
                <w:bCs w:val="0"/>
                <w:sz w:val="20"/>
                <w:szCs w:val="20"/>
              </w:rPr>
              <w:t>　</w:t>
            </w:r>
          </w:p>
        </w:tc>
        <w:tc>
          <w:tcPr>
            <w:tcW w:w="585" w:type="pct"/>
            <w:tcBorders>
              <w:top w:val="nil"/>
              <w:left w:val="nil"/>
              <w:bottom w:val="single" w:color="auto" w:sz="4" w:space="0"/>
              <w:right w:val="single" w:color="auto" w:sz="4" w:space="0"/>
            </w:tcBorders>
            <w:vAlign w:val="center"/>
          </w:tcPr>
          <w:p w14:paraId="7FBDDBEC">
            <w:pPr>
              <w:pStyle w:val="72"/>
              <w:rPr>
                <w:rFonts w:hint="eastAsia"/>
                <w:color w:val="000000"/>
              </w:rPr>
            </w:pPr>
            <w:r>
              <w:rPr>
                <w:rFonts w:hint="eastAsia" w:ascii="仿宋" w:hAnsi="仿宋"/>
                <w:b/>
                <w:bCs w:val="0"/>
                <w:sz w:val="20"/>
                <w:szCs w:val="20"/>
              </w:rPr>
              <w:t>　</w:t>
            </w:r>
          </w:p>
        </w:tc>
        <w:tc>
          <w:tcPr>
            <w:tcW w:w="707" w:type="pct"/>
            <w:tcBorders>
              <w:top w:val="nil"/>
              <w:left w:val="nil"/>
              <w:bottom w:val="single" w:color="auto" w:sz="4" w:space="0"/>
              <w:right w:val="single" w:color="auto" w:sz="4" w:space="0"/>
            </w:tcBorders>
            <w:vAlign w:val="center"/>
          </w:tcPr>
          <w:p w14:paraId="31AAEA04">
            <w:pPr>
              <w:pStyle w:val="72"/>
              <w:rPr>
                <w:rFonts w:hint="eastAsia"/>
              </w:rPr>
            </w:pPr>
            <w:r>
              <w:rPr>
                <w:rFonts w:hint="eastAsia" w:ascii="仿宋" w:hAnsi="仿宋"/>
                <w:b/>
                <w:sz w:val="20"/>
                <w:szCs w:val="20"/>
              </w:rPr>
              <w:t>　</w:t>
            </w:r>
          </w:p>
        </w:tc>
        <w:tc>
          <w:tcPr>
            <w:tcW w:w="807" w:type="pct"/>
            <w:tcBorders>
              <w:top w:val="nil"/>
              <w:left w:val="nil"/>
              <w:bottom w:val="single" w:color="auto" w:sz="4" w:space="0"/>
              <w:right w:val="single" w:color="auto" w:sz="4" w:space="0"/>
            </w:tcBorders>
            <w:vAlign w:val="center"/>
          </w:tcPr>
          <w:p w14:paraId="04E069E8">
            <w:pPr>
              <w:pStyle w:val="72"/>
              <w:rPr>
                <w:rFonts w:hint="eastAsia"/>
                <w:color w:val="000000"/>
              </w:rPr>
            </w:pPr>
            <w:r>
              <w:rPr>
                <w:rFonts w:hint="eastAsia" w:ascii="仿宋" w:hAnsi="仿宋"/>
                <w:b/>
                <w:sz w:val="20"/>
                <w:szCs w:val="20"/>
              </w:rPr>
              <w:t>　</w:t>
            </w:r>
          </w:p>
        </w:tc>
        <w:tc>
          <w:tcPr>
            <w:tcW w:w="1372" w:type="dxa"/>
            <w:tcBorders>
              <w:top w:val="nil"/>
              <w:left w:val="nil"/>
              <w:bottom w:val="single" w:color="auto" w:sz="4" w:space="0"/>
              <w:right w:val="single" w:color="auto" w:sz="4" w:space="0"/>
            </w:tcBorders>
            <w:vAlign w:val="center"/>
          </w:tcPr>
          <w:p w14:paraId="304BA394">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65.49 </w:t>
            </w:r>
          </w:p>
        </w:tc>
      </w:tr>
    </w:tbl>
    <w:p w14:paraId="31F5B286">
      <w:pPr>
        <w:pStyle w:val="5"/>
        <w:ind w:firstLine="562"/>
      </w:pPr>
      <w:r>
        <w:t>（三）总工程量及经费估算</w:t>
      </w:r>
    </w:p>
    <w:p w14:paraId="39CE94D9">
      <w:pPr>
        <w:ind w:firstLine="560"/>
        <w:rPr>
          <w:szCs w:val="28"/>
        </w:rPr>
      </w:pPr>
      <w:r>
        <w:rPr>
          <w:szCs w:val="28"/>
        </w:rPr>
        <w:t>经过投资估算，矿区生态修复静态投资为</w:t>
      </w:r>
      <w:r>
        <w:rPr>
          <w:rFonts w:hint="eastAsia"/>
          <w:lang w:eastAsia="zh-CN"/>
        </w:rPr>
        <w:t>116.26</w:t>
      </w:r>
      <w:r>
        <w:rPr>
          <w:szCs w:val="28"/>
        </w:rPr>
        <w:t>万元，动态投资</w:t>
      </w:r>
      <w:r>
        <w:rPr>
          <w:rFonts w:hint="eastAsia"/>
          <w:lang w:eastAsia="zh-CN"/>
        </w:rPr>
        <w:t>161.04</w:t>
      </w:r>
      <w:r>
        <w:rPr>
          <w:szCs w:val="28"/>
        </w:rPr>
        <w:t>万元，其中工程施工费</w:t>
      </w:r>
      <w:r>
        <w:rPr>
          <w:rFonts w:hint="eastAsia"/>
          <w:lang w:eastAsia="zh-CN"/>
        </w:rPr>
        <w:t>65.49</w:t>
      </w:r>
      <w:r>
        <w:rPr>
          <w:szCs w:val="28"/>
        </w:rPr>
        <w:t>万元、监测管护费</w:t>
      </w:r>
      <w:r>
        <w:rPr>
          <w:rFonts w:hint="eastAsia"/>
          <w:lang w:eastAsia="zh-CN"/>
        </w:rPr>
        <w:t>35.52</w:t>
      </w:r>
      <w:r>
        <w:rPr>
          <w:szCs w:val="28"/>
        </w:rPr>
        <w:t>万元，其他费用</w:t>
      </w:r>
      <w:r>
        <w:rPr>
          <w:rFonts w:hint="eastAsia"/>
          <w:lang w:val="en-US" w:eastAsia="zh-CN"/>
        </w:rPr>
        <w:t>10.18</w:t>
      </w:r>
      <w:r>
        <w:rPr>
          <w:szCs w:val="28"/>
        </w:rPr>
        <w:t>万元、预备费</w:t>
      </w:r>
      <w:r>
        <w:rPr>
          <w:rFonts w:hint="eastAsia"/>
          <w:szCs w:val="28"/>
          <w:lang w:val="en-US" w:eastAsia="zh-CN"/>
        </w:rPr>
        <w:t>36.90</w:t>
      </w:r>
      <w:r>
        <w:rPr>
          <w:szCs w:val="28"/>
        </w:rPr>
        <w:t>万元。</w:t>
      </w:r>
    </w:p>
    <w:p w14:paraId="45311E53">
      <w:pPr>
        <w:pStyle w:val="57"/>
        <w:ind w:left="560" w:firstLine="560"/>
        <w:rPr>
          <w:rFonts w:ascii="Times New Roman" w:hAnsi="Times New Roman"/>
        </w:rPr>
      </w:pPr>
      <w:r>
        <w:rPr>
          <w:rFonts w:ascii="Times New Roman" w:hAnsi="Times New Roman"/>
        </w:rPr>
        <w:t>表6-5</w:t>
      </w:r>
      <w:bookmarkStart w:id="223" w:name="_Hlk219059306"/>
      <w:r>
        <w:rPr>
          <w:rFonts w:ascii="Times New Roman" w:hAnsi="Times New Roman"/>
        </w:rPr>
        <w:t>矿区生态修复投资</w:t>
      </w:r>
      <w:r>
        <w:rPr>
          <w:rFonts w:hint="eastAsia" w:ascii="Times New Roman" w:hAnsi="Times New Roman"/>
        </w:rPr>
        <w:t>估算</w:t>
      </w:r>
      <w:r>
        <w:rPr>
          <w:rFonts w:ascii="Times New Roman" w:hAnsi="Times New Roman"/>
        </w:rPr>
        <w:t>总表</w:t>
      </w:r>
    </w:p>
    <w:tbl>
      <w:tblPr>
        <w:tblStyle w:val="42"/>
        <w:tblW w:w="5000" w:type="pct"/>
        <w:tblInd w:w="0" w:type="dxa"/>
        <w:tblLayout w:type="autofit"/>
        <w:tblCellMar>
          <w:top w:w="0" w:type="dxa"/>
          <w:left w:w="108" w:type="dxa"/>
          <w:bottom w:w="0" w:type="dxa"/>
          <w:right w:w="108" w:type="dxa"/>
        </w:tblCellMar>
      </w:tblPr>
      <w:tblGrid>
        <w:gridCol w:w="857"/>
        <w:gridCol w:w="2404"/>
        <w:gridCol w:w="3187"/>
        <w:gridCol w:w="3122"/>
      </w:tblGrid>
      <w:tr w14:paraId="570C35BD">
        <w:tblPrEx>
          <w:tblCellMar>
            <w:top w:w="0" w:type="dxa"/>
            <w:left w:w="108" w:type="dxa"/>
            <w:bottom w:w="0" w:type="dxa"/>
            <w:right w:w="108" w:type="dxa"/>
          </w:tblCellMar>
        </w:tblPrEx>
        <w:trPr>
          <w:trHeight w:val="264" w:hRule="atLeast"/>
        </w:trPr>
        <w:tc>
          <w:tcPr>
            <w:tcW w:w="448" w:type="pct"/>
            <w:tcBorders>
              <w:top w:val="single" w:color="auto" w:sz="4" w:space="0"/>
              <w:left w:val="single" w:color="auto" w:sz="4" w:space="0"/>
              <w:bottom w:val="single" w:color="auto" w:sz="4" w:space="0"/>
              <w:right w:val="single" w:color="auto" w:sz="4" w:space="0"/>
            </w:tcBorders>
            <w:noWrap/>
            <w:vAlign w:val="center"/>
          </w:tcPr>
          <w:p w14:paraId="086539A9">
            <w:pPr>
              <w:pStyle w:val="72"/>
              <w:rPr>
                <w:rFonts w:ascii="Times New Roman" w:hAnsi="Times New Roman"/>
              </w:rPr>
            </w:pPr>
            <w:r>
              <w:rPr>
                <w:rFonts w:ascii="Times New Roman" w:hAnsi="Times New Roman"/>
              </w:rPr>
              <w:t>序号</w:t>
            </w:r>
          </w:p>
        </w:tc>
        <w:tc>
          <w:tcPr>
            <w:tcW w:w="1256" w:type="pct"/>
            <w:tcBorders>
              <w:top w:val="single" w:color="auto" w:sz="4" w:space="0"/>
              <w:left w:val="nil"/>
              <w:bottom w:val="single" w:color="auto" w:sz="4" w:space="0"/>
              <w:right w:val="single" w:color="auto" w:sz="4" w:space="0"/>
            </w:tcBorders>
            <w:noWrap/>
            <w:vAlign w:val="center"/>
          </w:tcPr>
          <w:p w14:paraId="2E61C443">
            <w:pPr>
              <w:pStyle w:val="72"/>
              <w:rPr>
                <w:rFonts w:ascii="Times New Roman" w:hAnsi="Times New Roman"/>
              </w:rPr>
            </w:pPr>
            <w:r>
              <w:rPr>
                <w:rFonts w:ascii="Times New Roman" w:hAnsi="Times New Roman"/>
              </w:rPr>
              <w:t>工程或费用名称</w:t>
            </w:r>
          </w:p>
        </w:tc>
        <w:tc>
          <w:tcPr>
            <w:tcW w:w="1665" w:type="pct"/>
            <w:tcBorders>
              <w:top w:val="single" w:color="auto" w:sz="4" w:space="0"/>
              <w:left w:val="nil"/>
              <w:bottom w:val="single" w:color="auto" w:sz="4" w:space="0"/>
              <w:right w:val="single" w:color="auto" w:sz="4" w:space="0"/>
            </w:tcBorders>
            <w:noWrap/>
            <w:vAlign w:val="center"/>
          </w:tcPr>
          <w:p w14:paraId="77B31D32">
            <w:pPr>
              <w:pStyle w:val="72"/>
              <w:rPr>
                <w:rFonts w:ascii="Times New Roman" w:hAnsi="Times New Roman"/>
              </w:rPr>
            </w:pPr>
            <w:r>
              <w:rPr>
                <w:rFonts w:ascii="Times New Roman" w:hAnsi="Times New Roman"/>
              </w:rPr>
              <w:t>费用（万元）</w:t>
            </w:r>
          </w:p>
        </w:tc>
        <w:tc>
          <w:tcPr>
            <w:tcW w:w="1631" w:type="pct"/>
            <w:tcBorders>
              <w:top w:val="single" w:color="auto" w:sz="4" w:space="0"/>
              <w:left w:val="nil"/>
              <w:bottom w:val="single" w:color="auto" w:sz="4" w:space="0"/>
              <w:right w:val="single" w:color="auto" w:sz="4" w:space="0"/>
            </w:tcBorders>
            <w:noWrap/>
            <w:vAlign w:val="center"/>
          </w:tcPr>
          <w:p w14:paraId="2D7405B8">
            <w:pPr>
              <w:pStyle w:val="72"/>
              <w:rPr>
                <w:rFonts w:ascii="Times New Roman" w:hAnsi="Times New Roman"/>
              </w:rPr>
            </w:pPr>
            <w:r>
              <w:rPr>
                <w:rFonts w:ascii="Times New Roman" w:hAnsi="Times New Roman"/>
              </w:rPr>
              <w:t>各项费用占总费用的比例（%）</w:t>
            </w:r>
          </w:p>
        </w:tc>
      </w:tr>
      <w:tr w14:paraId="529D9FAD">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0A7681F5">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一</w:t>
            </w:r>
          </w:p>
        </w:tc>
        <w:tc>
          <w:tcPr>
            <w:tcW w:w="1256" w:type="pct"/>
            <w:tcBorders>
              <w:top w:val="nil"/>
              <w:left w:val="nil"/>
              <w:bottom w:val="single" w:color="auto" w:sz="4" w:space="0"/>
              <w:right w:val="single" w:color="auto" w:sz="4" w:space="0"/>
            </w:tcBorders>
            <w:noWrap/>
            <w:vAlign w:val="center"/>
          </w:tcPr>
          <w:p w14:paraId="7F6455DD">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工程施工费</w:t>
            </w:r>
          </w:p>
        </w:tc>
        <w:tc>
          <w:tcPr>
            <w:tcW w:w="3187" w:type="dxa"/>
            <w:tcBorders>
              <w:top w:val="nil"/>
              <w:left w:val="nil"/>
              <w:bottom w:val="single" w:color="auto" w:sz="4" w:space="0"/>
              <w:right w:val="single" w:color="auto" w:sz="4" w:space="0"/>
            </w:tcBorders>
            <w:noWrap/>
            <w:vAlign w:val="center"/>
          </w:tcPr>
          <w:p w14:paraId="473EF286">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65.49 </w:t>
            </w:r>
          </w:p>
        </w:tc>
        <w:tc>
          <w:tcPr>
            <w:tcW w:w="3122" w:type="dxa"/>
            <w:tcBorders>
              <w:top w:val="nil"/>
              <w:left w:val="nil"/>
              <w:bottom w:val="single" w:color="auto" w:sz="4" w:space="0"/>
              <w:right w:val="single" w:color="auto" w:sz="4" w:space="0"/>
            </w:tcBorders>
            <w:noWrap/>
            <w:vAlign w:val="center"/>
          </w:tcPr>
          <w:p w14:paraId="54EAE69B">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44.27%</w:t>
            </w:r>
          </w:p>
        </w:tc>
      </w:tr>
      <w:tr w14:paraId="23045A46">
        <w:tblPrEx>
          <w:tblCellMar>
            <w:top w:w="0" w:type="dxa"/>
            <w:left w:w="108" w:type="dxa"/>
            <w:bottom w:w="0" w:type="dxa"/>
            <w:right w:w="108" w:type="dxa"/>
          </w:tblCellMar>
        </w:tblPrEx>
        <w:trPr>
          <w:trHeight w:val="288" w:hRule="atLeast"/>
        </w:trPr>
        <w:tc>
          <w:tcPr>
            <w:tcW w:w="448" w:type="pct"/>
            <w:tcBorders>
              <w:top w:val="nil"/>
              <w:left w:val="single" w:color="auto" w:sz="4" w:space="0"/>
              <w:bottom w:val="single" w:color="auto" w:sz="4" w:space="0"/>
              <w:right w:val="single" w:color="auto" w:sz="4" w:space="0"/>
            </w:tcBorders>
            <w:noWrap/>
            <w:vAlign w:val="center"/>
          </w:tcPr>
          <w:p w14:paraId="040381C0">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二</w:t>
            </w:r>
          </w:p>
        </w:tc>
        <w:tc>
          <w:tcPr>
            <w:tcW w:w="1256" w:type="pct"/>
            <w:tcBorders>
              <w:top w:val="nil"/>
              <w:left w:val="nil"/>
              <w:bottom w:val="single" w:color="auto" w:sz="4" w:space="0"/>
              <w:right w:val="single" w:color="auto" w:sz="4" w:space="0"/>
            </w:tcBorders>
            <w:noWrap/>
            <w:vAlign w:val="center"/>
          </w:tcPr>
          <w:p w14:paraId="15954452">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监测费用</w:t>
            </w:r>
          </w:p>
        </w:tc>
        <w:tc>
          <w:tcPr>
            <w:tcW w:w="3187" w:type="dxa"/>
            <w:tcBorders>
              <w:top w:val="nil"/>
              <w:left w:val="nil"/>
              <w:bottom w:val="single" w:color="auto" w:sz="4" w:space="0"/>
              <w:right w:val="single" w:color="auto" w:sz="4" w:space="0"/>
            </w:tcBorders>
            <w:noWrap/>
            <w:vAlign w:val="center"/>
          </w:tcPr>
          <w:p w14:paraId="1A6ABFA7">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35.35 </w:t>
            </w:r>
          </w:p>
        </w:tc>
        <w:tc>
          <w:tcPr>
            <w:tcW w:w="3122" w:type="dxa"/>
            <w:tcBorders>
              <w:top w:val="nil"/>
              <w:left w:val="nil"/>
              <w:bottom w:val="single" w:color="auto" w:sz="4" w:space="0"/>
              <w:right w:val="single" w:color="auto" w:sz="4" w:space="0"/>
            </w:tcBorders>
            <w:noWrap/>
            <w:vAlign w:val="center"/>
          </w:tcPr>
          <w:p w14:paraId="0C47368C">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23.90%</w:t>
            </w:r>
          </w:p>
        </w:tc>
      </w:tr>
      <w:tr w14:paraId="316CCF1D">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7907F8DB">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（一）</w:t>
            </w:r>
          </w:p>
        </w:tc>
        <w:tc>
          <w:tcPr>
            <w:tcW w:w="1256" w:type="pct"/>
            <w:tcBorders>
              <w:top w:val="nil"/>
              <w:left w:val="nil"/>
              <w:bottom w:val="single" w:color="auto" w:sz="4" w:space="0"/>
              <w:right w:val="single" w:color="auto" w:sz="4" w:space="0"/>
            </w:tcBorders>
            <w:noWrap/>
            <w:vAlign w:val="center"/>
          </w:tcPr>
          <w:p w14:paraId="41E2EA10">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监测费</w:t>
            </w:r>
          </w:p>
        </w:tc>
        <w:tc>
          <w:tcPr>
            <w:tcW w:w="3187" w:type="dxa"/>
            <w:tcBorders>
              <w:top w:val="nil"/>
              <w:left w:val="nil"/>
              <w:bottom w:val="single" w:color="auto" w:sz="4" w:space="0"/>
              <w:right w:val="single" w:color="auto" w:sz="4" w:space="0"/>
            </w:tcBorders>
            <w:noWrap/>
            <w:vAlign w:val="center"/>
          </w:tcPr>
          <w:p w14:paraId="393A2F12">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33.52 </w:t>
            </w:r>
          </w:p>
        </w:tc>
        <w:tc>
          <w:tcPr>
            <w:tcW w:w="3122" w:type="dxa"/>
            <w:tcBorders>
              <w:top w:val="nil"/>
              <w:left w:val="nil"/>
              <w:bottom w:val="single" w:color="auto" w:sz="4" w:space="0"/>
              <w:right w:val="single" w:color="auto" w:sz="4" w:space="0"/>
            </w:tcBorders>
            <w:noWrap/>
            <w:vAlign w:val="center"/>
          </w:tcPr>
          <w:p w14:paraId="082C956B">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22.66%</w:t>
            </w:r>
          </w:p>
        </w:tc>
      </w:tr>
      <w:tr w14:paraId="614A942C">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36524994">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（二）</w:t>
            </w:r>
          </w:p>
        </w:tc>
        <w:tc>
          <w:tcPr>
            <w:tcW w:w="1256" w:type="pct"/>
            <w:tcBorders>
              <w:top w:val="nil"/>
              <w:left w:val="nil"/>
              <w:bottom w:val="single" w:color="auto" w:sz="4" w:space="0"/>
              <w:right w:val="single" w:color="auto" w:sz="4" w:space="0"/>
            </w:tcBorders>
            <w:noWrap/>
            <w:vAlign w:val="center"/>
          </w:tcPr>
          <w:p w14:paraId="0DDD7588">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管护费</w:t>
            </w:r>
          </w:p>
        </w:tc>
        <w:tc>
          <w:tcPr>
            <w:tcW w:w="3187" w:type="dxa"/>
            <w:tcBorders>
              <w:top w:val="nil"/>
              <w:left w:val="nil"/>
              <w:bottom w:val="single" w:color="auto" w:sz="4" w:space="0"/>
              <w:right w:val="single" w:color="auto" w:sz="4" w:space="0"/>
            </w:tcBorders>
            <w:noWrap/>
            <w:vAlign w:val="center"/>
          </w:tcPr>
          <w:p w14:paraId="03F28FD1">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1.83 </w:t>
            </w:r>
          </w:p>
        </w:tc>
        <w:tc>
          <w:tcPr>
            <w:tcW w:w="3122" w:type="dxa"/>
            <w:tcBorders>
              <w:top w:val="nil"/>
              <w:left w:val="nil"/>
              <w:bottom w:val="single" w:color="auto" w:sz="4" w:space="0"/>
              <w:right w:val="single" w:color="auto" w:sz="4" w:space="0"/>
            </w:tcBorders>
            <w:noWrap/>
            <w:vAlign w:val="center"/>
          </w:tcPr>
          <w:p w14:paraId="0B83FB41">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1.24%</w:t>
            </w:r>
          </w:p>
        </w:tc>
      </w:tr>
      <w:tr w14:paraId="6C21802C">
        <w:tblPrEx>
          <w:tblCellMar>
            <w:top w:w="0" w:type="dxa"/>
            <w:left w:w="108" w:type="dxa"/>
            <w:bottom w:w="0" w:type="dxa"/>
            <w:right w:w="108" w:type="dxa"/>
          </w:tblCellMar>
        </w:tblPrEx>
        <w:trPr>
          <w:trHeight w:val="288" w:hRule="atLeast"/>
        </w:trPr>
        <w:tc>
          <w:tcPr>
            <w:tcW w:w="448" w:type="pct"/>
            <w:tcBorders>
              <w:top w:val="nil"/>
              <w:left w:val="single" w:color="auto" w:sz="4" w:space="0"/>
              <w:bottom w:val="single" w:color="auto" w:sz="4" w:space="0"/>
              <w:right w:val="single" w:color="auto" w:sz="4" w:space="0"/>
            </w:tcBorders>
            <w:noWrap/>
            <w:vAlign w:val="center"/>
          </w:tcPr>
          <w:p w14:paraId="05235898">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三</w:t>
            </w:r>
          </w:p>
        </w:tc>
        <w:tc>
          <w:tcPr>
            <w:tcW w:w="1256" w:type="pct"/>
            <w:tcBorders>
              <w:top w:val="nil"/>
              <w:left w:val="nil"/>
              <w:bottom w:val="single" w:color="auto" w:sz="4" w:space="0"/>
              <w:right w:val="single" w:color="auto" w:sz="4" w:space="0"/>
            </w:tcBorders>
            <w:noWrap/>
            <w:vAlign w:val="center"/>
          </w:tcPr>
          <w:p w14:paraId="380A7551">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其它费用</w:t>
            </w:r>
          </w:p>
        </w:tc>
        <w:tc>
          <w:tcPr>
            <w:tcW w:w="3187" w:type="dxa"/>
            <w:tcBorders>
              <w:top w:val="nil"/>
              <w:left w:val="nil"/>
              <w:bottom w:val="single" w:color="auto" w:sz="4" w:space="0"/>
              <w:right w:val="single" w:color="auto" w:sz="4" w:space="0"/>
            </w:tcBorders>
            <w:noWrap/>
            <w:vAlign w:val="center"/>
          </w:tcPr>
          <w:p w14:paraId="044383D0">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10.18 </w:t>
            </w:r>
          </w:p>
        </w:tc>
        <w:tc>
          <w:tcPr>
            <w:tcW w:w="3122" w:type="dxa"/>
            <w:tcBorders>
              <w:top w:val="nil"/>
              <w:left w:val="nil"/>
              <w:bottom w:val="single" w:color="auto" w:sz="4" w:space="0"/>
              <w:right w:val="single" w:color="auto" w:sz="4" w:space="0"/>
            </w:tcBorders>
            <w:noWrap/>
            <w:vAlign w:val="center"/>
          </w:tcPr>
          <w:p w14:paraId="2D247ECE">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6.88%</w:t>
            </w:r>
          </w:p>
        </w:tc>
      </w:tr>
      <w:tr w14:paraId="4696E171">
        <w:tblPrEx>
          <w:tblCellMar>
            <w:top w:w="0" w:type="dxa"/>
            <w:left w:w="108" w:type="dxa"/>
            <w:bottom w:w="0" w:type="dxa"/>
            <w:right w:w="108" w:type="dxa"/>
          </w:tblCellMar>
        </w:tblPrEx>
        <w:trPr>
          <w:trHeight w:val="288" w:hRule="atLeast"/>
        </w:trPr>
        <w:tc>
          <w:tcPr>
            <w:tcW w:w="448" w:type="pct"/>
            <w:tcBorders>
              <w:top w:val="nil"/>
              <w:left w:val="single" w:color="auto" w:sz="4" w:space="0"/>
              <w:bottom w:val="single" w:color="auto" w:sz="4" w:space="0"/>
              <w:right w:val="single" w:color="auto" w:sz="4" w:space="0"/>
            </w:tcBorders>
            <w:noWrap/>
            <w:vAlign w:val="center"/>
          </w:tcPr>
          <w:p w14:paraId="5C3F01EE">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四</w:t>
            </w:r>
          </w:p>
        </w:tc>
        <w:tc>
          <w:tcPr>
            <w:tcW w:w="1256" w:type="pct"/>
            <w:tcBorders>
              <w:top w:val="nil"/>
              <w:left w:val="nil"/>
              <w:bottom w:val="single" w:color="auto" w:sz="4" w:space="0"/>
              <w:right w:val="single" w:color="auto" w:sz="4" w:space="0"/>
            </w:tcBorders>
            <w:noWrap/>
            <w:vAlign w:val="center"/>
          </w:tcPr>
          <w:p w14:paraId="783A01AA">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预备费</w:t>
            </w:r>
          </w:p>
        </w:tc>
        <w:tc>
          <w:tcPr>
            <w:tcW w:w="3187" w:type="dxa"/>
            <w:tcBorders>
              <w:top w:val="nil"/>
              <w:left w:val="nil"/>
              <w:bottom w:val="single" w:color="auto" w:sz="4" w:space="0"/>
              <w:right w:val="single" w:color="auto" w:sz="4" w:space="0"/>
            </w:tcBorders>
            <w:noWrap/>
            <w:vAlign w:val="center"/>
          </w:tcPr>
          <w:p w14:paraId="645EE0C6">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36.90 </w:t>
            </w:r>
          </w:p>
        </w:tc>
        <w:tc>
          <w:tcPr>
            <w:tcW w:w="3122" w:type="dxa"/>
            <w:tcBorders>
              <w:top w:val="nil"/>
              <w:left w:val="nil"/>
              <w:bottom w:val="single" w:color="auto" w:sz="4" w:space="0"/>
              <w:right w:val="single" w:color="auto" w:sz="4" w:space="0"/>
            </w:tcBorders>
            <w:noWrap/>
            <w:vAlign w:val="center"/>
          </w:tcPr>
          <w:p w14:paraId="26E1FC40">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24.94%</w:t>
            </w:r>
          </w:p>
        </w:tc>
      </w:tr>
      <w:tr w14:paraId="1A3CB6D3">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25537CC0">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（一）</w:t>
            </w:r>
          </w:p>
        </w:tc>
        <w:tc>
          <w:tcPr>
            <w:tcW w:w="1256" w:type="pct"/>
            <w:tcBorders>
              <w:top w:val="nil"/>
              <w:left w:val="nil"/>
              <w:bottom w:val="single" w:color="auto" w:sz="4" w:space="0"/>
              <w:right w:val="single" w:color="auto" w:sz="4" w:space="0"/>
            </w:tcBorders>
            <w:noWrap/>
            <w:vAlign w:val="center"/>
          </w:tcPr>
          <w:p w14:paraId="0EE59D48">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基本预备费</w:t>
            </w:r>
          </w:p>
        </w:tc>
        <w:tc>
          <w:tcPr>
            <w:tcW w:w="3187" w:type="dxa"/>
            <w:tcBorders>
              <w:top w:val="nil"/>
              <w:left w:val="nil"/>
              <w:bottom w:val="single" w:color="auto" w:sz="4" w:space="0"/>
              <w:right w:val="single" w:color="auto" w:sz="4" w:space="0"/>
            </w:tcBorders>
            <w:noWrap/>
            <w:vAlign w:val="center"/>
          </w:tcPr>
          <w:p w14:paraId="19CF8A3B">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1.96 </w:t>
            </w:r>
          </w:p>
        </w:tc>
        <w:tc>
          <w:tcPr>
            <w:tcW w:w="3122" w:type="dxa"/>
            <w:tcBorders>
              <w:top w:val="nil"/>
              <w:left w:val="nil"/>
              <w:bottom w:val="single" w:color="auto" w:sz="4" w:space="0"/>
              <w:right w:val="single" w:color="auto" w:sz="4" w:space="0"/>
            </w:tcBorders>
            <w:noWrap/>
            <w:vAlign w:val="center"/>
          </w:tcPr>
          <w:p w14:paraId="49F6C051">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1.33%</w:t>
            </w:r>
          </w:p>
        </w:tc>
      </w:tr>
      <w:tr w14:paraId="5872A301">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263E7680">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（二）</w:t>
            </w:r>
          </w:p>
        </w:tc>
        <w:tc>
          <w:tcPr>
            <w:tcW w:w="1256" w:type="pct"/>
            <w:tcBorders>
              <w:top w:val="nil"/>
              <w:left w:val="nil"/>
              <w:bottom w:val="single" w:color="auto" w:sz="4" w:space="0"/>
              <w:right w:val="single" w:color="auto" w:sz="4" w:space="0"/>
            </w:tcBorders>
            <w:noWrap/>
            <w:vAlign w:val="center"/>
          </w:tcPr>
          <w:p w14:paraId="4554C8AB">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价差预备费</w:t>
            </w:r>
          </w:p>
        </w:tc>
        <w:tc>
          <w:tcPr>
            <w:tcW w:w="3187" w:type="dxa"/>
            <w:tcBorders>
              <w:top w:val="nil"/>
              <w:left w:val="nil"/>
              <w:bottom w:val="single" w:color="auto" w:sz="4" w:space="0"/>
              <w:right w:val="single" w:color="auto" w:sz="4" w:space="0"/>
            </w:tcBorders>
            <w:noWrap/>
            <w:vAlign w:val="center"/>
          </w:tcPr>
          <w:p w14:paraId="60A31C7D">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31.66 </w:t>
            </w:r>
          </w:p>
        </w:tc>
        <w:tc>
          <w:tcPr>
            <w:tcW w:w="3122" w:type="dxa"/>
            <w:tcBorders>
              <w:top w:val="nil"/>
              <w:left w:val="nil"/>
              <w:bottom w:val="single" w:color="auto" w:sz="4" w:space="0"/>
              <w:right w:val="single" w:color="auto" w:sz="4" w:space="0"/>
            </w:tcBorders>
            <w:noWrap/>
            <w:vAlign w:val="center"/>
          </w:tcPr>
          <w:p w14:paraId="6C88D57A">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21.40%</w:t>
            </w:r>
          </w:p>
        </w:tc>
      </w:tr>
      <w:tr w14:paraId="18549134">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40E4369A">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（三）</w:t>
            </w:r>
          </w:p>
        </w:tc>
        <w:tc>
          <w:tcPr>
            <w:tcW w:w="1256" w:type="pct"/>
            <w:tcBorders>
              <w:top w:val="nil"/>
              <w:left w:val="nil"/>
              <w:bottom w:val="single" w:color="auto" w:sz="4" w:space="0"/>
              <w:right w:val="single" w:color="auto" w:sz="4" w:space="0"/>
            </w:tcBorders>
            <w:noWrap/>
            <w:vAlign w:val="center"/>
          </w:tcPr>
          <w:p w14:paraId="0E0F989A">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风险金</w:t>
            </w:r>
          </w:p>
        </w:tc>
        <w:tc>
          <w:tcPr>
            <w:tcW w:w="3187" w:type="dxa"/>
            <w:tcBorders>
              <w:top w:val="nil"/>
              <w:left w:val="nil"/>
              <w:bottom w:val="single" w:color="auto" w:sz="4" w:space="0"/>
              <w:right w:val="single" w:color="auto" w:sz="4" w:space="0"/>
            </w:tcBorders>
            <w:noWrap/>
            <w:vAlign w:val="center"/>
          </w:tcPr>
          <w:p w14:paraId="075DF995">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3.27 </w:t>
            </w:r>
          </w:p>
        </w:tc>
        <w:tc>
          <w:tcPr>
            <w:tcW w:w="3122" w:type="dxa"/>
            <w:tcBorders>
              <w:top w:val="nil"/>
              <w:left w:val="nil"/>
              <w:bottom w:val="single" w:color="auto" w:sz="4" w:space="0"/>
              <w:right w:val="single" w:color="auto" w:sz="4" w:space="0"/>
            </w:tcBorders>
            <w:noWrap/>
            <w:vAlign w:val="center"/>
          </w:tcPr>
          <w:p w14:paraId="3B3C6DFF">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2.21%</w:t>
            </w:r>
          </w:p>
        </w:tc>
      </w:tr>
      <w:tr w14:paraId="07F82F28">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7F5328E4">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五</w:t>
            </w:r>
          </w:p>
        </w:tc>
        <w:tc>
          <w:tcPr>
            <w:tcW w:w="1256" w:type="pct"/>
            <w:tcBorders>
              <w:top w:val="nil"/>
              <w:left w:val="nil"/>
              <w:bottom w:val="single" w:color="auto" w:sz="4" w:space="0"/>
              <w:right w:val="single" w:color="auto" w:sz="4" w:space="0"/>
            </w:tcBorders>
            <w:noWrap/>
            <w:vAlign w:val="center"/>
          </w:tcPr>
          <w:p w14:paraId="3454AB17">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静态总投资</w:t>
            </w:r>
          </w:p>
        </w:tc>
        <w:tc>
          <w:tcPr>
            <w:tcW w:w="3187" w:type="dxa"/>
            <w:tcBorders>
              <w:top w:val="nil"/>
              <w:left w:val="nil"/>
              <w:bottom w:val="single" w:color="auto" w:sz="4" w:space="0"/>
              <w:right w:val="single" w:color="auto" w:sz="4" w:space="0"/>
            </w:tcBorders>
            <w:noWrap/>
            <w:vAlign w:val="center"/>
          </w:tcPr>
          <w:p w14:paraId="2F34595D">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116.26 </w:t>
            </w:r>
          </w:p>
        </w:tc>
        <w:tc>
          <w:tcPr>
            <w:tcW w:w="3122" w:type="dxa"/>
            <w:tcBorders>
              <w:top w:val="nil"/>
              <w:left w:val="nil"/>
              <w:bottom w:val="single" w:color="auto" w:sz="4" w:space="0"/>
              <w:right w:val="single" w:color="auto" w:sz="4" w:space="0"/>
            </w:tcBorders>
            <w:noWrap/>
            <w:vAlign w:val="center"/>
          </w:tcPr>
          <w:p w14:paraId="06550D9F">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78.60%</w:t>
            </w:r>
          </w:p>
        </w:tc>
      </w:tr>
      <w:tr w14:paraId="38BEA2CF">
        <w:tblPrEx>
          <w:tblCellMar>
            <w:top w:w="0" w:type="dxa"/>
            <w:left w:w="108" w:type="dxa"/>
            <w:bottom w:w="0" w:type="dxa"/>
            <w:right w:w="108" w:type="dxa"/>
          </w:tblCellMar>
        </w:tblPrEx>
        <w:trPr>
          <w:trHeight w:val="266" w:hRule="atLeast"/>
        </w:trPr>
        <w:tc>
          <w:tcPr>
            <w:tcW w:w="448" w:type="pct"/>
            <w:tcBorders>
              <w:top w:val="nil"/>
              <w:left w:val="single" w:color="auto" w:sz="4" w:space="0"/>
              <w:bottom w:val="single" w:color="auto" w:sz="4" w:space="0"/>
              <w:right w:val="single" w:color="auto" w:sz="4" w:space="0"/>
            </w:tcBorders>
            <w:noWrap/>
            <w:vAlign w:val="center"/>
          </w:tcPr>
          <w:p w14:paraId="5735D351">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六</w:t>
            </w:r>
          </w:p>
        </w:tc>
        <w:tc>
          <w:tcPr>
            <w:tcW w:w="1256" w:type="pct"/>
            <w:tcBorders>
              <w:top w:val="nil"/>
              <w:left w:val="nil"/>
              <w:bottom w:val="single" w:color="auto" w:sz="4" w:space="0"/>
              <w:right w:val="single" w:color="auto" w:sz="4" w:space="0"/>
            </w:tcBorders>
            <w:noWrap/>
            <w:vAlign w:val="center"/>
          </w:tcPr>
          <w:p w14:paraId="46F8B6B2">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动态总投资</w:t>
            </w:r>
          </w:p>
        </w:tc>
        <w:tc>
          <w:tcPr>
            <w:tcW w:w="3187" w:type="dxa"/>
            <w:tcBorders>
              <w:top w:val="nil"/>
              <w:left w:val="nil"/>
              <w:bottom w:val="single" w:color="auto" w:sz="4" w:space="0"/>
              <w:right w:val="single" w:color="auto" w:sz="4" w:space="0"/>
            </w:tcBorders>
            <w:noWrap/>
            <w:vAlign w:val="center"/>
          </w:tcPr>
          <w:p w14:paraId="4E85B68F">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161.04</w:t>
            </w:r>
            <w:r>
              <w:rPr>
                <w:rFonts w:hint="eastAsia" w:ascii="Times New Roman" w:hAnsi="Times New Roman" w:eastAsia="宋体" w:cs="Times New Roman"/>
                <w:i w:val="0"/>
                <w:iCs w:val="0"/>
                <w:color w:val="000000"/>
                <w:kern w:val="0"/>
                <w:sz w:val="21"/>
                <w:szCs w:val="21"/>
                <w:u w:val="none"/>
                <w:lang w:val="en-US" w:eastAsia="zh-CN" w:bidi="ar"/>
              </w:rPr>
              <w:t xml:space="preserve"> </w:t>
            </w:r>
          </w:p>
        </w:tc>
        <w:tc>
          <w:tcPr>
            <w:tcW w:w="3122" w:type="dxa"/>
            <w:tcBorders>
              <w:top w:val="nil"/>
              <w:left w:val="nil"/>
              <w:bottom w:val="single" w:color="auto" w:sz="4" w:space="0"/>
              <w:right w:val="single" w:color="auto" w:sz="4" w:space="0"/>
            </w:tcBorders>
            <w:noWrap/>
            <w:vAlign w:val="center"/>
          </w:tcPr>
          <w:p w14:paraId="7AB97B5D">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r>
      <w:bookmarkEnd w:id="223"/>
    </w:tbl>
    <w:p w14:paraId="0478BB24">
      <w:pPr>
        <w:pStyle w:val="72"/>
        <w:rPr>
          <w:rFonts w:hint="eastAsia" w:ascii="Times New Roman" w:hAnsi="Times New Roman" w:cs="Times New Roman"/>
          <w:color w:val="000000"/>
          <w:szCs w:val="21"/>
          <w:lang w:val="en-US" w:eastAsia="zh-CN"/>
        </w:rPr>
      </w:pPr>
    </w:p>
    <w:p w14:paraId="3BC9F07A">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br w:type="page"/>
      </w:r>
    </w:p>
    <w:p w14:paraId="26B002AF">
      <w:pPr>
        <w:pStyle w:val="57"/>
        <w:rPr>
          <w:rFonts w:ascii="Times New Roman" w:hAnsi="Times New Roman"/>
        </w:rPr>
      </w:pPr>
      <w:r>
        <w:rPr>
          <w:rFonts w:ascii="Times New Roman" w:hAnsi="Times New Roman"/>
        </w:rPr>
        <w:t>表6-6</w:t>
      </w:r>
      <w:bookmarkStart w:id="224" w:name="_Hlk219059690"/>
      <w:r>
        <w:rPr>
          <w:rFonts w:ascii="Times New Roman" w:hAnsi="Times New Roman"/>
        </w:rPr>
        <w:t>其他费用估算表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2293"/>
        <w:gridCol w:w="2948"/>
        <w:gridCol w:w="1564"/>
        <w:gridCol w:w="1766"/>
      </w:tblGrid>
      <w:tr w14:paraId="4DA8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2" w:type="pct"/>
            <w:vMerge w:val="restart"/>
            <w:vAlign w:val="center"/>
          </w:tcPr>
          <w:p w14:paraId="4963CCAA">
            <w:pPr>
              <w:pStyle w:val="72"/>
              <w:rPr>
                <w:rFonts w:ascii="Times New Roman" w:hAnsi="Times New Roman"/>
              </w:rPr>
            </w:pPr>
            <w:r>
              <w:rPr>
                <w:rFonts w:ascii="Times New Roman" w:hAnsi="Times New Roman"/>
              </w:rPr>
              <w:t>序号</w:t>
            </w:r>
          </w:p>
        </w:tc>
        <w:tc>
          <w:tcPr>
            <w:tcW w:w="1198" w:type="pct"/>
            <w:vAlign w:val="center"/>
          </w:tcPr>
          <w:p w14:paraId="14AF6E7A">
            <w:pPr>
              <w:pStyle w:val="72"/>
              <w:rPr>
                <w:rFonts w:ascii="Times New Roman" w:hAnsi="Times New Roman"/>
              </w:rPr>
            </w:pPr>
            <w:r>
              <w:rPr>
                <w:rFonts w:ascii="Times New Roman" w:hAnsi="Times New Roman"/>
              </w:rPr>
              <w:t>费用名称</w:t>
            </w:r>
          </w:p>
        </w:tc>
        <w:tc>
          <w:tcPr>
            <w:tcW w:w="1540" w:type="pct"/>
            <w:vAlign w:val="center"/>
          </w:tcPr>
          <w:p w14:paraId="292DF432">
            <w:pPr>
              <w:pStyle w:val="72"/>
              <w:rPr>
                <w:rFonts w:ascii="Times New Roman" w:hAnsi="Times New Roman"/>
              </w:rPr>
            </w:pPr>
            <w:r>
              <w:rPr>
                <w:rFonts w:ascii="Times New Roman" w:hAnsi="Times New Roman"/>
              </w:rPr>
              <w:t>计算式</w:t>
            </w:r>
          </w:p>
        </w:tc>
        <w:tc>
          <w:tcPr>
            <w:tcW w:w="817" w:type="pct"/>
            <w:vAlign w:val="center"/>
          </w:tcPr>
          <w:p w14:paraId="62FDECA4">
            <w:pPr>
              <w:pStyle w:val="72"/>
              <w:rPr>
                <w:rFonts w:ascii="Times New Roman" w:hAnsi="Times New Roman"/>
              </w:rPr>
            </w:pPr>
            <w:r>
              <w:rPr>
                <w:rFonts w:ascii="Times New Roman" w:hAnsi="Times New Roman"/>
              </w:rPr>
              <w:t>预算金额（万元）</w:t>
            </w:r>
          </w:p>
        </w:tc>
        <w:tc>
          <w:tcPr>
            <w:tcW w:w="922" w:type="pct"/>
            <w:vAlign w:val="center"/>
          </w:tcPr>
          <w:p w14:paraId="426C3E8C">
            <w:pPr>
              <w:pStyle w:val="72"/>
              <w:rPr>
                <w:rFonts w:ascii="Times New Roman" w:hAnsi="Times New Roman"/>
              </w:rPr>
            </w:pPr>
            <w:r>
              <w:rPr>
                <w:rFonts w:ascii="Times New Roman" w:hAnsi="Times New Roman"/>
              </w:rPr>
              <w:t>各项费用占其他费用的比例（％）</w:t>
            </w:r>
          </w:p>
        </w:tc>
      </w:tr>
      <w:tr w14:paraId="23A2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22" w:type="pct"/>
            <w:vMerge w:val="continue"/>
            <w:vAlign w:val="center"/>
          </w:tcPr>
          <w:p w14:paraId="4EBAB60D">
            <w:pPr>
              <w:pStyle w:val="72"/>
              <w:rPr>
                <w:rFonts w:ascii="Times New Roman" w:hAnsi="Times New Roman"/>
              </w:rPr>
            </w:pPr>
          </w:p>
        </w:tc>
        <w:tc>
          <w:tcPr>
            <w:tcW w:w="1198" w:type="pct"/>
            <w:vAlign w:val="center"/>
          </w:tcPr>
          <w:p w14:paraId="6BE6FBDE">
            <w:pPr>
              <w:pStyle w:val="72"/>
              <w:rPr>
                <w:rFonts w:ascii="Times New Roman" w:hAnsi="Times New Roman"/>
              </w:rPr>
            </w:pPr>
            <w:r>
              <w:rPr>
                <w:rFonts w:ascii="Times New Roman" w:hAnsi="Times New Roman"/>
              </w:rPr>
              <w:t>(1)</w:t>
            </w:r>
          </w:p>
        </w:tc>
        <w:tc>
          <w:tcPr>
            <w:tcW w:w="1540" w:type="pct"/>
            <w:vAlign w:val="center"/>
          </w:tcPr>
          <w:p w14:paraId="17596A1D">
            <w:pPr>
              <w:pStyle w:val="72"/>
              <w:rPr>
                <w:rFonts w:ascii="Times New Roman" w:hAnsi="Times New Roman"/>
              </w:rPr>
            </w:pPr>
            <w:r>
              <w:rPr>
                <w:rFonts w:ascii="Times New Roman" w:hAnsi="Times New Roman"/>
              </w:rPr>
              <w:t>(2)</w:t>
            </w:r>
          </w:p>
        </w:tc>
        <w:tc>
          <w:tcPr>
            <w:tcW w:w="817" w:type="pct"/>
            <w:vAlign w:val="center"/>
          </w:tcPr>
          <w:p w14:paraId="5C4894C1">
            <w:pPr>
              <w:pStyle w:val="72"/>
              <w:rPr>
                <w:rFonts w:ascii="Times New Roman" w:hAnsi="Times New Roman"/>
              </w:rPr>
            </w:pPr>
            <w:r>
              <w:rPr>
                <w:rFonts w:ascii="Times New Roman" w:hAnsi="Times New Roman"/>
              </w:rPr>
              <w:t>(3)</w:t>
            </w:r>
          </w:p>
        </w:tc>
        <w:tc>
          <w:tcPr>
            <w:tcW w:w="922" w:type="pct"/>
            <w:vAlign w:val="center"/>
          </w:tcPr>
          <w:p w14:paraId="677F8F1F">
            <w:pPr>
              <w:pStyle w:val="72"/>
              <w:rPr>
                <w:rFonts w:ascii="Times New Roman" w:hAnsi="Times New Roman"/>
              </w:rPr>
            </w:pPr>
            <w:r>
              <w:rPr>
                <w:rFonts w:ascii="Times New Roman" w:hAnsi="Times New Roman"/>
              </w:rPr>
              <w:t>(4)</w:t>
            </w:r>
          </w:p>
        </w:tc>
      </w:tr>
      <w:tr w14:paraId="7C32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22" w:type="pct"/>
            <w:vAlign w:val="center"/>
          </w:tcPr>
          <w:p w14:paraId="2BD78BE9">
            <w:pPr>
              <w:pStyle w:val="72"/>
              <w:rPr>
                <w:rFonts w:ascii="Times New Roman" w:hAnsi="Times New Roman"/>
              </w:rPr>
            </w:pPr>
            <w:r>
              <w:rPr>
                <w:rFonts w:ascii="Times New Roman" w:hAnsi="Times New Roman"/>
              </w:rPr>
              <w:t>一</w:t>
            </w:r>
          </w:p>
        </w:tc>
        <w:tc>
          <w:tcPr>
            <w:tcW w:w="1198" w:type="pct"/>
            <w:vAlign w:val="center"/>
          </w:tcPr>
          <w:p w14:paraId="071F2B5C">
            <w:pPr>
              <w:pStyle w:val="72"/>
              <w:rPr>
                <w:rFonts w:ascii="Times New Roman" w:hAnsi="Times New Roman"/>
              </w:rPr>
            </w:pPr>
            <w:r>
              <w:rPr>
                <w:rFonts w:ascii="Times New Roman" w:hAnsi="Times New Roman"/>
              </w:rPr>
              <w:t>前期工作费</w:t>
            </w:r>
          </w:p>
        </w:tc>
        <w:tc>
          <w:tcPr>
            <w:tcW w:w="1540" w:type="pct"/>
            <w:vAlign w:val="center"/>
          </w:tcPr>
          <w:p w14:paraId="51CF275C">
            <w:pPr>
              <w:pStyle w:val="72"/>
              <w:rPr>
                <w:rFonts w:ascii="Times New Roman" w:hAnsi="Times New Roman"/>
              </w:rPr>
            </w:pPr>
            <w:r>
              <w:rPr>
                <w:rFonts w:ascii="Times New Roman" w:hAnsi="Times New Roman"/>
              </w:rPr>
              <w:t>工程施工费×6%</w:t>
            </w:r>
          </w:p>
        </w:tc>
        <w:tc>
          <w:tcPr>
            <w:tcW w:w="1564" w:type="dxa"/>
            <w:vAlign w:val="center"/>
          </w:tcPr>
          <w:p w14:paraId="1325E471">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3.93 </w:t>
            </w:r>
          </w:p>
        </w:tc>
        <w:tc>
          <w:tcPr>
            <w:tcW w:w="1766" w:type="dxa"/>
            <w:vAlign w:val="center"/>
          </w:tcPr>
          <w:p w14:paraId="2FB98BBC">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38.59%</w:t>
            </w:r>
          </w:p>
        </w:tc>
      </w:tr>
      <w:tr w14:paraId="5C8E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522" w:type="pct"/>
            <w:vAlign w:val="center"/>
          </w:tcPr>
          <w:p w14:paraId="348456EE">
            <w:pPr>
              <w:pStyle w:val="72"/>
              <w:rPr>
                <w:rFonts w:ascii="Times New Roman" w:hAnsi="Times New Roman"/>
              </w:rPr>
            </w:pPr>
            <w:r>
              <w:rPr>
                <w:rFonts w:ascii="Times New Roman" w:hAnsi="Times New Roman"/>
              </w:rPr>
              <w:t>二</w:t>
            </w:r>
          </w:p>
        </w:tc>
        <w:tc>
          <w:tcPr>
            <w:tcW w:w="1198" w:type="pct"/>
            <w:vAlign w:val="center"/>
          </w:tcPr>
          <w:p w14:paraId="5407AD9E">
            <w:pPr>
              <w:pStyle w:val="72"/>
              <w:rPr>
                <w:rFonts w:ascii="Times New Roman" w:hAnsi="Times New Roman"/>
              </w:rPr>
            </w:pPr>
            <w:r>
              <w:rPr>
                <w:rFonts w:ascii="Times New Roman" w:hAnsi="Times New Roman"/>
              </w:rPr>
              <w:t>工程监理费</w:t>
            </w:r>
          </w:p>
        </w:tc>
        <w:tc>
          <w:tcPr>
            <w:tcW w:w="1540" w:type="pct"/>
            <w:vAlign w:val="center"/>
          </w:tcPr>
          <w:p w14:paraId="459C7957">
            <w:pPr>
              <w:pStyle w:val="72"/>
              <w:rPr>
                <w:rFonts w:ascii="Times New Roman" w:hAnsi="Times New Roman"/>
              </w:rPr>
            </w:pPr>
            <w:r>
              <w:rPr>
                <w:rFonts w:ascii="Times New Roman" w:hAnsi="Times New Roman"/>
              </w:rPr>
              <w:t>工程施工费×2.4%</w:t>
            </w:r>
          </w:p>
        </w:tc>
        <w:tc>
          <w:tcPr>
            <w:tcW w:w="1564" w:type="dxa"/>
            <w:vAlign w:val="center"/>
          </w:tcPr>
          <w:p w14:paraId="1EE7CA83">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1.57 </w:t>
            </w:r>
          </w:p>
        </w:tc>
        <w:tc>
          <w:tcPr>
            <w:tcW w:w="1766" w:type="dxa"/>
            <w:vAlign w:val="center"/>
          </w:tcPr>
          <w:p w14:paraId="3D50B724">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15.44%</w:t>
            </w:r>
          </w:p>
        </w:tc>
      </w:tr>
      <w:tr w14:paraId="569D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vAlign w:val="center"/>
          </w:tcPr>
          <w:p w14:paraId="6A51401C">
            <w:pPr>
              <w:pStyle w:val="72"/>
              <w:rPr>
                <w:rFonts w:ascii="Times New Roman" w:hAnsi="Times New Roman"/>
              </w:rPr>
            </w:pPr>
            <w:r>
              <w:rPr>
                <w:rFonts w:ascii="Times New Roman" w:hAnsi="Times New Roman"/>
              </w:rPr>
              <w:t>三</w:t>
            </w:r>
          </w:p>
        </w:tc>
        <w:tc>
          <w:tcPr>
            <w:tcW w:w="1198" w:type="pct"/>
            <w:vAlign w:val="center"/>
          </w:tcPr>
          <w:p w14:paraId="4A156722">
            <w:pPr>
              <w:pStyle w:val="72"/>
              <w:rPr>
                <w:rFonts w:ascii="Times New Roman" w:hAnsi="Times New Roman"/>
              </w:rPr>
            </w:pPr>
            <w:r>
              <w:rPr>
                <w:rFonts w:ascii="Times New Roman" w:hAnsi="Times New Roman"/>
              </w:rPr>
              <w:t>竣工验收费</w:t>
            </w:r>
          </w:p>
        </w:tc>
        <w:tc>
          <w:tcPr>
            <w:tcW w:w="1540" w:type="pct"/>
            <w:vAlign w:val="center"/>
          </w:tcPr>
          <w:p w14:paraId="322271F2">
            <w:pPr>
              <w:pStyle w:val="72"/>
              <w:rPr>
                <w:rFonts w:ascii="Times New Roman" w:hAnsi="Times New Roman"/>
              </w:rPr>
            </w:pPr>
            <w:r>
              <w:rPr>
                <w:rFonts w:ascii="Times New Roman" w:hAnsi="Times New Roman"/>
              </w:rPr>
              <w:t>工程施工费</w:t>
            </w:r>
            <w:r>
              <w:rPr>
                <w:rFonts w:ascii="Times New Roman" w:hAnsi="Times New Roman" w:eastAsia="微软雅黑"/>
              </w:rPr>
              <w:t>×</w:t>
            </w:r>
            <w:r>
              <w:rPr>
                <w:rFonts w:ascii="Times New Roman" w:hAnsi="Times New Roman"/>
              </w:rPr>
              <w:t>4%</w:t>
            </w:r>
          </w:p>
        </w:tc>
        <w:tc>
          <w:tcPr>
            <w:tcW w:w="1564" w:type="dxa"/>
            <w:vAlign w:val="center"/>
          </w:tcPr>
          <w:p w14:paraId="6E7A2EA6">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2.62 </w:t>
            </w:r>
          </w:p>
        </w:tc>
        <w:tc>
          <w:tcPr>
            <w:tcW w:w="1766" w:type="dxa"/>
            <w:vAlign w:val="center"/>
          </w:tcPr>
          <w:p w14:paraId="605C790F">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25.73%</w:t>
            </w:r>
          </w:p>
        </w:tc>
      </w:tr>
      <w:tr w14:paraId="2213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522" w:type="pct"/>
            <w:vAlign w:val="center"/>
          </w:tcPr>
          <w:p w14:paraId="648FE3A7">
            <w:pPr>
              <w:pStyle w:val="72"/>
              <w:rPr>
                <w:rFonts w:ascii="Times New Roman" w:hAnsi="Times New Roman"/>
              </w:rPr>
            </w:pPr>
            <w:r>
              <w:rPr>
                <w:rFonts w:ascii="Times New Roman" w:hAnsi="Times New Roman"/>
              </w:rPr>
              <w:t>四</w:t>
            </w:r>
          </w:p>
        </w:tc>
        <w:tc>
          <w:tcPr>
            <w:tcW w:w="1198" w:type="pct"/>
            <w:vAlign w:val="center"/>
          </w:tcPr>
          <w:p w14:paraId="7F1D703B">
            <w:pPr>
              <w:pStyle w:val="72"/>
              <w:rPr>
                <w:rFonts w:ascii="Times New Roman" w:hAnsi="Times New Roman"/>
              </w:rPr>
            </w:pPr>
            <w:r>
              <w:rPr>
                <w:rFonts w:ascii="Times New Roman" w:hAnsi="Times New Roman"/>
              </w:rPr>
              <w:t>业主管理费</w:t>
            </w:r>
          </w:p>
        </w:tc>
        <w:tc>
          <w:tcPr>
            <w:tcW w:w="1540" w:type="pct"/>
            <w:vAlign w:val="center"/>
          </w:tcPr>
          <w:p w14:paraId="27677D39">
            <w:pPr>
              <w:pStyle w:val="72"/>
              <w:rPr>
                <w:rFonts w:ascii="Times New Roman" w:hAnsi="Times New Roman"/>
              </w:rPr>
            </w:pPr>
            <w:r>
              <w:rPr>
                <w:rFonts w:ascii="Times New Roman" w:hAnsi="Times New Roman"/>
              </w:rPr>
              <w:t>（工程施工费+前期工作费+工程监理费+竣工验收费）×2.8%</w:t>
            </w:r>
          </w:p>
        </w:tc>
        <w:tc>
          <w:tcPr>
            <w:tcW w:w="1564" w:type="dxa"/>
            <w:vAlign w:val="center"/>
          </w:tcPr>
          <w:p w14:paraId="483BBBDD">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2.06 </w:t>
            </w:r>
          </w:p>
        </w:tc>
        <w:tc>
          <w:tcPr>
            <w:tcW w:w="1766" w:type="dxa"/>
            <w:vAlign w:val="center"/>
          </w:tcPr>
          <w:p w14:paraId="36A2E40E">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20.24%</w:t>
            </w:r>
          </w:p>
        </w:tc>
      </w:tr>
      <w:tr w14:paraId="451D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522" w:type="pct"/>
            <w:vAlign w:val="center"/>
          </w:tcPr>
          <w:p w14:paraId="67F7AF7B">
            <w:pPr>
              <w:pStyle w:val="72"/>
              <w:rPr>
                <w:rFonts w:ascii="Times New Roman" w:hAnsi="Times New Roman"/>
              </w:rPr>
            </w:pPr>
            <w:r>
              <w:rPr>
                <w:rFonts w:ascii="Times New Roman" w:hAnsi="Times New Roman"/>
              </w:rPr>
              <w:t>总计</w:t>
            </w:r>
          </w:p>
        </w:tc>
        <w:tc>
          <w:tcPr>
            <w:tcW w:w="1198" w:type="pct"/>
            <w:vAlign w:val="center"/>
          </w:tcPr>
          <w:p w14:paraId="2413E6EA">
            <w:pPr>
              <w:pStyle w:val="72"/>
              <w:rPr>
                <w:rFonts w:ascii="Times New Roman" w:hAnsi="Times New Roman"/>
              </w:rPr>
            </w:pPr>
            <w:r>
              <w:rPr>
                <w:rFonts w:ascii="Times New Roman" w:hAnsi="Times New Roman"/>
              </w:rPr>
              <w:t>　</w:t>
            </w:r>
          </w:p>
        </w:tc>
        <w:tc>
          <w:tcPr>
            <w:tcW w:w="1540" w:type="pct"/>
            <w:vAlign w:val="center"/>
          </w:tcPr>
          <w:p w14:paraId="2A8E61B2">
            <w:pPr>
              <w:pStyle w:val="72"/>
              <w:rPr>
                <w:rFonts w:ascii="Times New Roman" w:hAnsi="Times New Roman"/>
              </w:rPr>
            </w:pPr>
            <w:r>
              <w:rPr>
                <w:rFonts w:ascii="Times New Roman" w:hAnsi="Times New Roman"/>
              </w:rPr>
              <w:t>　</w:t>
            </w:r>
          </w:p>
        </w:tc>
        <w:tc>
          <w:tcPr>
            <w:tcW w:w="1564" w:type="dxa"/>
            <w:vAlign w:val="center"/>
          </w:tcPr>
          <w:p w14:paraId="3346B677">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10.18 </w:t>
            </w:r>
          </w:p>
        </w:tc>
        <w:tc>
          <w:tcPr>
            <w:tcW w:w="1766" w:type="dxa"/>
            <w:vAlign w:val="center"/>
          </w:tcPr>
          <w:p w14:paraId="3AD2D40A">
            <w:pPr>
              <w:pStyle w:val="72"/>
              <w:rPr>
                <w:rFonts w:hint="eastAsia" w:ascii="Times New Roman" w:hAnsi="Times New Roman" w:cs="Times New Roman"/>
                <w:color w:val="000000"/>
                <w:szCs w:val="21"/>
                <w:lang w:val="en-US" w:eastAsia="zh-CN"/>
              </w:rPr>
            </w:pPr>
          </w:p>
        </w:tc>
      </w:tr>
      <w:bookmarkEnd w:id="224"/>
    </w:tbl>
    <w:p w14:paraId="10C051D7">
      <w:pPr>
        <w:pStyle w:val="57"/>
        <w:rPr>
          <w:rFonts w:ascii="Times New Roman" w:hAnsi="Times New Roman"/>
        </w:rPr>
      </w:pPr>
      <w:r>
        <w:rPr>
          <w:rFonts w:ascii="Times New Roman" w:hAnsi="Times New Roman"/>
        </w:rPr>
        <w:t>表6-7监测及管护费估算表</w:t>
      </w:r>
    </w:p>
    <w:tbl>
      <w:tblPr>
        <w:tblStyle w:val="42"/>
        <w:tblW w:w="5000" w:type="pct"/>
        <w:tblInd w:w="0" w:type="dxa"/>
        <w:tblLayout w:type="autofit"/>
        <w:tblCellMar>
          <w:top w:w="0" w:type="dxa"/>
          <w:left w:w="108" w:type="dxa"/>
          <w:bottom w:w="0" w:type="dxa"/>
          <w:right w:w="108" w:type="dxa"/>
        </w:tblCellMar>
      </w:tblPr>
      <w:tblGrid>
        <w:gridCol w:w="882"/>
        <w:gridCol w:w="2020"/>
        <w:gridCol w:w="1600"/>
        <w:gridCol w:w="850"/>
        <w:gridCol w:w="2269"/>
        <w:gridCol w:w="1949"/>
      </w:tblGrid>
      <w:tr w14:paraId="530CC6C8">
        <w:tblPrEx>
          <w:tblCellMar>
            <w:top w:w="0" w:type="dxa"/>
            <w:left w:w="108" w:type="dxa"/>
            <w:bottom w:w="0" w:type="dxa"/>
            <w:right w:w="108" w:type="dxa"/>
          </w:tblCellMar>
        </w:tblPrEx>
        <w:trPr>
          <w:trHeight w:val="264" w:hRule="atLeast"/>
        </w:trPr>
        <w:tc>
          <w:tcPr>
            <w:tcW w:w="461" w:type="pct"/>
            <w:vMerge w:val="restart"/>
            <w:tcBorders>
              <w:top w:val="single" w:color="auto" w:sz="4" w:space="0"/>
              <w:left w:val="single" w:color="auto" w:sz="4" w:space="0"/>
              <w:bottom w:val="single" w:color="auto" w:sz="4" w:space="0"/>
              <w:right w:val="single" w:color="auto" w:sz="4" w:space="0"/>
            </w:tcBorders>
            <w:noWrap/>
            <w:vAlign w:val="center"/>
          </w:tcPr>
          <w:p w14:paraId="0E35EBFC">
            <w:pPr>
              <w:pStyle w:val="72"/>
              <w:rPr>
                <w:rFonts w:hint="eastAsia"/>
              </w:rPr>
            </w:pPr>
            <w:r>
              <w:rPr>
                <w:rFonts w:hint="eastAsia"/>
              </w:rPr>
              <w:t>序号</w:t>
            </w:r>
          </w:p>
        </w:tc>
        <w:tc>
          <w:tcPr>
            <w:tcW w:w="1055" w:type="pct"/>
            <w:tcBorders>
              <w:top w:val="single" w:color="auto" w:sz="4" w:space="0"/>
              <w:left w:val="nil"/>
              <w:bottom w:val="single" w:color="auto" w:sz="4" w:space="0"/>
              <w:right w:val="single" w:color="auto" w:sz="4" w:space="0"/>
            </w:tcBorders>
            <w:noWrap/>
            <w:vAlign w:val="center"/>
          </w:tcPr>
          <w:p w14:paraId="45AACAA2">
            <w:pPr>
              <w:pStyle w:val="72"/>
              <w:rPr>
                <w:rFonts w:hint="eastAsia"/>
              </w:rPr>
            </w:pPr>
            <w:r>
              <w:rPr>
                <w:rFonts w:hint="eastAsia"/>
              </w:rPr>
              <w:t>工程分类名称</w:t>
            </w:r>
          </w:p>
        </w:tc>
        <w:tc>
          <w:tcPr>
            <w:tcW w:w="836" w:type="pct"/>
            <w:tcBorders>
              <w:top w:val="single" w:color="auto" w:sz="4" w:space="0"/>
              <w:left w:val="nil"/>
              <w:bottom w:val="single" w:color="auto" w:sz="4" w:space="0"/>
              <w:right w:val="single" w:color="auto" w:sz="4" w:space="0"/>
            </w:tcBorders>
            <w:noWrap/>
            <w:vAlign w:val="center"/>
          </w:tcPr>
          <w:p w14:paraId="442C8982">
            <w:pPr>
              <w:pStyle w:val="72"/>
              <w:rPr>
                <w:rFonts w:hint="eastAsia"/>
              </w:rPr>
            </w:pPr>
            <w:r>
              <w:rPr>
                <w:rFonts w:hint="eastAsia"/>
              </w:rPr>
              <w:t>工程量</w:t>
            </w:r>
            <w:r>
              <w:t>/</w:t>
            </w:r>
            <w:r>
              <w:rPr>
                <w:rFonts w:hint="eastAsia"/>
              </w:rPr>
              <w:t>年</w:t>
            </w:r>
          </w:p>
        </w:tc>
        <w:tc>
          <w:tcPr>
            <w:tcW w:w="444" w:type="pct"/>
            <w:tcBorders>
              <w:top w:val="single" w:color="auto" w:sz="4" w:space="0"/>
              <w:left w:val="nil"/>
              <w:bottom w:val="single" w:color="auto" w:sz="4" w:space="0"/>
              <w:right w:val="single" w:color="auto" w:sz="4" w:space="0"/>
            </w:tcBorders>
            <w:noWrap/>
            <w:vAlign w:val="bottom"/>
          </w:tcPr>
          <w:p w14:paraId="7BA42633">
            <w:pPr>
              <w:pStyle w:val="72"/>
              <w:rPr>
                <w:rFonts w:hint="eastAsia"/>
              </w:rPr>
            </w:pPr>
            <w:r>
              <w:rPr>
                <w:rFonts w:hint="eastAsia"/>
              </w:rPr>
              <w:t>数量</w:t>
            </w:r>
          </w:p>
        </w:tc>
        <w:tc>
          <w:tcPr>
            <w:tcW w:w="1185" w:type="pct"/>
            <w:tcBorders>
              <w:top w:val="single" w:color="auto" w:sz="4" w:space="0"/>
              <w:left w:val="nil"/>
              <w:bottom w:val="single" w:color="auto" w:sz="4" w:space="0"/>
              <w:right w:val="single" w:color="auto" w:sz="4" w:space="0"/>
            </w:tcBorders>
            <w:vAlign w:val="center"/>
          </w:tcPr>
          <w:p w14:paraId="635A7AE5">
            <w:pPr>
              <w:pStyle w:val="72"/>
              <w:rPr>
                <w:rFonts w:hint="eastAsia"/>
              </w:rPr>
            </w:pPr>
            <w:r>
              <w:rPr>
                <w:rFonts w:hint="eastAsia"/>
              </w:rPr>
              <w:t>综合单价（万元）</w:t>
            </w:r>
          </w:p>
        </w:tc>
        <w:tc>
          <w:tcPr>
            <w:tcW w:w="1018" w:type="pct"/>
            <w:tcBorders>
              <w:top w:val="single" w:color="auto" w:sz="4" w:space="0"/>
              <w:left w:val="nil"/>
              <w:bottom w:val="single" w:color="auto" w:sz="4" w:space="0"/>
              <w:right w:val="single" w:color="auto" w:sz="4" w:space="0"/>
            </w:tcBorders>
            <w:vAlign w:val="center"/>
          </w:tcPr>
          <w:p w14:paraId="21299383">
            <w:pPr>
              <w:pStyle w:val="72"/>
              <w:rPr>
                <w:rFonts w:hint="eastAsia"/>
              </w:rPr>
            </w:pPr>
            <w:r>
              <w:rPr>
                <w:rFonts w:hint="eastAsia"/>
              </w:rPr>
              <w:t>合计（万元）</w:t>
            </w:r>
          </w:p>
        </w:tc>
      </w:tr>
      <w:tr w14:paraId="474671CE">
        <w:tblPrEx>
          <w:tblCellMar>
            <w:top w:w="0" w:type="dxa"/>
            <w:left w:w="108" w:type="dxa"/>
            <w:bottom w:w="0" w:type="dxa"/>
            <w:right w:w="108" w:type="dxa"/>
          </w:tblCellMar>
        </w:tblPrEx>
        <w:trPr>
          <w:trHeight w:val="264" w:hRule="atLeast"/>
        </w:trPr>
        <w:tc>
          <w:tcPr>
            <w:tcW w:w="461" w:type="pct"/>
            <w:vMerge w:val="continue"/>
            <w:tcBorders>
              <w:top w:val="single" w:color="auto" w:sz="4" w:space="0"/>
              <w:left w:val="single" w:color="auto" w:sz="4" w:space="0"/>
              <w:bottom w:val="single" w:color="auto" w:sz="4" w:space="0"/>
              <w:right w:val="single" w:color="auto" w:sz="4" w:space="0"/>
            </w:tcBorders>
            <w:vAlign w:val="center"/>
          </w:tcPr>
          <w:p w14:paraId="2C32B75B">
            <w:pPr>
              <w:pStyle w:val="72"/>
              <w:rPr>
                <w:rFonts w:hint="eastAsia"/>
              </w:rPr>
            </w:pPr>
          </w:p>
        </w:tc>
        <w:tc>
          <w:tcPr>
            <w:tcW w:w="1055" w:type="pct"/>
            <w:tcBorders>
              <w:top w:val="nil"/>
              <w:left w:val="nil"/>
              <w:bottom w:val="single" w:color="auto" w:sz="4" w:space="0"/>
              <w:right w:val="single" w:color="auto" w:sz="4" w:space="0"/>
            </w:tcBorders>
            <w:noWrap/>
            <w:vAlign w:val="center"/>
          </w:tcPr>
          <w:p w14:paraId="30B0E996">
            <w:pPr>
              <w:pStyle w:val="72"/>
              <w:rPr>
                <w:rFonts w:hint="eastAsia"/>
              </w:rPr>
            </w:pPr>
            <w:r>
              <w:rPr>
                <w:rFonts w:hint="eastAsia"/>
              </w:rPr>
              <w:t>（</w:t>
            </w:r>
            <w:r>
              <w:t>1</w:t>
            </w:r>
            <w:r>
              <w:rPr>
                <w:rFonts w:hint="eastAsia"/>
              </w:rPr>
              <w:t>）</w:t>
            </w:r>
          </w:p>
        </w:tc>
        <w:tc>
          <w:tcPr>
            <w:tcW w:w="836" w:type="pct"/>
            <w:tcBorders>
              <w:top w:val="nil"/>
              <w:left w:val="nil"/>
              <w:bottom w:val="single" w:color="auto" w:sz="4" w:space="0"/>
              <w:right w:val="single" w:color="auto" w:sz="4" w:space="0"/>
            </w:tcBorders>
            <w:noWrap/>
            <w:vAlign w:val="center"/>
          </w:tcPr>
          <w:p w14:paraId="0DFDFCEE">
            <w:pPr>
              <w:pStyle w:val="72"/>
              <w:rPr>
                <w:rFonts w:hint="eastAsia"/>
              </w:rPr>
            </w:pPr>
            <w:r>
              <w:rPr>
                <w:rFonts w:hint="eastAsia"/>
              </w:rPr>
              <w:t>（</w:t>
            </w:r>
            <w:r>
              <w:t>2</w:t>
            </w:r>
            <w:r>
              <w:rPr>
                <w:rFonts w:hint="eastAsia"/>
              </w:rPr>
              <w:t>）</w:t>
            </w:r>
          </w:p>
        </w:tc>
        <w:tc>
          <w:tcPr>
            <w:tcW w:w="444" w:type="pct"/>
            <w:tcBorders>
              <w:top w:val="nil"/>
              <w:left w:val="nil"/>
              <w:bottom w:val="single" w:color="auto" w:sz="4" w:space="0"/>
              <w:right w:val="single" w:color="auto" w:sz="4" w:space="0"/>
            </w:tcBorders>
            <w:noWrap/>
            <w:vAlign w:val="bottom"/>
          </w:tcPr>
          <w:p w14:paraId="63DCFD57">
            <w:pPr>
              <w:pStyle w:val="72"/>
              <w:rPr>
                <w:rFonts w:hint="eastAsia"/>
              </w:rPr>
            </w:pPr>
            <w:r>
              <w:rPr>
                <w:rFonts w:hint="eastAsia"/>
              </w:rPr>
              <w:t>（3）</w:t>
            </w:r>
            <w:r>
              <w:t>　</w:t>
            </w:r>
          </w:p>
        </w:tc>
        <w:tc>
          <w:tcPr>
            <w:tcW w:w="1185" w:type="pct"/>
            <w:tcBorders>
              <w:top w:val="nil"/>
              <w:left w:val="nil"/>
              <w:bottom w:val="single" w:color="auto" w:sz="4" w:space="0"/>
              <w:right w:val="single" w:color="auto" w:sz="4" w:space="0"/>
            </w:tcBorders>
            <w:noWrap/>
            <w:vAlign w:val="center"/>
          </w:tcPr>
          <w:p w14:paraId="2FEFEC5E">
            <w:pPr>
              <w:pStyle w:val="72"/>
              <w:rPr>
                <w:rFonts w:hint="eastAsia"/>
              </w:rPr>
            </w:pPr>
            <w:r>
              <w:rPr>
                <w:rFonts w:hint="eastAsia"/>
              </w:rPr>
              <w:t>（</w:t>
            </w:r>
            <w:r>
              <w:t>4</w:t>
            </w:r>
            <w:r>
              <w:rPr>
                <w:rFonts w:hint="eastAsia"/>
              </w:rPr>
              <w:t>）</w:t>
            </w:r>
          </w:p>
        </w:tc>
        <w:tc>
          <w:tcPr>
            <w:tcW w:w="1018" w:type="pct"/>
            <w:tcBorders>
              <w:top w:val="nil"/>
              <w:left w:val="nil"/>
              <w:bottom w:val="single" w:color="auto" w:sz="4" w:space="0"/>
              <w:right w:val="single" w:color="auto" w:sz="4" w:space="0"/>
            </w:tcBorders>
            <w:noWrap/>
            <w:vAlign w:val="center"/>
          </w:tcPr>
          <w:p w14:paraId="224B8BFF">
            <w:pPr>
              <w:pStyle w:val="72"/>
              <w:rPr>
                <w:rFonts w:hint="eastAsia"/>
              </w:rPr>
            </w:pPr>
            <w:r>
              <w:rPr>
                <w:rFonts w:hint="eastAsia"/>
              </w:rPr>
              <w:t>（</w:t>
            </w:r>
            <w:r>
              <w:t>5</w:t>
            </w:r>
            <w:r>
              <w:rPr>
                <w:rFonts w:hint="eastAsia"/>
              </w:rPr>
              <w:t>）</w:t>
            </w:r>
          </w:p>
        </w:tc>
      </w:tr>
      <w:tr w14:paraId="2A61F23C">
        <w:tblPrEx>
          <w:tblCellMar>
            <w:top w:w="0" w:type="dxa"/>
            <w:left w:w="108" w:type="dxa"/>
            <w:bottom w:w="0" w:type="dxa"/>
            <w:right w:w="108" w:type="dxa"/>
          </w:tblCellMar>
        </w:tblPrEx>
        <w:trPr>
          <w:trHeight w:val="264" w:hRule="atLeast"/>
        </w:trPr>
        <w:tc>
          <w:tcPr>
            <w:tcW w:w="461" w:type="pct"/>
            <w:tcBorders>
              <w:top w:val="nil"/>
              <w:left w:val="single" w:color="auto" w:sz="4" w:space="0"/>
              <w:bottom w:val="single" w:color="auto" w:sz="4" w:space="0"/>
              <w:right w:val="single" w:color="auto" w:sz="4" w:space="0"/>
            </w:tcBorders>
            <w:noWrap/>
            <w:vAlign w:val="center"/>
          </w:tcPr>
          <w:p w14:paraId="7488C034">
            <w:pPr>
              <w:pStyle w:val="72"/>
              <w:rPr>
                <w:rFonts w:hint="eastAsia" w:eastAsia="仿宋"/>
                <w:lang w:eastAsia="zh-CN"/>
              </w:rPr>
            </w:pPr>
            <w:r>
              <w:t>1</w:t>
            </w:r>
          </w:p>
        </w:tc>
        <w:tc>
          <w:tcPr>
            <w:tcW w:w="1055" w:type="pct"/>
            <w:tcBorders>
              <w:top w:val="nil"/>
              <w:left w:val="nil"/>
              <w:bottom w:val="single" w:color="auto" w:sz="4" w:space="0"/>
              <w:right w:val="single" w:color="auto" w:sz="4" w:space="0"/>
            </w:tcBorders>
            <w:vAlign w:val="center"/>
          </w:tcPr>
          <w:p w14:paraId="3D4278F6">
            <w:pPr>
              <w:pStyle w:val="72"/>
              <w:rPr>
                <w:rFonts w:hint="eastAsia"/>
              </w:rPr>
            </w:pPr>
            <w:r>
              <w:rPr>
                <w:rFonts w:hint="eastAsia" w:ascii="仿宋" w:hAnsi="仿宋"/>
              </w:rPr>
              <w:t>矿山地质环境监测</w:t>
            </w:r>
          </w:p>
        </w:tc>
        <w:tc>
          <w:tcPr>
            <w:tcW w:w="836" w:type="pct"/>
            <w:tcBorders>
              <w:top w:val="nil"/>
              <w:left w:val="nil"/>
              <w:bottom w:val="single" w:color="auto" w:sz="4" w:space="0"/>
              <w:right w:val="single" w:color="auto" w:sz="4" w:space="0"/>
            </w:tcBorders>
          </w:tcPr>
          <w:p w14:paraId="3A2748C3">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15</w:t>
            </w:r>
          </w:p>
        </w:tc>
        <w:tc>
          <w:tcPr>
            <w:tcW w:w="444" w:type="pct"/>
            <w:tcBorders>
              <w:top w:val="nil"/>
              <w:left w:val="nil"/>
              <w:bottom w:val="single" w:color="auto" w:sz="4" w:space="0"/>
              <w:right w:val="single" w:color="auto" w:sz="4" w:space="0"/>
            </w:tcBorders>
            <w:noWrap/>
          </w:tcPr>
          <w:p w14:paraId="101F410D">
            <w:pPr>
              <w:pStyle w:val="72"/>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180</w:t>
            </w:r>
          </w:p>
        </w:tc>
        <w:tc>
          <w:tcPr>
            <w:tcW w:w="1185" w:type="pct"/>
            <w:tcBorders>
              <w:top w:val="nil"/>
              <w:left w:val="nil"/>
              <w:bottom w:val="single" w:color="auto" w:sz="4" w:space="0"/>
              <w:right w:val="single" w:color="auto" w:sz="4" w:space="0"/>
            </w:tcBorders>
            <w:noWrap/>
          </w:tcPr>
          <w:p w14:paraId="1A0F4BE5">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0.02</w:t>
            </w:r>
          </w:p>
        </w:tc>
        <w:tc>
          <w:tcPr>
            <w:tcW w:w="1949" w:type="dxa"/>
            <w:tcBorders>
              <w:top w:val="nil"/>
              <w:left w:val="nil"/>
              <w:bottom w:val="single" w:color="auto" w:sz="4" w:space="0"/>
              <w:right w:val="single" w:color="auto" w:sz="4" w:space="0"/>
            </w:tcBorders>
            <w:noWrap/>
            <w:vAlign w:val="center"/>
          </w:tcPr>
          <w:p w14:paraId="57DF3E32">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3.6</w:t>
            </w:r>
          </w:p>
        </w:tc>
      </w:tr>
      <w:tr w14:paraId="5B8213CD">
        <w:tblPrEx>
          <w:tblCellMar>
            <w:top w:w="0" w:type="dxa"/>
            <w:left w:w="108" w:type="dxa"/>
            <w:bottom w:w="0" w:type="dxa"/>
            <w:right w:w="108" w:type="dxa"/>
          </w:tblCellMar>
        </w:tblPrEx>
        <w:trPr>
          <w:trHeight w:val="264" w:hRule="atLeast"/>
        </w:trPr>
        <w:tc>
          <w:tcPr>
            <w:tcW w:w="461" w:type="pct"/>
            <w:tcBorders>
              <w:top w:val="nil"/>
              <w:left w:val="single" w:color="auto" w:sz="4" w:space="0"/>
              <w:bottom w:val="single" w:color="auto" w:sz="4" w:space="0"/>
              <w:right w:val="single" w:color="auto" w:sz="4" w:space="0"/>
            </w:tcBorders>
            <w:noWrap/>
            <w:vAlign w:val="center"/>
          </w:tcPr>
          <w:p w14:paraId="0A96BB1F">
            <w:pPr>
              <w:pStyle w:val="72"/>
              <w:rPr>
                <w:rFonts w:hint="eastAsia" w:eastAsia="仿宋"/>
                <w:lang w:eastAsia="zh-CN"/>
              </w:rPr>
            </w:pPr>
            <w:r>
              <w:t>2</w:t>
            </w:r>
          </w:p>
        </w:tc>
        <w:tc>
          <w:tcPr>
            <w:tcW w:w="1055" w:type="pct"/>
            <w:tcBorders>
              <w:top w:val="nil"/>
              <w:left w:val="nil"/>
              <w:bottom w:val="single" w:color="auto" w:sz="4" w:space="0"/>
              <w:right w:val="single" w:color="auto" w:sz="4" w:space="0"/>
            </w:tcBorders>
            <w:vAlign w:val="center"/>
          </w:tcPr>
          <w:p w14:paraId="53954723">
            <w:pPr>
              <w:pStyle w:val="72"/>
              <w:rPr>
                <w:rFonts w:hint="eastAsia"/>
              </w:rPr>
            </w:pPr>
            <w:r>
              <w:rPr>
                <w:rFonts w:hint="eastAsia" w:ascii="仿宋" w:hAnsi="仿宋"/>
              </w:rPr>
              <w:t>土地资源生态监测</w:t>
            </w:r>
          </w:p>
        </w:tc>
        <w:tc>
          <w:tcPr>
            <w:tcW w:w="836" w:type="pct"/>
            <w:tcBorders>
              <w:top w:val="nil"/>
              <w:left w:val="nil"/>
              <w:bottom w:val="single" w:color="auto" w:sz="4" w:space="0"/>
              <w:right w:val="single" w:color="auto" w:sz="4" w:space="0"/>
            </w:tcBorders>
          </w:tcPr>
          <w:p w14:paraId="20D6F05E">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w:t>
            </w:r>
          </w:p>
        </w:tc>
        <w:tc>
          <w:tcPr>
            <w:tcW w:w="444" w:type="pct"/>
            <w:tcBorders>
              <w:top w:val="nil"/>
              <w:left w:val="nil"/>
              <w:bottom w:val="single" w:color="auto" w:sz="4" w:space="0"/>
              <w:right w:val="single" w:color="auto" w:sz="4" w:space="0"/>
            </w:tcBorders>
            <w:noWrap/>
          </w:tcPr>
          <w:p w14:paraId="70D01A24">
            <w:pPr>
              <w:pStyle w:val="72"/>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24</w:t>
            </w:r>
          </w:p>
        </w:tc>
        <w:tc>
          <w:tcPr>
            <w:tcW w:w="1185" w:type="pct"/>
            <w:tcBorders>
              <w:top w:val="nil"/>
              <w:left w:val="nil"/>
              <w:bottom w:val="single" w:color="auto" w:sz="4" w:space="0"/>
              <w:right w:val="single" w:color="auto" w:sz="4" w:space="0"/>
            </w:tcBorders>
            <w:noWrap/>
          </w:tcPr>
          <w:p w14:paraId="7A87C8AB">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0.02</w:t>
            </w:r>
          </w:p>
        </w:tc>
        <w:tc>
          <w:tcPr>
            <w:tcW w:w="1949" w:type="dxa"/>
            <w:tcBorders>
              <w:top w:val="nil"/>
              <w:left w:val="nil"/>
              <w:bottom w:val="single" w:color="auto" w:sz="4" w:space="0"/>
              <w:right w:val="single" w:color="auto" w:sz="4" w:space="0"/>
            </w:tcBorders>
            <w:noWrap/>
            <w:vAlign w:val="center"/>
          </w:tcPr>
          <w:p w14:paraId="462A300C">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0.48</w:t>
            </w:r>
          </w:p>
        </w:tc>
      </w:tr>
      <w:tr w14:paraId="63002D6A">
        <w:tblPrEx>
          <w:tblCellMar>
            <w:top w:w="0" w:type="dxa"/>
            <w:left w:w="108" w:type="dxa"/>
            <w:bottom w:w="0" w:type="dxa"/>
            <w:right w:w="108" w:type="dxa"/>
          </w:tblCellMar>
        </w:tblPrEx>
        <w:trPr>
          <w:trHeight w:val="264" w:hRule="atLeast"/>
        </w:trPr>
        <w:tc>
          <w:tcPr>
            <w:tcW w:w="461" w:type="pct"/>
            <w:tcBorders>
              <w:top w:val="nil"/>
              <w:left w:val="single" w:color="auto" w:sz="4" w:space="0"/>
              <w:bottom w:val="single" w:color="auto" w:sz="4" w:space="0"/>
              <w:right w:val="single" w:color="auto" w:sz="4" w:space="0"/>
            </w:tcBorders>
            <w:noWrap/>
            <w:vAlign w:val="center"/>
          </w:tcPr>
          <w:p w14:paraId="283E7857">
            <w:pPr>
              <w:pStyle w:val="72"/>
              <w:rPr>
                <w:rFonts w:hint="eastAsia" w:eastAsia="仿宋"/>
                <w:lang w:eastAsia="zh-CN"/>
              </w:rPr>
            </w:pPr>
            <w:r>
              <w:t>3</w:t>
            </w:r>
          </w:p>
        </w:tc>
        <w:tc>
          <w:tcPr>
            <w:tcW w:w="1055" w:type="pct"/>
            <w:tcBorders>
              <w:top w:val="nil"/>
              <w:left w:val="nil"/>
              <w:bottom w:val="single" w:color="auto" w:sz="4" w:space="0"/>
              <w:right w:val="single" w:color="auto" w:sz="4" w:space="0"/>
            </w:tcBorders>
            <w:vAlign w:val="center"/>
          </w:tcPr>
          <w:p w14:paraId="7F9B6569">
            <w:pPr>
              <w:pStyle w:val="72"/>
              <w:rPr>
                <w:rFonts w:hint="eastAsia"/>
              </w:rPr>
            </w:pPr>
            <w:r>
              <w:rPr>
                <w:rFonts w:hint="eastAsia" w:ascii="仿宋" w:hAnsi="仿宋"/>
              </w:rPr>
              <w:t>地下水水质监测</w:t>
            </w:r>
          </w:p>
        </w:tc>
        <w:tc>
          <w:tcPr>
            <w:tcW w:w="836" w:type="pct"/>
            <w:tcBorders>
              <w:top w:val="nil"/>
              <w:left w:val="nil"/>
              <w:bottom w:val="single" w:color="auto" w:sz="4" w:space="0"/>
              <w:right w:val="single" w:color="auto" w:sz="4" w:space="0"/>
            </w:tcBorders>
          </w:tcPr>
          <w:p w14:paraId="078E7C1D">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w:t>
            </w:r>
          </w:p>
        </w:tc>
        <w:tc>
          <w:tcPr>
            <w:tcW w:w="444" w:type="pct"/>
            <w:tcBorders>
              <w:top w:val="nil"/>
              <w:left w:val="nil"/>
              <w:bottom w:val="single" w:color="auto" w:sz="4" w:space="0"/>
              <w:right w:val="single" w:color="auto" w:sz="4" w:space="0"/>
            </w:tcBorders>
            <w:noWrap/>
          </w:tcPr>
          <w:p w14:paraId="003C0788">
            <w:pPr>
              <w:pStyle w:val="72"/>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16</w:t>
            </w:r>
          </w:p>
        </w:tc>
        <w:tc>
          <w:tcPr>
            <w:tcW w:w="1185" w:type="pct"/>
            <w:tcBorders>
              <w:top w:val="nil"/>
              <w:left w:val="nil"/>
              <w:bottom w:val="single" w:color="auto" w:sz="4" w:space="0"/>
              <w:right w:val="single" w:color="auto" w:sz="4" w:space="0"/>
            </w:tcBorders>
            <w:noWrap/>
          </w:tcPr>
          <w:p w14:paraId="19F99937">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0.20</w:t>
            </w:r>
          </w:p>
        </w:tc>
        <w:tc>
          <w:tcPr>
            <w:tcW w:w="1949" w:type="dxa"/>
            <w:tcBorders>
              <w:top w:val="nil"/>
              <w:left w:val="nil"/>
              <w:bottom w:val="single" w:color="auto" w:sz="4" w:space="0"/>
              <w:right w:val="single" w:color="auto" w:sz="4" w:space="0"/>
            </w:tcBorders>
            <w:noWrap/>
            <w:vAlign w:val="center"/>
          </w:tcPr>
          <w:p w14:paraId="17779E4A">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6.4</w:t>
            </w:r>
          </w:p>
        </w:tc>
      </w:tr>
      <w:tr w14:paraId="3E5FAA3B">
        <w:tblPrEx>
          <w:tblCellMar>
            <w:top w:w="0" w:type="dxa"/>
            <w:left w:w="108" w:type="dxa"/>
            <w:bottom w:w="0" w:type="dxa"/>
            <w:right w:w="108" w:type="dxa"/>
          </w:tblCellMar>
        </w:tblPrEx>
        <w:trPr>
          <w:trHeight w:val="264" w:hRule="atLeast"/>
        </w:trPr>
        <w:tc>
          <w:tcPr>
            <w:tcW w:w="461" w:type="pct"/>
            <w:tcBorders>
              <w:top w:val="nil"/>
              <w:left w:val="single" w:color="auto" w:sz="4" w:space="0"/>
              <w:bottom w:val="single" w:color="auto" w:sz="4" w:space="0"/>
              <w:right w:val="single" w:color="auto" w:sz="4" w:space="0"/>
            </w:tcBorders>
            <w:noWrap/>
            <w:vAlign w:val="center"/>
          </w:tcPr>
          <w:p w14:paraId="18DB382C">
            <w:pPr>
              <w:pStyle w:val="72"/>
              <w:rPr>
                <w:rFonts w:hint="eastAsia" w:eastAsia="仿宋"/>
                <w:lang w:eastAsia="zh-CN"/>
              </w:rPr>
            </w:pPr>
            <w:r>
              <w:t>4</w:t>
            </w:r>
          </w:p>
        </w:tc>
        <w:tc>
          <w:tcPr>
            <w:tcW w:w="1055" w:type="pct"/>
            <w:tcBorders>
              <w:top w:val="nil"/>
              <w:left w:val="nil"/>
              <w:bottom w:val="single" w:color="auto" w:sz="4" w:space="0"/>
              <w:right w:val="single" w:color="auto" w:sz="4" w:space="0"/>
            </w:tcBorders>
            <w:vAlign w:val="center"/>
          </w:tcPr>
          <w:p w14:paraId="2D06B4EB">
            <w:pPr>
              <w:pStyle w:val="72"/>
              <w:rPr>
                <w:rFonts w:hint="eastAsia" w:ascii="仿宋" w:hAnsi="仿宋" w:cs="宋体"/>
              </w:rPr>
            </w:pPr>
            <w:r>
              <w:rPr>
                <w:rFonts w:hint="eastAsia" w:ascii="仿宋" w:hAnsi="仿宋" w:cs="宋体"/>
              </w:rPr>
              <w:t>地下水水量监测</w:t>
            </w:r>
          </w:p>
        </w:tc>
        <w:tc>
          <w:tcPr>
            <w:tcW w:w="836" w:type="pct"/>
            <w:tcBorders>
              <w:top w:val="nil"/>
              <w:left w:val="nil"/>
              <w:bottom w:val="single" w:color="auto" w:sz="4" w:space="0"/>
              <w:right w:val="single" w:color="auto" w:sz="4" w:space="0"/>
            </w:tcBorders>
          </w:tcPr>
          <w:p w14:paraId="75577967">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12</w:t>
            </w:r>
          </w:p>
        </w:tc>
        <w:tc>
          <w:tcPr>
            <w:tcW w:w="444" w:type="pct"/>
            <w:tcBorders>
              <w:top w:val="nil"/>
              <w:left w:val="nil"/>
              <w:bottom w:val="single" w:color="auto" w:sz="4" w:space="0"/>
              <w:right w:val="single" w:color="auto" w:sz="4" w:space="0"/>
            </w:tcBorders>
            <w:noWrap/>
          </w:tcPr>
          <w:p w14:paraId="37D9630C">
            <w:pPr>
              <w:pStyle w:val="72"/>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96</w:t>
            </w:r>
          </w:p>
        </w:tc>
        <w:tc>
          <w:tcPr>
            <w:tcW w:w="1185" w:type="pct"/>
            <w:tcBorders>
              <w:top w:val="nil"/>
              <w:left w:val="nil"/>
              <w:bottom w:val="single" w:color="auto" w:sz="4" w:space="0"/>
              <w:right w:val="single" w:color="auto" w:sz="4" w:space="0"/>
            </w:tcBorders>
            <w:noWrap/>
          </w:tcPr>
          <w:p w14:paraId="29B99C4D">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0.02</w:t>
            </w:r>
          </w:p>
        </w:tc>
        <w:tc>
          <w:tcPr>
            <w:tcW w:w="1949" w:type="dxa"/>
            <w:tcBorders>
              <w:top w:val="nil"/>
              <w:left w:val="nil"/>
              <w:bottom w:val="single" w:color="auto" w:sz="4" w:space="0"/>
              <w:right w:val="single" w:color="auto" w:sz="4" w:space="0"/>
            </w:tcBorders>
            <w:noWrap/>
            <w:vAlign w:val="center"/>
          </w:tcPr>
          <w:p w14:paraId="50AE00C0">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23.04</w:t>
            </w:r>
          </w:p>
        </w:tc>
      </w:tr>
      <w:tr w14:paraId="1DDAA03F">
        <w:tblPrEx>
          <w:tblCellMar>
            <w:top w:w="0" w:type="dxa"/>
            <w:left w:w="108" w:type="dxa"/>
            <w:bottom w:w="0" w:type="dxa"/>
            <w:right w:w="108" w:type="dxa"/>
          </w:tblCellMar>
        </w:tblPrEx>
        <w:trPr>
          <w:trHeight w:val="264" w:hRule="atLeast"/>
        </w:trPr>
        <w:tc>
          <w:tcPr>
            <w:tcW w:w="461" w:type="pct"/>
            <w:tcBorders>
              <w:top w:val="nil"/>
              <w:left w:val="single" w:color="auto" w:sz="4" w:space="0"/>
              <w:bottom w:val="single" w:color="auto" w:sz="4" w:space="0"/>
              <w:right w:val="single" w:color="auto" w:sz="4" w:space="0"/>
            </w:tcBorders>
            <w:noWrap/>
            <w:vAlign w:val="center"/>
          </w:tcPr>
          <w:p w14:paraId="77126329">
            <w:pPr>
              <w:pStyle w:val="72"/>
              <w:rPr>
                <w:rFonts w:hint="eastAsia" w:eastAsia="仿宋"/>
                <w:lang w:eastAsia="zh-CN"/>
              </w:rPr>
            </w:pPr>
            <w:r>
              <w:t>5</w:t>
            </w:r>
          </w:p>
        </w:tc>
        <w:tc>
          <w:tcPr>
            <w:tcW w:w="1055" w:type="pct"/>
            <w:tcBorders>
              <w:top w:val="nil"/>
              <w:left w:val="nil"/>
              <w:bottom w:val="single" w:color="auto" w:sz="4" w:space="0"/>
              <w:right w:val="single" w:color="auto" w:sz="4" w:space="0"/>
            </w:tcBorders>
            <w:vAlign w:val="center"/>
          </w:tcPr>
          <w:p w14:paraId="177311E9">
            <w:pPr>
              <w:pStyle w:val="72"/>
              <w:rPr>
                <w:rFonts w:hint="eastAsia"/>
              </w:rPr>
            </w:pPr>
            <w:r>
              <w:rPr>
                <w:rFonts w:hint="eastAsia" w:ascii="仿宋" w:hAnsi="仿宋"/>
              </w:rPr>
              <w:t>林地管护</w:t>
            </w:r>
          </w:p>
        </w:tc>
        <w:tc>
          <w:tcPr>
            <w:tcW w:w="836" w:type="pct"/>
            <w:tcBorders>
              <w:top w:val="nil"/>
              <w:left w:val="nil"/>
              <w:bottom w:val="single" w:color="auto" w:sz="4" w:space="0"/>
              <w:right w:val="single" w:color="auto" w:sz="4" w:space="0"/>
            </w:tcBorders>
          </w:tcPr>
          <w:p w14:paraId="3482CE6B">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1.5288</w:t>
            </w:r>
          </w:p>
        </w:tc>
        <w:tc>
          <w:tcPr>
            <w:tcW w:w="444" w:type="pct"/>
            <w:tcBorders>
              <w:top w:val="nil"/>
              <w:left w:val="nil"/>
              <w:bottom w:val="single" w:color="auto" w:sz="4" w:space="0"/>
              <w:right w:val="single" w:color="auto" w:sz="4" w:space="0"/>
            </w:tcBorders>
            <w:noWrap/>
          </w:tcPr>
          <w:p w14:paraId="1935B03F">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w:t>
            </w:r>
          </w:p>
        </w:tc>
        <w:tc>
          <w:tcPr>
            <w:tcW w:w="1185" w:type="pct"/>
            <w:tcBorders>
              <w:top w:val="nil"/>
              <w:left w:val="nil"/>
              <w:bottom w:val="single" w:color="auto" w:sz="4" w:space="0"/>
              <w:right w:val="single" w:color="auto" w:sz="4" w:space="0"/>
            </w:tcBorders>
            <w:noWrap/>
          </w:tcPr>
          <w:p w14:paraId="3BB71E67">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0.40</w:t>
            </w:r>
          </w:p>
        </w:tc>
        <w:tc>
          <w:tcPr>
            <w:tcW w:w="1949" w:type="dxa"/>
            <w:tcBorders>
              <w:top w:val="nil"/>
              <w:left w:val="nil"/>
              <w:bottom w:val="single" w:color="auto" w:sz="4" w:space="0"/>
              <w:right w:val="single" w:color="auto" w:sz="4" w:space="0"/>
            </w:tcBorders>
            <w:noWrap/>
            <w:vAlign w:val="center"/>
          </w:tcPr>
          <w:p w14:paraId="7B163420">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1.83456</w:t>
            </w:r>
          </w:p>
        </w:tc>
      </w:tr>
      <w:tr w14:paraId="28C79626">
        <w:tblPrEx>
          <w:tblCellMar>
            <w:top w:w="0" w:type="dxa"/>
            <w:left w:w="108" w:type="dxa"/>
            <w:bottom w:w="0" w:type="dxa"/>
            <w:right w:w="108" w:type="dxa"/>
          </w:tblCellMar>
        </w:tblPrEx>
        <w:trPr>
          <w:trHeight w:val="264" w:hRule="atLeast"/>
        </w:trPr>
        <w:tc>
          <w:tcPr>
            <w:tcW w:w="461" w:type="pct"/>
            <w:tcBorders>
              <w:top w:val="nil"/>
              <w:left w:val="single" w:color="auto" w:sz="4" w:space="0"/>
              <w:bottom w:val="single" w:color="auto" w:sz="4" w:space="0"/>
              <w:right w:val="single" w:color="auto" w:sz="4" w:space="0"/>
            </w:tcBorders>
            <w:noWrap/>
            <w:vAlign w:val="center"/>
          </w:tcPr>
          <w:p w14:paraId="674244A9">
            <w:pPr>
              <w:pStyle w:val="72"/>
              <w:rPr>
                <w:rFonts w:hint="eastAsia"/>
              </w:rPr>
            </w:pPr>
            <w:r>
              <w:t>　</w:t>
            </w:r>
          </w:p>
        </w:tc>
        <w:tc>
          <w:tcPr>
            <w:tcW w:w="1055" w:type="pct"/>
            <w:tcBorders>
              <w:top w:val="nil"/>
              <w:left w:val="nil"/>
              <w:bottom w:val="single" w:color="auto" w:sz="4" w:space="0"/>
              <w:right w:val="single" w:color="auto" w:sz="4" w:space="0"/>
            </w:tcBorders>
            <w:noWrap/>
            <w:vAlign w:val="center"/>
          </w:tcPr>
          <w:p w14:paraId="7450F4F0">
            <w:pPr>
              <w:pStyle w:val="72"/>
              <w:rPr>
                <w:rFonts w:hint="eastAsia"/>
              </w:rPr>
            </w:pPr>
            <w:r>
              <w:rPr>
                <w:rFonts w:hint="eastAsia"/>
              </w:rPr>
              <w:t>合计</w:t>
            </w:r>
          </w:p>
        </w:tc>
        <w:tc>
          <w:tcPr>
            <w:tcW w:w="836" w:type="pct"/>
            <w:tcBorders>
              <w:top w:val="nil"/>
              <w:left w:val="nil"/>
              <w:bottom w:val="single" w:color="auto" w:sz="4" w:space="0"/>
              <w:right w:val="single" w:color="auto" w:sz="4" w:space="0"/>
            </w:tcBorders>
            <w:noWrap/>
          </w:tcPr>
          <w:p w14:paraId="60D18A74">
            <w:pPr>
              <w:pStyle w:val="72"/>
              <w:rPr>
                <w:rFonts w:hint="eastAsia"/>
              </w:rPr>
            </w:pPr>
          </w:p>
        </w:tc>
        <w:tc>
          <w:tcPr>
            <w:tcW w:w="444" w:type="pct"/>
            <w:tcBorders>
              <w:top w:val="nil"/>
              <w:left w:val="nil"/>
              <w:bottom w:val="single" w:color="auto" w:sz="4" w:space="0"/>
              <w:right w:val="single" w:color="auto" w:sz="4" w:space="0"/>
            </w:tcBorders>
            <w:noWrap/>
          </w:tcPr>
          <w:p w14:paraId="61B97A4D">
            <w:pPr>
              <w:pStyle w:val="72"/>
              <w:rPr>
                <w:rFonts w:hint="eastAsia"/>
              </w:rPr>
            </w:pPr>
          </w:p>
        </w:tc>
        <w:tc>
          <w:tcPr>
            <w:tcW w:w="1185" w:type="pct"/>
            <w:tcBorders>
              <w:top w:val="nil"/>
              <w:left w:val="nil"/>
              <w:bottom w:val="single" w:color="auto" w:sz="4" w:space="0"/>
              <w:right w:val="single" w:color="auto" w:sz="4" w:space="0"/>
            </w:tcBorders>
            <w:noWrap/>
          </w:tcPr>
          <w:p w14:paraId="2395C6F9">
            <w:pPr>
              <w:pStyle w:val="72"/>
              <w:rPr>
                <w:rFonts w:hint="eastAsia"/>
              </w:rPr>
            </w:pPr>
          </w:p>
        </w:tc>
        <w:tc>
          <w:tcPr>
            <w:tcW w:w="1949" w:type="dxa"/>
            <w:tcBorders>
              <w:top w:val="nil"/>
              <w:left w:val="nil"/>
              <w:bottom w:val="single" w:color="auto" w:sz="4" w:space="0"/>
              <w:right w:val="single" w:color="auto" w:sz="4" w:space="0"/>
            </w:tcBorders>
            <w:noWrap/>
            <w:vAlign w:val="center"/>
          </w:tcPr>
          <w:p w14:paraId="43FF009E">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35.35</w:t>
            </w:r>
          </w:p>
        </w:tc>
      </w:tr>
    </w:tbl>
    <w:p w14:paraId="385789D3">
      <w:pPr>
        <w:pStyle w:val="57"/>
        <w:rPr>
          <w:rFonts w:ascii="Times New Roman" w:hAnsi="Times New Roman"/>
        </w:rPr>
      </w:pPr>
      <w:r>
        <w:rPr>
          <w:rFonts w:ascii="Times New Roman" w:hAnsi="Times New Roman"/>
        </w:rPr>
        <w:t>表6-8预备费及风险金估算表</w:t>
      </w:r>
    </w:p>
    <w:tbl>
      <w:tblPr>
        <w:tblStyle w:val="42"/>
        <w:tblW w:w="5000" w:type="pct"/>
        <w:tblInd w:w="0" w:type="dxa"/>
        <w:tblLayout w:type="autofit"/>
        <w:tblCellMar>
          <w:top w:w="0" w:type="dxa"/>
          <w:left w:w="108" w:type="dxa"/>
          <w:bottom w:w="0" w:type="dxa"/>
          <w:right w:w="108" w:type="dxa"/>
        </w:tblCellMar>
      </w:tblPr>
      <w:tblGrid>
        <w:gridCol w:w="999"/>
        <w:gridCol w:w="2293"/>
        <w:gridCol w:w="2948"/>
        <w:gridCol w:w="1564"/>
        <w:gridCol w:w="1766"/>
      </w:tblGrid>
      <w:tr w14:paraId="32FA07DA">
        <w:tblPrEx>
          <w:tblCellMar>
            <w:top w:w="0" w:type="dxa"/>
            <w:left w:w="108" w:type="dxa"/>
            <w:bottom w:w="0" w:type="dxa"/>
            <w:right w:w="108" w:type="dxa"/>
          </w:tblCellMar>
        </w:tblPrEx>
        <w:trPr>
          <w:trHeight w:val="264" w:hRule="atLeast"/>
        </w:trPr>
        <w:tc>
          <w:tcPr>
            <w:tcW w:w="522" w:type="pct"/>
            <w:tcBorders>
              <w:top w:val="single" w:color="auto" w:sz="4" w:space="0"/>
              <w:left w:val="single" w:color="auto" w:sz="4" w:space="0"/>
              <w:bottom w:val="single" w:color="auto" w:sz="4" w:space="0"/>
              <w:right w:val="single" w:color="auto" w:sz="4" w:space="0"/>
            </w:tcBorders>
            <w:noWrap/>
            <w:vAlign w:val="center"/>
          </w:tcPr>
          <w:p w14:paraId="114F36D3">
            <w:pPr>
              <w:pStyle w:val="72"/>
              <w:rPr>
                <w:rFonts w:ascii="Times New Roman" w:hAnsi="Times New Roman"/>
              </w:rPr>
            </w:pPr>
            <w:r>
              <w:rPr>
                <w:rFonts w:ascii="Times New Roman" w:hAnsi="Times New Roman"/>
              </w:rPr>
              <w:t>序号</w:t>
            </w:r>
          </w:p>
        </w:tc>
        <w:tc>
          <w:tcPr>
            <w:tcW w:w="1198" w:type="pct"/>
            <w:tcBorders>
              <w:top w:val="single" w:color="auto" w:sz="4" w:space="0"/>
              <w:left w:val="nil"/>
              <w:bottom w:val="single" w:color="auto" w:sz="4" w:space="0"/>
              <w:right w:val="single" w:color="auto" w:sz="4" w:space="0"/>
            </w:tcBorders>
            <w:noWrap/>
            <w:vAlign w:val="center"/>
          </w:tcPr>
          <w:p w14:paraId="26F707F5">
            <w:pPr>
              <w:pStyle w:val="72"/>
              <w:rPr>
                <w:rFonts w:ascii="Times New Roman" w:hAnsi="Times New Roman"/>
              </w:rPr>
            </w:pPr>
            <w:r>
              <w:rPr>
                <w:rFonts w:ascii="Times New Roman" w:hAnsi="Times New Roman"/>
              </w:rPr>
              <w:t>费用名称</w:t>
            </w:r>
          </w:p>
        </w:tc>
        <w:tc>
          <w:tcPr>
            <w:tcW w:w="1540" w:type="pct"/>
            <w:tcBorders>
              <w:top w:val="single" w:color="auto" w:sz="4" w:space="0"/>
              <w:left w:val="nil"/>
              <w:bottom w:val="single" w:color="auto" w:sz="4" w:space="0"/>
              <w:right w:val="single" w:color="auto" w:sz="4" w:space="0"/>
            </w:tcBorders>
            <w:vAlign w:val="center"/>
          </w:tcPr>
          <w:p w14:paraId="6DF90A88">
            <w:pPr>
              <w:pStyle w:val="72"/>
              <w:rPr>
                <w:rFonts w:ascii="Times New Roman" w:hAnsi="Times New Roman"/>
              </w:rPr>
            </w:pPr>
            <w:r>
              <w:rPr>
                <w:rFonts w:ascii="Times New Roman" w:hAnsi="Times New Roman"/>
              </w:rPr>
              <w:t>费基（万元）</w:t>
            </w:r>
          </w:p>
        </w:tc>
        <w:tc>
          <w:tcPr>
            <w:tcW w:w="817" w:type="pct"/>
            <w:tcBorders>
              <w:top w:val="single" w:color="auto" w:sz="4" w:space="0"/>
              <w:left w:val="nil"/>
              <w:bottom w:val="single" w:color="auto" w:sz="4" w:space="0"/>
              <w:right w:val="single" w:color="auto" w:sz="4" w:space="0"/>
            </w:tcBorders>
            <w:noWrap/>
            <w:vAlign w:val="center"/>
          </w:tcPr>
          <w:p w14:paraId="0615FD05">
            <w:pPr>
              <w:pStyle w:val="72"/>
              <w:rPr>
                <w:rFonts w:ascii="Times New Roman" w:hAnsi="Times New Roman"/>
              </w:rPr>
            </w:pPr>
            <w:r>
              <w:rPr>
                <w:rFonts w:ascii="Times New Roman" w:hAnsi="Times New Roman"/>
              </w:rPr>
              <w:t>费率（%）</w:t>
            </w:r>
          </w:p>
        </w:tc>
        <w:tc>
          <w:tcPr>
            <w:tcW w:w="922" w:type="pct"/>
            <w:tcBorders>
              <w:top w:val="single" w:color="auto" w:sz="4" w:space="0"/>
              <w:left w:val="nil"/>
              <w:bottom w:val="single" w:color="auto" w:sz="4" w:space="0"/>
              <w:right w:val="single" w:color="auto" w:sz="4" w:space="0"/>
            </w:tcBorders>
            <w:vAlign w:val="center"/>
          </w:tcPr>
          <w:p w14:paraId="149854CD">
            <w:pPr>
              <w:pStyle w:val="72"/>
              <w:rPr>
                <w:rFonts w:ascii="Times New Roman" w:hAnsi="Times New Roman"/>
              </w:rPr>
            </w:pPr>
            <w:r>
              <w:rPr>
                <w:rFonts w:ascii="Times New Roman" w:hAnsi="Times New Roman"/>
              </w:rPr>
              <w:t>金额（万元）</w:t>
            </w:r>
          </w:p>
        </w:tc>
      </w:tr>
      <w:tr w14:paraId="654B583F">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noWrap/>
            <w:vAlign w:val="center"/>
          </w:tcPr>
          <w:p w14:paraId="3D0C05B2">
            <w:pPr>
              <w:pStyle w:val="72"/>
              <w:rPr>
                <w:rFonts w:ascii="Times New Roman" w:hAnsi="Times New Roman"/>
              </w:rPr>
            </w:pPr>
            <w:r>
              <w:rPr>
                <w:rFonts w:ascii="Times New Roman" w:hAnsi="Times New Roman"/>
              </w:rPr>
              <w:t>1</w:t>
            </w:r>
          </w:p>
        </w:tc>
        <w:tc>
          <w:tcPr>
            <w:tcW w:w="1198" w:type="pct"/>
            <w:tcBorders>
              <w:top w:val="nil"/>
              <w:left w:val="nil"/>
              <w:bottom w:val="single" w:color="auto" w:sz="4" w:space="0"/>
              <w:right w:val="single" w:color="auto" w:sz="4" w:space="0"/>
            </w:tcBorders>
            <w:noWrap/>
            <w:vAlign w:val="center"/>
          </w:tcPr>
          <w:p w14:paraId="11434CCB">
            <w:pPr>
              <w:pStyle w:val="72"/>
              <w:rPr>
                <w:rFonts w:ascii="Times New Roman" w:hAnsi="Times New Roman"/>
              </w:rPr>
            </w:pPr>
            <w:r>
              <w:rPr>
                <w:rFonts w:ascii="Times New Roman" w:hAnsi="Times New Roman"/>
              </w:rPr>
              <w:t>基本预备费</w:t>
            </w:r>
          </w:p>
        </w:tc>
        <w:tc>
          <w:tcPr>
            <w:tcW w:w="2948" w:type="dxa"/>
            <w:tcBorders>
              <w:top w:val="nil"/>
              <w:left w:val="nil"/>
              <w:bottom w:val="single" w:color="auto" w:sz="4" w:space="0"/>
              <w:right w:val="single" w:color="auto" w:sz="4" w:space="0"/>
            </w:tcBorders>
            <w:noWrap/>
            <w:vAlign w:val="center"/>
          </w:tcPr>
          <w:p w14:paraId="5DE5B407">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65.49</w:t>
            </w:r>
          </w:p>
        </w:tc>
        <w:tc>
          <w:tcPr>
            <w:tcW w:w="817" w:type="pct"/>
            <w:tcBorders>
              <w:top w:val="nil"/>
              <w:left w:val="nil"/>
              <w:bottom w:val="single" w:color="auto" w:sz="4" w:space="0"/>
              <w:right w:val="single" w:color="auto" w:sz="4" w:space="0"/>
            </w:tcBorders>
            <w:noWrap/>
            <w:vAlign w:val="center"/>
          </w:tcPr>
          <w:p w14:paraId="503857CB">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3.00</w:t>
            </w:r>
          </w:p>
        </w:tc>
        <w:tc>
          <w:tcPr>
            <w:tcW w:w="1766" w:type="dxa"/>
            <w:tcBorders>
              <w:top w:val="nil"/>
              <w:left w:val="nil"/>
              <w:bottom w:val="single" w:color="auto" w:sz="4" w:space="0"/>
              <w:right w:val="single" w:color="auto" w:sz="4" w:space="0"/>
            </w:tcBorders>
            <w:noWrap/>
            <w:vAlign w:val="center"/>
          </w:tcPr>
          <w:p w14:paraId="1C8CEC20">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1.96 </w:t>
            </w:r>
          </w:p>
        </w:tc>
      </w:tr>
      <w:tr w14:paraId="233AE9DF">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noWrap/>
            <w:vAlign w:val="center"/>
          </w:tcPr>
          <w:p w14:paraId="168553D0">
            <w:pPr>
              <w:pStyle w:val="72"/>
              <w:rPr>
                <w:rFonts w:ascii="Times New Roman" w:hAnsi="Times New Roman"/>
              </w:rPr>
            </w:pPr>
            <w:r>
              <w:rPr>
                <w:rFonts w:ascii="Times New Roman" w:hAnsi="Times New Roman"/>
              </w:rPr>
              <w:t>2</w:t>
            </w:r>
          </w:p>
        </w:tc>
        <w:tc>
          <w:tcPr>
            <w:tcW w:w="1198" w:type="pct"/>
            <w:tcBorders>
              <w:top w:val="nil"/>
              <w:left w:val="nil"/>
              <w:bottom w:val="single" w:color="auto" w:sz="4" w:space="0"/>
              <w:right w:val="single" w:color="auto" w:sz="4" w:space="0"/>
            </w:tcBorders>
            <w:noWrap/>
            <w:vAlign w:val="center"/>
          </w:tcPr>
          <w:p w14:paraId="13ED0DC2">
            <w:pPr>
              <w:pStyle w:val="72"/>
              <w:rPr>
                <w:rFonts w:ascii="Times New Roman" w:hAnsi="Times New Roman"/>
              </w:rPr>
            </w:pPr>
            <w:r>
              <w:rPr>
                <w:rFonts w:ascii="Times New Roman" w:hAnsi="Times New Roman"/>
              </w:rPr>
              <w:t>风险金</w:t>
            </w:r>
          </w:p>
        </w:tc>
        <w:tc>
          <w:tcPr>
            <w:tcW w:w="2948" w:type="dxa"/>
            <w:tcBorders>
              <w:top w:val="nil"/>
              <w:left w:val="nil"/>
              <w:bottom w:val="single" w:color="auto" w:sz="4" w:space="0"/>
              <w:right w:val="single" w:color="auto" w:sz="4" w:space="0"/>
            </w:tcBorders>
            <w:noWrap/>
            <w:vAlign w:val="center"/>
          </w:tcPr>
          <w:p w14:paraId="083591FD">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65.49</w:t>
            </w:r>
          </w:p>
        </w:tc>
        <w:tc>
          <w:tcPr>
            <w:tcW w:w="817" w:type="pct"/>
            <w:tcBorders>
              <w:top w:val="nil"/>
              <w:left w:val="nil"/>
              <w:bottom w:val="single" w:color="auto" w:sz="4" w:space="0"/>
              <w:right w:val="single" w:color="auto" w:sz="4" w:space="0"/>
            </w:tcBorders>
            <w:noWrap/>
            <w:vAlign w:val="center"/>
          </w:tcPr>
          <w:p w14:paraId="0A2E4778">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5.00</w:t>
            </w:r>
          </w:p>
        </w:tc>
        <w:tc>
          <w:tcPr>
            <w:tcW w:w="1766" w:type="dxa"/>
            <w:tcBorders>
              <w:top w:val="nil"/>
              <w:left w:val="nil"/>
              <w:bottom w:val="single" w:color="auto" w:sz="4" w:space="0"/>
              <w:right w:val="single" w:color="auto" w:sz="4" w:space="0"/>
            </w:tcBorders>
            <w:noWrap/>
            <w:vAlign w:val="center"/>
          </w:tcPr>
          <w:p w14:paraId="2C786EAF">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3.27 </w:t>
            </w:r>
          </w:p>
        </w:tc>
      </w:tr>
      <w:tr w14:paraId="0734D251">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noWrap/>
            <w:vAlign w:val="center"/>
          </w:tcPr>
          <w:p w14:paraId="262ACFA1">
            <w:pPr>
              <w:pStyle w:val="72"/>
              <w:rPr>
                <w:rFonts w:ascii="Times New Roman" w:hAnsi="Times New Roman"/>
              </w:rPr>
            </w:pPr>
            <w:r>
              <w:rPr>
                <w:rFonts w:ascii="Times New Roman" w:hAnsi="Times New Roman"/>
              </w:rPr>
              <w:t>　</w:t>
            </w:r>
          </w:p>
        </w:tc>
        <w:tc>
          <w:tcPr>
            <w:tcW w:w="1198" w:type="pct"/>
            <w:tcBorders>
              <w:top w:val="nil"/>
              <w:left w:val="nil"/>
              <w:bottom w:val="single" w:color="auto" w:sz="4" w:space="0"/>
              <w:right w:val="single" w:color="auto" w:sz="4" w:space="0"/>
            </w:tcBorders>
            <w:noWrap/>
            <w:vAlign w:val="center"/>
          </w:tcPr>
          <w:p w14:paraId="536C0F21">
            <w:pPr>
              <w:pStyle w:val="72"/>
              <w:rPr>
                <w:rFonts w:ascii="Times New Roman" w:hAnsi="Times New Roman"/>
              </w:rPr>
            </w:pPr>
            <w:r>
              <w:rPr>
                <w:rFonts w:ascii="Times New Roman" w:hAnsi="Times New Roman"/>
              </w:rPr>
              <w:t>合计</w:t>
            </w:r>
          </w:p>
        </w:tc>
        <w:tc>
          <w:tcPr>
            <w:tcW w:w="1540" w:type="pct"/>
            <w:tcBorders>
              <w:top w:val="nil"/>
              <w:left w:val="nil"/>
              <w:bottom w:val="single" w:color="auto" w:sz="4" w:space="0"/>
              <w:right w:val="single" w:color="auto" w:sz="4" w:space="0"/>
            </w:tcBorders>
            <w:noWrap/>
            <w:vAlign w:val="center"/>
          </w:tcPr>
          <w:p w14:paraId="738D554E">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w:t>
            </w:r>
          </w:p>
        </w:tc>
        <w:tc>
          <w:tcPr>
            <w:tcW w:w="817" w:type="pct"/>
            <w:tcBorders>
              <w:top w:val="nil"/>
              <w:left w:val="nil"/>
              <w:bottom w:val="single" w:color="auto" w:sz="4" w:space="0"/>
              <w:right w:val="single" w:color="auto" w:sz="4" w:space="0"/>
            </w:tcBorders>
            <w:noWrap/>
            <w:vAlign w:val="center"/>
          </w:tcPr>
          <w:p w14:paraId="100E75E5">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w:t>
            </w:r>
          </w:p>
        </w:tc>
        <w:tc>
          <w:tcPr>
            <w:tcW w:w="1766" w:type="dxa"/>
            <w:tcBorders>
              <w:top w:val="nil"/>
              <w:left w:val="nil"/>
              <w:bottom w:val="single" w:color="auto" w:sz="4" w:space="0"/>
              <w:right w:val="single" w:color="auto" w:sz="4" w:space="0"/>
            </w:tcBorders>
            <w:noWrap/>
            <w:vAlign w:val="center"/>
          </w:tcPr>
          <w:p w14:paraId="15CD7CAE">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5.24 </w:t>
            </w:r>
          </w:p>
        </w:tc>
      </w:tr>
    </w:tbl>
    <w:p w14:paraId="04271578">
      <w:pPr>
        <w:pStyle w:val="57"/>
        <w:rPr>
          <w:rFonts w:ascii="Times New Roman" w:hAnsi="Times New Roman"/>
        </w:rPr>
      </w:pPr>
    </w:p>
    <w:p w14:paraId="15614807">
      <w:pPr>
        <w:pStyle w:val="57"/>
        <w:rPr>
          <w:rFonts w:ascii="Times New Roman" w:hAnsi="Times New Roman"/>
        </w:rPr>
      </w:pPr>
      <w:r>
        <w:rPr>
          <w:rFonts w:ascii="Times New Roman" w:hAnsi="Times New Roman"/>
        </w:rPr>
        <w:t>表6-9</w:t>
      </w:r>
      <w:bookmarkStart w:id="225" w:name="_Hlk219059722"/>
      <w:r>
        <w:rPr>
          <w:rFonts w:ascii="Times New Roman" w:hAnsi="Times New Roman"/>
        </w:rPr>
        <w:t>价差预备费估算表</w:t>
      </w:r>
    </w:p>
    <w:tbl>
      <w:tblPr>
        <w:tblStyle w:val="42"/>
        <w:tblW w:w="5000" w:type="pct"/>
        <w:tblInd w:w="0" w:type="dxa"/>
        <w:tblLayout w:type="autofit"/>
        <w:tblCellMar>
          <w:top w:w="0" w:type="dxa"/>
          <w:left w:w="108" w:type="dxa"/>
          <w:bottom w:w="0" w:type="dxa"/>
          <w:right w:w="108" w:type="dxa"/>
        </w:tblCellMar>
      </w:tblPr>
      <w:tblGrid>
        <w:gridCol w:w="985"/>
        <w:gridCol w:w="2245"/>
        <w:gridCol w:w="2886"/>
        <w:gridCol w:w="1728"/>
        <w:gridCol w:w="1726"/>
      </w:tblGrid>
      <w:tr w14:paraId="66ACF924">
        <w:tblPrEx>
          <w:tblCellMar>
            <w:top w:w="0" w:type="dxa"/>
            <w:left w:w="108" w:type="dxa"/>
            <w:bottom w:w="0" w:type="dxa"/>
            <w:right w:w="108" w:type="dxa"/>
          </w:tblCellMar>
        </w:tblPrEx>
        <w:trPr>
          <w:trHeight w:val="288" w:hRule="atLeast"/>
        </w:trPr>
        <w:tc>
          <w:tcPr>
            <w:tcW w:w="515" w:type="pct"/>
            <w:vMerge w:val="restart"/>
            <w:tcBorders>
              <w:top w:val="single" w:color="auto" w:sz="4" w:space="0"/>
              <w:left w:val="single" w:color="auto" w:sz="4" w:space="0"/>
              <w:bottom w:val="single" w:color="auto" w:sz="4" w:space="0"/>
              <w:right w:val="single" w:color="auto" w:sz="4" w:space="0"/>
            </w:tcBorders>
            <w:vAlign w:val="center"/>
          </w:tcPr>
          <w:p w14:paraId="5014EB9D">
            <w:pPr>
              <w:pStyle w:val="72"/>
              <w:rPr>
                <w:rFonts w:ascii="Times New Roman" w:hAnsi="Times New Roman"/>
              </w:rPr>
            </w:pPr>
            <w:r>
              <w:rPr>
                <w:rFonts w:ascii="Times New Roman" w:hAnsi="Times New Roman"/>
              </w:rPr>
              <w:t>年度</w:t>
            </w:r>
          </w:p>
        </w:tc>
        <w:tc>
          <w:tcPr>
            <w:tcW w:w="1172" w:type="pct"/>
            <w:tcBorders>
              <w:top w:val="single" w:color="auto" w:sz="4" w:space="0"/>
              <w:left w:val="nil"/>
              <w:bottom w:val="single" w:color="auto" w:sz="4" w:space="0"/>
              <w:right w:val="single" w:color="auto" w:sz="4" w:space="0"/>
            </w:tcBorders>
            <w:vAlign w:val="center"/>
          </w:tcPr>
          <w:p w14:paraId="4D9FD348">
            <w:pPr>
              <w:pStyle w:val="72"/>
              <w:rPr>
                <w:rFonts w:ascii="Times New Roman" w:hAnsi="Times New Roman"/>
              </w:rPr>
            </w:pPr>
            <w:r>
              <w:rPr>
                <w:rFonts w:ascii="Times New Roman" w:hAnsi="Times New Roman"/>
              </w:rPr>
              <w:t>静态投资</w:t>
            </w:r>
          </w:p>
        </w:tc>
        <w:tc>
          <w:tcPr>
            <w:tcW w:w="1507" w:type="pct"/>
            <w:tcBorders>
              <w:top w:val="single" w:color="auto" w:sz="4" w:space="0"/>
              <w:left w:val="nil"/>
              <w:bottom w:val="single" w:color="auto" w:sz="4" w:space="0"/>
              <w:right w:val="single" w:color="auto" w:sz="4" w:space="0"/>
            </w:tcBorders>
            <w:vAlign w:val="center"/>
          </w:tcPr>
          <w:p w14:paraId="0779448E">
            <w:pPr>
              <w:pStyle w:val="72"/>
              <w:rPr>
                <w:rFonts w:ascii="Times New Roman" w:hAnsi="Times New Roman"/>
              </w:rPr>
            </w:pPr>
            <w:r>
              <w:rPr>
                <w:rFonts w:ascii="Times New Roman" w:hAnsi="Times New Roman"/>
              </w:rPr>
              <w:t>价差预备费</w:t>
            </w:r>
          </w:p>
        </w:tc>
        <w:tc>
          <w:tcPr>
            <w:tcW w:w="902" w:type="pct"/>
            <w:tcBorders>
              <w:top w:val="single" w:color="auto" w:sz="4" w:space="0"/>
              <w:left w:val="nil"/>
              <w:bottom w:val="single" w:color="auto" w:sz="4" w:space="0"/>
              <w:right w:val="single" w:color="auto" w:sz="4" w:space="0"/>
            </w:tcBorders>
            <w:vAlign w:val="center"/>
          </w:tcPr>
          <w:p w14:paraId="5247B56E">
            <w:pPr>
              <w:pStyle w:val="72"/>
              <w:rPr>
                <w:rFonts w:ascii="Times New Roman" w:hAnsi="Times New Roman"/>
              </w:rPr>
            </w:pPr>
            <w:r>
              <w:rPr>
                <w:rFonts w:ascii="Times New Roman" w:hAnsi="Times New Roman"/>
              </w:rPr>
              <w:t>动态投资</w:t>
            </w:r>
          </w:p>
        </w:tc>
        <w:tc>
          <w:tcPr>
            <w:tcW w:w="901" w:type="pct"/>
            <w:tcBorders>
              <w:top w:val="single" w:color="auto" w:sz="4" w:space="0"/>
              <w:left w:val="nil"/>
              <w:bottom w:val="single" w:color="auto" w:sz="4" w:space="0"/>
              <w:right w:val="single" w:color="auto" w:sz="4" w:space="0"/>
            </w:tcBorders>
            <w:vAlign w:val="center"/>
          </w:tcPr>
          <w:p w14:paraId="24081F7E">
            <w:pPr>
              <w:pStyle w:val="72"/>
              <w:rPr>
                <w:rFonts w:ascii="Times New Roman" w:hAnsi="Times New Roman"/>
              </w:rPr>
            </w:pPr>
            <w:r>
              <w:rPr>
                <w:rFonts w:ascii="Times New Roman" w:hAnsi="Times New Roman"/>
              </w:rPr>
              <w:t>系数</w:t>
            </w:r>
          </w:p>
        </w:tc>
      </w:tr>
      <w:tr w14:paraId="0C3DAA4E">
        <w:tblPrEx>
          <w:tblCellMar>
            <w:top w:w="0" w:type="dxa"/>
            <w:left w:w="108" w:type="dxa"/>
            <w:bottom w:w="0" w:type="dxa"/>
            <w:right w:w="108" w:type="dxa"/>
          </w:tblCellMar>
        </w:tblPrEx>
        <w:trPr>
          <w:trHeight w:val="336" w:hRule="atLeast"/>
        </w:trPr>
        <w:tc>
          <w:tcPr>
            <w:tcW w:w="515" w:type="pct"/>
            <w:vMerge w:val="continue"/>
            <w:tcBorders>
              <w:top w:val="single" w:color="auto" w:sz="4" w:space="0"/>
              <w:left w:val="single" w:color="auto" w:sz="4" w:space="0"/>
              <w:bottom w:val="single" w:color="auto" w:sz="4" w:space="0"/>
              <w:right w:val="single" w:color="auto" w:sz="4" w:space="0"/>
            </w:tcBorders>
            <w:vAlign w:val="center"/>
          </w:tcPr>
          <w:p w14:paraId="14DEC827">
            <w:pPr>
              <w:pStyle w:val="72"/>
              <w:rPr>
                <w:rFonts w:ascii="Times New Roman" w:hAnsi="Times New Roman"/>
              </w:rPr>
            </w:pPr>
          </w:p>
        </w:tc>
        <w:tc>
          <w:tcPr>
            <w:tcW w:w="1172" w:type="pct"/>
            <w:tcBorders>
              <w:top w:val="nil"/>
              <w:left w:val="nil"/>
              <w:bottom w:val="single" w:color="auto" w:sz="4" w:space="0"/>
              <w:right w:val="single" w:color="auto" w:sz="4" w:space="0"/>
            </w:tcBorders>
            <w:vAlign w:val="center"/>
          </w:tcPr>
          <w:p w14:paraId="41B12D20">
            <w:pPr>
              <w:pStyle w:val="72"/>
              <w:rPr>
                <w:rFonts w:ascii="Times New Roman" w:hAnsi="Times New Roman"/>
              </w:rPr>
            </w:pPr>
            <w:r>
              <w:rPr>
                <w:rFonts w:ascii="Times New Roman" w:hAnsi="Times New Roman"/>
              </w:rPr>
              <w:t>（万元）</w:t>
            </w:r>
          </w:p>
        </w:tc>
        <w:tc>
          <w:tcPr>
            <w:tcW w:w="1507" w:type="pct"/>
            <w:tcBorders>
              <w:top w:val="nil"/>
              <w:left w:val="nil"/>
              <w:bottom w:val="single" w:color="auto" w:sz="4" w:space="0"/>
              <w:right w:val="single" w:color="auto" w:sz="4" w:space="0"/>
            </w:tcBorders>
            <w:vAlign w:val="center"/>
          </w:tcPr>
          <w:p w14:paraId="451CFDDD">
            <w:pPr>
              <w:pStyle w:val="72"/>
              <w:rPr>
                <w:rFonts w:ascii="Times New Roman" w:hAnsi="Times New Roman"/>
              </w:rPr>
            </w:pPr>
            <w:r>
              <w:rPr>
                <w:rFonts w:ascii="Times New Roman" w:hAnsi="Times New Roman"/>
              </w:rPr>
              <w:t>（万元）</w:t>
            </w:r>
          </w:p>
        </w:tc>
        <w:tc>
          <w:tcPr>
            <w:tcW w:w="902" w:type="pct"/>
            <w:tcBorders>
              <w:top w:val="nil"/>
              <w:left w:val="nil"/>
              <w:bottom w:val="single" w:color="auto" w:sz="4" w:space="0"/>
              <w:right w:val="single" w:color="auto" w:sz="4" w:space="0"/>
            </w:tcBorders>
            <w:vAlign w:val="center"/>
          </w:tcPr>
          <w:p w14:paraId="0443EDF1">
            <w:pPr>
              <w:pStyle w:val="72"/>
              <w:rPr>
                <w:rFonts w:ascii="Times New Roman" w:hAnsi="Times New Roman"/>
              </w:rPr>
            </w:pPr>
            <w:r>
              <w:rPr>
                <w:rFonts w:ascii="Times New Roman" w:hAnsi="Times New Roman"/>
              </w:rPr>
              <w:t>（万元）</w:t>
            </w:r>
          </w:p>
        </w:tc>
        <w:tc>
          <w:tcPr>
            <w:tcW w:w="901" w:type="pct"/>
            <w:tcBorders>
              <w:top w:val="nil"/>
              <w:left w:val="nil"/>
              <w:bottom w:val="single" w:color="auto" w:sz="4" w:space="0"/>
              <w:right w:val="single" w:color="auto" w:sz="4" w:space="0"/>
            </w:tcBorders>
            <w:vAlign w:val="center"/>
          </w:tcPr>
          <w:p w14:paraId="3D0BE42F">
            <w:pPr>
              <w:pStyle w:val="72"/>
              <w:rPr>
                <w:rFonts w:ascii="Times New Roman" w:hAnsi="Times New Roman"/>
              </w:rPr>
            </w:pPr>
            <w:r>
              <w:rPr>
                <w:rFonts w:ascii="Times New Roman" w:hAnsi="Times New Roman"/>
              </w:rPr>
              <w:t>(1.05</w:t>
            </w:r>
            <w:r>
              <w:rPr>
                <w:rFonts w:ascii="Times New Roman" w:hAnsi="Times New Roman"/>
                <w:vertAlign w:val="superscript"/>
              </w:rPr>
              <w:t>n-1)</w:t>
            </w:r>
          </w:p>
        </w:tc>
      </w:tr>
      <w:tr w14:paraId="4CDBD8FA">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34BB33E6">
            <w:pPr>
              <w:pStyle w:val="72"/>
              <w:rPr>
                <w:rFonts w:ascii="Times New Roman" w:hAnsi="Times New Roman"/>
              </w:rPr>
            </w:pPr>
            <w:r>
              <w:rPr>
                <w:rFonts w:ascii="Times New Roman" w:hAnsi="Times New Roman"/>
                <w:color w:val="000000"/>
                <w:szCs w:val="21"/>
              </w:rPr>
              <w:t>2026</w:t>
            </w:r>
          </w:p>
        </w:tc>
        <w:tc>
          <w:tcPr>
            <w:tcW w:w="2245" w:type="dxa"/>
            <w:tcBorders>
              <w:top w:val="nil"/>
              <w:left w:val="nil"/>
              <w:bottom w:val="single" w:color="auto" w:sz="4" w:space="0"/>
              <w:right w:val="single" w:color="auto" w:sz="4" w:space="0"/>
            </w:tcBorders>
            <w:noWrap/>
            <w:vAlign w:val="center"/>
          </w:tcPr>
          <w:p w14:paraId="0CC2D5ED">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8.44</w:t>
            </w:r>
          </w:p>
        </w:tc>
        <w:tc>
          <w:tcPr>
            <w:tcW w:w="2886" w:type="dxa"/>
            <w:tcBorders>
              <w:top w:val="nil"/>
              <w:left w:val="nil"/>
              <w:bottom w:val="single" w:color="auto" w:sz="4" w:space="0"/>
              <w:right w:val="single" w:color="auto" w:sz="4" w:space="0"/>
            </w:tcBorders>
            <w:noWrap/>
            <w:vAlign w:val="center"/>
          </w:tcPr>
          <w:p w14:paraId="299590A2">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0.00 </w:t>
            </w:r>
          </w:p>
        </w:tc>
        <w:tc>
          <w:tcPr>
            <w:tcW w:w="1728" w:type="dxa"/>
            <w:tcBorders>
              <w:top w:val="nil"/>
              <w:left w:val="nil"/>
              <w:bottom w:val="single" w:color="auto" w:sz="4" w:space="0"/>
              <w:right w:val="single" w:color="auto" w:sz="4" w:space="0"/>
            </w:tcBorders>
            <w:noWrap/>
            <w:vAlign w:val="center"/>
          </w:tcPr>
          <w:p w14:paraId="69DA5EC8">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8.44 </w:t>
            </w:r>
          </w:p>
        </w:tc>
        <w:tc>
          <w:tcPr>
            <w:tcW w:w="1726" w:type="dxa"/>
            <w:tcBorders>
              <w:top w:val="nil"/>
              <w:left w:val="nil"/>
              <w:bottom w:val="single" w:color="auto" w:sz="4" w:space="0"/>
              <w:right w:val="single" w:color="auto" w:sz="4" w:space="0"/>
            </w:tcBorders>
            <w:noWrap/>
            <w:vAlign w:val="center"/>
          </w:tcPr>
          <w:p w14:paraId="797306E1">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0</w:t>
            </w:r>
          </w:p>
        </w:tc>
      </w:tr>
      <w:tr w14:paraId="3E1BF7DF">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291FD6BF">
            <w:pPr>
              <w:pStyle w:val="72"/>
              <w:rPr>
                <w:rFonts w:ascii="Times New Roman" w:hAnsi="Times New Roman"/>
              </w:rPr>
            </w:pPr>
            <w:r>
              <w:rPr>
                <w:rFonts w:ascii="Times New Roman" w:hAnsi="Times New Roman"/>
                <w:color w:val="000000"/>
                <w:szCs w:val="21"/>
              </w:rPr>
              <w:t>2027</w:t>
            </w:r>
          </w:p>
        </w:tc>
        <w:tc>
          <w:tcPr>
            <w:tcW w:w="2245" w:type="dxa"/>
            <w:tcBorders>
              <w:top w:val="nil"/>
              <w:left w:val="nil"/>
              <w:bottom w:val="single" w:color="auto" w:sz="4" w:space="0"/>
              <w:right w:val="single" w:color="auto" w:sz="4" w:space="0"/>
            </w:tcBorders>
            <w:noWrap/>
            <w:vAlign w:val="center"/>
          </w:tcPr>
          <w:p w14:paraId="457E34C1">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1.08</w:t>
            </w:r>
          </w:p>
        </w:tc>
        <w:tc>
          <w:tcPr>
            <w:tcW w:w="2886" w:type="dxa"/>
            <w:tcBorders>
              <w:top w:val="nil"/>
              <w:left w:val="nil"/>
              <w:bottom w:val="single" w:color="auto" w:sz="4" w:space="0"/>
              <w:right w:val="single" w:color="auto" w:sz="4" w:space="0"/>
            </w:tcBorders>
            <w:noWrap/>
            <w:vAlign w:val="center"/>
          </w:tcPr>
          <w:p w14:paraId="15BAA203">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0.05 </w:t>
            </w:r>
          </w:p>
        </w:tc>
        <w:tc>
          <w:tcPr>
            <w:tcW w:w="1728" w:type="dxa"/>
            <w:tcBorders>
              <w:top w:val="nil"/>
              <w:left w:val="nil"/>
              <w:bottom w:val="single" w:color="auto" w:sz="4" w:space="0"/>
              <w:right w:val="single" w:color="auto" w:sz="4" w:space="0"/>
            </w:tcBorders>
            <w:noWrap/>
            <w:vAlign w:val="center"/>
          </w:tcPr>
          <w:p w14:paraId="33E61506">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1.13 </w:t>
            </w:r>
          </w:p>
        </w:tc>
        <w:tc>
          <w:tcPr>
            <w:tcW w:w="1726" w:type="dxa"/>
            <w:tcBorders>
              <w:top w:val="nil"/>
              <w:left w:val="nil"/>
              <w:bottom w:val="single" w:color="auto" w:sz="4" w:space="0"/>
              <w:right w:val="single" w:color="auto" w:sz="4" w:space="0"/>
            </w:tcBorders>
            <w:noWrap/>
            <w:vAlign w:val="center"/>
          </w:tcPr>
          <w:p w14:paraId="1CC1490B">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0.05</w:t>
            </w:r>
          </w:p>
        </w:tc>
      </w:tr>
      <w:tr w14:paraId="5EA5866C">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52010DC9">
            <w:pPr>
              <w:pStyle w:val="72"/>
              <w:rPr>
                <w:rFonts w:ascii="Times New Roman" w:hAnsi="Times New Roman"/>
              </w:rPr>
            </w:pPr>
            <w:r>
              <w:rPr>
                <w:rFonts w:ascii="Times New Roman" w:hAnsi="Times New Roman"/>
                <w:color w:val="000000"/>
                <w:szCs w:val="21"/>
              </w:rPr>
              <w:t>2028</w:t>
            </w:r>
          </w:p>
        </w:tc>
        <w:tc>
          <w:tcPr>
            <w:tcW w:w="2245" w:type="dxa"/>
            <w:tcBorders>
              <w:top w:val="nil"/>
              <w:left w:val="nil"/>
              <w:bottom w:val="single" w:color="auto" w:sz="4" w:space="0"/>
              <w:right w:val="single" w:color="auto" w:sz="4" w:space="0"/>
            </w:tcBorders>
            <w:noWrap/>
            <w:vAlign w:val="center"/>
          </w:tcPr>
          <w:p w14:paraId="0D7AC7D1">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1.08</w:t>
            </w:r>
          </w:p>
        </w:tc>
        <w:tc>
          <w:tcPr>
            <w:tcW w:w="2886" w:type="dxa"/>
            <w:tcBorders>
              <w:top w:val="nil"/>
              <w:left w:val="nil"/>
              <w:bottom w:val="single" w:color="auto" w:sz="4" w:space="0"/>
              <w:right w:val="single" w:color="auto" w:sz="4" w:space="0"/>
            </w:tcBorders>
            <w:noWrap/>
            <w:vAlign w:val="center"/>
          </w:tcPr>
          <w:p w14:paraId="3A5050B4">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0.11 </w:t>
            </w:r>
          </w:p>
        </w:tc>
        <w:tc>
          <w:tcPr>
            <w:tcW w:w="1728" w:type="dxa"/>
            <w:tcBorders>
              <w:top w:val="nil"/>
              <w:left w:val="nil"/>
              <w:bottom w:val="single" w:color="auto" w:sz="4" w:space="0"/>
              <w:right w:val="single" w:color="auto" w:sz="4" w:space="0"/>
            </w:tcBorders>
            <w:noWrap/>
            <w:vAlign w:val="center"/>
          </w:tcPr>
          <w:p w14:paraId="3634D093">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1.19 </w:t>
            </w:r>
          </w:p>
        </w:tc>
        <w:tc>
          <w:tcPr>
            <w:tcW w:w="1726" w:type="dxa"/>
            <w:tcBorders>
              <w:top w:val="nil"/>
              <w:left w:val="nil"/>
              <w:bottom w:val="single" w:color="auto" w:sz="4" w:space="0"/>
              <w:right w:val="single" w:color="auto" w:sz="4" w:space="0"/>
            </w:tcBorders>
            <w:noWrap/>
            <w:vAlign w:val="center"/>
          </w:tcPr>
          <w:p w14:paraId="2332604F">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0.1</w:t>
            </w:r>
          </w:p>
        </w:tc>
      </w:tr>
      <w:tr w14:paraId="172EF0E0">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0F22C144">
            <w:pPr>
              <w:pStyle w:val="72"/>
              <w:rPr>
                <w:rFonts w:ascii="Times New Roman" w:hAnsi="Times New Roman"/>
              </w:rPr>
            </w:pPr>
            <w:r>
              <w:rPr>
                <w:rFonts w:ascii="Times New Roman" w:hAnsi="Times New Roman"/>
                <w:color w:val="000000"/>
                <w:szCs w:val="21"/>
              </w:rPr>
              <w:t>2029</w:t>
            </w:r>
          </w:p>
        </w:tc>
        <w:tc>
          <w:tcPr>
            <w:tcW w:w="2245" w:type="dxa"/>
            <w:tcBorders>
              <w:top w:val="nil"/>
              <w:left w:val="nil"/>
              <w:bottom w:val="single" w:color="auto" w:sz="4" w:space="0"/>
              <w:right w:val="single" w:color="auto" w:sz="4" w:space="0"/>
            </w:tcBorders>
            <w:noWrap/>
            <w:vAlign w:val="center"/>
          </w:tcPr>
          <w:p w14:paraId="435D13FC">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1.08</w:t>
            </w:r>
          </w:p>
        </w:tc>
        <w:tc>
          <w:tcPr>
            <w:tcW w:w="2886" w:type="dxa"/>
            <w:tcBorders>
              <w:top w:val="nil"/>
              <w:left w:val="nil"/>
              <w:bottom w:val="single" w:color="auto" w:sz="4" w:space="0"/>
              <w:right w:val="single" w:color="auto" w:sz="4" w:space="0"/>
            </w:tcBorders>
            <w:noWrap/>
            <w:vAlign w:val="center"/>
          </w:tcPr>
          <w:p w14:paraId="64D492EC">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0.17 </w:t>
            </w:r>
          </w:p>
        </w:tc>
        <w:tc>
          <w:tcPr>
            <w:tcW w:w="1728" w:type="dxa"/>
            <w:tcBorders>
              <w:top w:val="nil"/>
              <w:left w:val="nil"/>
              <w:bottom w:val="single" w:color="auto" w:sz="4" w:space="0"/>
              <w:right w:val="single" w:color="auto" w:sz="4" w:space="0"/>
            </w:tcBorders>
            <w:noWrap/>
            <w:vAlign w:val="center"/>
          </w:tcPr>
          <w:p w14:paraId="4A15428C">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1.25 </w:t>
            </w:r>
          </w:p>
        </w:tc>
        <w:tc>
          <w:tcPr>
            <w:tcW w:w="1726" w:type="dxa"/>
            <w:tcBorders>
              <w:top w:val="nil"/>
              <w:left w:val="nil"/>
              <w:bottom w:val="single" w:color="auto" w:sz="4" w:space="0"/>
              <w:right w:val="single" w:color="auto" w:sz="4" w:space="0"/>
            </w:tcBorders>
            <w:noWrap/>
            <w:vAlign w:val="center"/>
          </w:tcPr>
          <w:p w14:paraId="2CA6D465">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0.16</w:t>
            </w:r>
          </w:p>
        </w:tc>
      </w:tr>
      <w:tr w14:paraId="4A8FB53F">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7EDB6E1B">
            <w:pPr>
              <w:pStyle w:val="72"/>
              <w:rPr>
                <w:rFonts w:ascii="Times New Roman" w:hAnsi="Times New Roman"/>
              </w:rPr>
            </w:pPr>
            <w:r>
              <w:rPr>
                <w:rFonts w:ascii="Times New Roman" w:hAnsi="Times New Roman"/>
                <w:color w:val="000000"/>
                <w:szCs w:val="21"/>
              </w:rPr>
              <w:t>2030</w:t>
            </w:r>
          </w:p>
        </w:tc>
        <w:tc>
          <w:tcPr>
            <w:tcW w:w="2245" w:type="dxa"/>
            <w:tcBorders>
              <w:top w:val="nil"/>
              <w:left w:val="nil"/>
              <w:bottom w:val="single" w:color="auto" w:sz="4" w:space="0"/>
              <w:right w:val="single" w:color="auto" w:sz="4" w:space="0"/>
            </w:tcBorders>
            <w:noWrap/>
            <w:vAlign w:val="center"/>
          </w:tcPr>
          <w:p w14:paraId="431BEC82">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10</w:t>
            </w:r>
          </w:p>
        </w:tc>
        <w:tc>
          <w:tcPr>
            <w:tcW w:w="2886" w:type="dxa"/>
            <w:tcBorders>
              <w:top w:val="nil"/>
              <w:left w:val="nil"/>
              <w:bottom w:val="single" w:color="auto" w:sz="4" w:space="0"/>
              <w:right w:val="single" w:color="auto" w:sz="4" w:space="0"/>
            </w:tcBorders>
            <w:noWrap/>
            <w:vAlign w:val="center"/>
          </w:tcPr>
          <w:p w14:paraId="214D03E1">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2.20 </w:t>
            </w:r>
          </w:p>
        </w:tc>
        <w:tc>
          <w:tcPr>
            <w:tcW w:w="1728" w:type="dxa"/>
            <w:tcBorders>
              <w:top w:val="nil"/>
              <w:left w:val="nil"/>
              <w:bottom w:val="single" w:color="auto" w:sz="4" w:space="0"/>
              <w:right w:val="single" w:color="auto" w:sz="4" w:space="0"/>
            </w:tcBorders>
            <w:noWrap/>
            <w:vAlign w:val="center"/>
          </w:tcPr>
          <w:p w14:paraId="229AA19C">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12.20 </w:t>
            </w:r>
          </w:p>
        </w:tc>
        <w:tc>
          <w:tcPr>
            <w:tcW w:w="1726" w:type="dxa"/>
            <w:tcBorders>
              <w:top w:val="nil"/>
              <w:left w:val="nil"/>
              <w:bottom w:val="single" w:color="auto" w:sz="4" w:space="0"/>
              <w:right w:val="single" w:color="auto" w:sz="4" w:space="0"/>
            </w:tcBorders>
            <w:noWrap/>
            <w:vAlign w:val="center"/>
          </w:tcPr>
          <w:p w14:paraId="2136B378">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0.22</w:t>
            </w:r>
          </w:p>
        </w:tc>
      </w:tr>
      <w:tr w14:paraId="4B869832">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062903A3">
            <w:pPr>
              <w:pStyle w:val="72"/>
              <w:rPr>
                <w:rFonts w:ascii="Times New Roman" w:hAnsi="Times New Roman"/>
              </w:rPr>
            </w:pPr>
            <w:r>
              <w:rPr>
                <w:rFonts w:ascii="Times New Roman" w:hAnsi="Times New Roman"/>
                <w:color w:val="000000"/>
                <w:szCs w:val="21"/>
              </w:rPr>
              <w:t>2031</w:t>
            </w:r>
          </w:p>
        </w:tc>
        <w:tc>
          <w:tcPr>
            <w:tcW w:w="2245" w:type="dxa"/>
            <w:tcBorders>
              <w:top w:val="nil"/>
              <w:left w:val="nil"/>
              <w:bottom w:val="single" w:color="auto" w:sz="4" w:space="0"/>
              <w:right w:val="single" w:color="auto" w:sz="4" w:space="0"/>
            </w:tcBorders>
            <w:noWrap/>
            <w:vAlign w:val="center"/>
          </w:tcPr>
          <w:p w14:paraId="6E7D3E35">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10</w:t>
            </w:r>
          </w:p>
        </w:tc>
        <w:tc>
          <w:tcPr>
            <w:tcW w:w="2886" w:type="dxa"/>
            <w:tcBorders>
              <w:top w:val="nil"/>
              <w:left w:val="nil"/>
              <w:bottom w:val="single" w:color="auto" w:sz="4" w:space="0"/>
              <w:right w:val="single" w:color="auto" w:sz="4" w:space="0"/>
            </w:tcBorders>
            <w:noWrap/>
            <w:vAlign w:val="center"/>
          </w:tcPr>
          <w:p w14:paraId="55C867B8">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2.80 </w:t>
            </w:r>
          </w:p>
        </w:tc>
        <w:tc>
          <w:tcPr>
            <w:tcW w:w="1728" w:type="dxa"/>
            <w:tcBorders>
              <w:top w:val="nil"/>
              <w:left w:val="nil"/>
              <w:bottom w:val="single" w:color="auto" w:sz="4" w:space="0"/>
              <w:right w:val="single" w:color="auto" w:sz="4" w:space="0"/>
            </w:tcBorders>
            <w:noWrap/>
            <w:vAlign w:val="center"/>
          </w:tcPr>
          <w:p w14:paraId="043FF06A">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12.80 </w:t>
            </w:r>
          </w:p>
        </w:tc>
        <w:tc>
          <w:tcPr>
            <w:tcW w:w="1726" w:type="dxa"/>
            <w:tcBorders>
              <w:top w:val="nil"/>
              <w:left w:val="nil"/>
              <w:bottom w:val="single" w:color="auto" w:sz="4" w:space="0"/>
              <w:right w:val="single" w:color="auto" w:sz="4" w:space="0"/>
            </w:tcBorders>
            <w:noWrap/>
            <w:vAlign w:val="center"/>
          </w:tcPr>
          <w:p w14:paraId="23F6BB92">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0.28</w:t>
            </w:r>
          </w:p>
        </w:tc>
      </w:tr>
      <w:tr w14:paraId="1D31EE93">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735F9ADB">
            <w:pPr>
              <w:pStyle w:val="72"/>
              <w:rPr>
                <w:rFonts w:ascii="Times New Roman" w:hAnsi="Times New Roman"/>
                <w:color w:val="000000"/>
                <w:szCs w:val="21"/>
              </w:rPr>
            </w:pPr>
            <w:r>
              <w:rPr>
                <w:rFonts w:ascii="Times New Roman" w:hAnsi="Times New Roman"/>
                <w:color w:val="000000"/>
                <w:szCs w:val="21"/>
              </w:rPr>
              <w:t>2032</w:t>
            </w:r>
          </w:p>
        </w:tc>
        <w:tc>
          <w:tcPr>
            <w:tcW w:w="2245" w:type="dxa"/>
            <w:tcBorders>
              <w:top w:val="nil"/>
              <w:left w:val="nil"/>
              <w:bottom w:val="single" w:color="auto" w:sz="4" w:space="0"/>
              <w:right w:val="single" w:color="auto" w:sz="4" w:space="0"/>
            </w:tcBorders>
            <w:noWrap/>
            <w:vAlign w:val="center"/>
          </w:tcPr>
          <w:p w14:paraId="35C4CA5B">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15</w:t>
            </w:r>
          </w:p>
        </w:tc>
        <w:tc>
          <w:tcPr>
            <w:tcW w:w="2886" w:type="dxa"/>
            <w:tcBorders>
              <w:top w:val="nil"/>
              <w:left w:val="nil"/>
              <w:bottom w:val="single" w:color="auto" w:sz="4" w:space="0"/>
              <w:right w:val="single" w:color="auto" w:sz="4" w:space="0"/>
            </w:tcBorders>
            <w:noWrap/>
            <w:vAlign w:val="center"/>
          </w:tcPr>
          <w:p w14:paraId="5993D634">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5.10 </w:t>
            </w:r>
          </w:p>
        </w:tc>
        <w:tc>
          <w:tcPr>
            <w:tcW w:w="1728" w:type="dxa"/>
            <w:tcBorders>
              <w:top w:val="nil"/>
              <w:left w:val="nil"/>
              <w:bottom w:val="single" w:color="auto" w:sz="4" w:space="0"/>
              <w:right w:val="single" w:color="auto" w:sz="4" w:space="0"/>
            </w:tcBorders>
            <w:noWrap/>
            <w:vAlign w:val="center"/>
          </w:tcPr>
          <w:p w14:paraId="178D7E3B">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20.10 </w:t>
            </w:r>
          </w:p>
        </w:tc>
        <w:tc>
          <w:tcPr>
            <w:tcW w:w="1726" w:type="dxa"/>
            <w:tcBorders>
              <w:top w:val="nil"/>
              <w:left w:val="nil"/>
              <w:bottom w:val="single" w:color="auto" w:sz="4" w:space="0"/>
              <w:right w:val="single" w:color="auto" w:sz="4" w:space="0"/>
            </w:tcBorders>
            <w:noWrap/>
            <w:vAlign w:val="center"/>
          </w:tcPr>
          <w:p w14:paraId="2A306225">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0.34</w:t>
            </w:r>
          </w:p>
        </w:tc>
      </w:tr>
      <w:tr w14:paraId="7F0A8594">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291B2EB9">
            <w:pPr>
              <w:pStyle w:val="72"/>
              <w:rPr>
                <w:rFonts w:hint="default" w:ascii="Times New Roman" w:hAnsi="Times New Roman" w:eastAsia="仿宋"/>
                <w:color w:val="000000"/>
                <w:szCs w:val="21"/>
                <w:lang w:val="en-US" w:eastAsia="zh-CN"/>
              </w:rPr>
            </w:pPr>
            <w:r>
              <w:rPr>
                <w:rFonts w:hint="eastAsia" w:ascii="Times New Roman" w:hAnsi="Times New Roman"/>
                <w:color w:val="000000"/>
                <w:szCs w:val="21"/>
                <w:lang w:val="en-US" w:eastAsia="zh-CN"/>
              </w:rPr>
              <w:t>2033</w:t>
            </w:r>
          </w:p>
        </w:tc>
        <w:tc>
          <w:tcPr>
            <w:tcW w:w="2245" w:type="dxa"/>
            <w:tcBorders>
              <w:top w:val="nil"/>
              <w:left w:val="nil"/>
              <w:bottom w:val="single" w:color="auto" w:sz="4" w:space="0"/>
              <w:right w:val="single" w:color="auto" w:sz="4" w:space="0"/>
            </w:tcBorders>
            <w:noWrap/>
            <w:vAlign w:val="center"/>
          </w:tcPr>
          <w:p w14:paraId="6479BFAB">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23</w:t>
            </w:r>
          </w:p>
        </w:tc>
        <w:tc>
          <w:tcPr>
            <w:tcW w:w="2886" w:type="dxa"/>
            <w:tcBorders>
              <w:top w:val="nil"/>
              <w:left w:val="nil"/>
              <w:bottom w:val="single" w:color="auto" w:sz="4" w:space="0"/>
              <w:right w:val="single" w:color="auto" w:sz="4" w:space="0"/>
            </w:tcBorders>
            <w:noWrap/>
            <w:vAlign w:val="center"/>
          </w:tcPr>
          <w:p w14:paraId="039182B1">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9.43 </w:t>
            </w:r>
          </w:p>
        </w:tc>
        <w:tc>
          <w:tcPr>
            <w:tcW w:w="1728" w:type="dxa"/>
            <w:tcBorders>
              <w:top w:val="nil"/>
              <w:left w:val="nil"/>
              <w:bottom w:val="single" w:color="auto" w:sz="4" w:space="0"/>
              <w:right w:val="single" w:color="auto" w:sz="4" w:space="0"/>
            </w:tcBorders>
            <w:noWrap/>
            <w:vAlign w:val="center"/>
          </w:tcPr>
          <w:p w14:paraId="5A1BE8BA">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32.43 </w:t>
            </w:r>
          </w:p>
        </w:tc>
        <w:tc>
          <w:tcPr>
            <w:tcW w:w="1726" w:type="dxa"/>
            <w:tcBorders>
              <w:top w:val="nil"/>
              <w:left w:val="nil"/>
              <w:bottom w:val="single" w:color="auto" w:sz="4" w:space="0"/>
              <w:right w:val="single" w:color="auto" w:sz="4" w:space="0"/>
            </w:tcBorders>
            <w:noWrap/>
            <w:vAlign w:val="center"/>
          </w:tcPr>
          <w:p w14:paraId="048728CF">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0.41</w:t>
            </w:r>
          </w:p>
        </w:tc>
      </w:tr>
      <w:tr w14:paraId="526F5394">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716CFDC2">
            <w:pPr>
              <w:pStyle w:val="72"/>
              <w:rPr>
                <w:rFonts w:hint="default" w:ascii="Times New Roman" w:hAnsi="Times New Roman" w:eastAsia="仿宋"/>
                <w:color w:val="000000"/>
                <w:szCs w:val="21"/>
                <w:lang w:val="en-US" w:eastAsia="zh-CN"/>
              </w:rPr>
            </w:pPr>
            <w:r>
              <w:rPr>
                <w:rFonts w:hint="eastAsia" w:ascii="Times New Roman" w:hAnsi="Times New Roman"/>
                <w:color w:val="000000"/>
                <w:szCs w:val="21"/>
                <w:lang w:val="en-US" w:eastAsia="zh-CN"/>
              </w:rPr>
              <w:t>2034</w:t>
            </w:r>
          </w:p>
        </w:tc>
        <w:tc>
          <w:tcPr>
            <w:tcW w:w="2245" w:type="dxa"/>
            <w:tcBorders>
              <w:top w:val="nil"/>
              <w:left w:val="nil"/>
              <w:bottom w:val="single" w:color="auto" w:sz="4" w:space="0"/>
              <w:right w:val="single" w:color="auto" w:sz="4" w:space="0"/>
            </w:tcBorders>
            <w:noWrap/>
            <w:vAlign w:val="center"/>
          </w:tcPr>
          <w:p w14:paraId="495F1826">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29</w:t>
            </w:r>
          </w:p>
        </w:tc>
        <w:tc>
          <w:tcPr>
            <w:tcW w:w="2886" w:type="dxa"/>
            <w:tcBorders>
              <w:top w:val="nil"/>
              <w:left w:val="nil"/>
              <w:bottom w:val="single" w:color="auto" w:sz="4" w:space="0"/>
              <w:right w:val="single" w:color="auto" w:sz="4" w:space="0"/>
            </w:tcBorders>
            <w:noWrap/>
            <w:vAlign w:val="center"/>
          </w:tcPr>
          <w:p w14:paraId="253E477A">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13.92 </w:t>
            </w:r>
          </w:p>
        </w:tc>
        <w:tc>
          <w:tcPr>
            <w:tcW w:w="1728" w:type="dxa"/>
            <w:tcBorders>
              <w:top w:val="nil"/>
              <w:left w:val="nil"/>
              <w:bottom w:val="single" w:color="auto" w:sz="4" w:space="0"/>
              <w:right w:val="single" w:color="auto" w:sz="4" w:space="0"/>
            </w:tcBorders>
            <w:noWrap/>
            <w:vAlign w:val="center"/>
          </w:tcPr>
          <w:p w14:paraId="296A73A6">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42.92 </w:t>
            </w:r>
          </w:p>
        </w:tc>
        <w:tc>
          <w:tcPr>
            <w:tcW w:w="1726" w:type="dxa"/>
            <w:tcBorders>
              <w:top w:val="nil"/>
              <w:left w:val="nil"/>
              <w:bottom w:val="single" w:color="auto" w:sz="4" w:space="0"/>
              <w:right w:val="single" w:color="auto" w:sz="4" w:space="0"/>
            </w:tcBorders>
            <w:noWrap/>
            <w:vAlign w:val="center"/>
          </w:tcPr>
          <w:p w14:paraId="29733F4A">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0.48</w:t>
            </w:r>
          </w:p>
        </w:tc>
      </w:tr>
      <w:tr w14:paraId="0EB04C51">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36816CB4">
            <w:pPr>
              <w:pStyle w:val="72"/>
              <w:rPr>
                <w:rFonts w:hint="default" w:ascii="Times New Roman" w:hAnsi="Times New Roman" w:eastAsia="仿宋"/>
                <w:color w:val="000000"/>
                <w:szCs w:val="21"/>
                <w:lang w:val="en-US" w:eastAsia="zh-CN"/>
              </w:rPr>
            </w:pPr>
            <w:r>
              <w:rPr>
                <w:rFonts w:hint="eastAsia" w:ascii="Times New Roman" w:hAnsi="Times New Roman"/>
                <w:color w:val="000000"/>
                <w:szCs w:val="21"/>
                <w:lang w:val="en-US" w:eastAsia="zh-CN"/>
              </w:rPr>
              <w:t>2035</w:t>
            </w:r>
          </w:p>
        </w:tc>
        <w:tc>
          <w:tcPr>
            <w:tcW w:w="2245" w:type="dxa"/>
            <w:tcBorders>
              <w:top w:val="nil"/>
              <w:left w:val="nil"/>
              <w:bottom w:val="single" w:color="auto" w:sz="4" w:space="0"/>
              <w:right w:val="single" w:color="auto" w:sz="4" w:space="0"/>
            </w:tcBorders>
            <w:noWrap/>
            <w:vAlign w:val="center"/>
          </w:tcPr>
          <w:p w14:paraId="59CAC3FC">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10</w:t>
            </w:r>
          </w:p>
        </w:tc>
        <w:tc>
          <w:tcPr>
            <w:tcW w:w="2886" w:type="dxa"/>
            <w:tcBorders>
              <w:top w:val="nil"/>
              <w:left w:val="nil"/>
              <w:bottom w:val="single" w:color="auto" w:sz="4" w:space="0"/>
              <w:right w:val="single" w:color="auto" w:sz="4" w:space="0"/>
            </w:tcBorders>
            <w:noWrap/>
            <w:vAlign w:val="center"/>
          </w:tcPr>
          <w:p w14:paraId="3321CF7C">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5.50 </w:t>
            </w:r>
          </w:p>
        </w:tc>
        <w:tc>
          <w:tcPr>
            <w:tcW w:w="1728" w:type="dxa"/>
            <w:tcBorders>
              <w:top w:val="nil"/>
              <w:left w:val="nil"/>
              <w:bottom w:val="single" w:color="auto" w:sz="4" w:space="0"/>
              <w:right w:val="single" w:color="auto" w:sz="4" w:space="0"/>
            </w:tcBorders>
            <w:noWrap/>
            <w:vAlign w:val="center"/>
          </w:tcPr>
          <w:p w14:paraId="6AA2CFC7">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15.50 </w:t>
            </w:r>
          </w:p>
        </w:tc>
        <w:tc>
          <w:tcPr>
            <w:tcW w:w="1726" w:type="dxa"/>
            <w:tcBorders>
              <w:top w:val="nil"/>
              <w:left w:val="nil"/>
              <w:bottom w:val="single" w:color="auto" w:sz="4" w:space="0"/>
              <w:right w:val="single" w:color="auto" w:sz="4" w:space="0"/>
            </w:tcBorders>
            <w:noWrap/>
            <w:vAlign w:val="center"/>
          </w:tcPr>
          <w:p w14:paraId="4F6A76DC">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0.55</w:t>
            </w:r>
          </w:p>
        </w:tc>
      </w:tr>
      <w:tr w14:paraId="02EEACD6">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57D65BB6">
            <w:pPr>
              <w:pStyle w:val="72"/>
              <w:rPr>
                <w:rFonts w:hint="default" w:ascii="Times New Roman" w:hAnsi="Times New Roman" w:eastAsia="仿宋"/>
                <w:color w:val="000000"/>
                <w:szCs w:val="21"/>
                <w:lang w:val="en-US" w:eastAsia="zh-CN"/>
              </w:rPr>
            </w:pPr>
            <w:r>
              <w:rPr>
                <w:rFonts w:hint="eastAsia" w:ascii="Times New Roman" w:hAnsi="Times New Roman"/>
                <w:color w:val="000000"/>
                <w:szCs w:val="21"/>
                <w:lang w:val="en-US" w:eastAsia="zh-CN"/>
              </w:rPr>
              <w:t>2036</w:t>
            </w:r>
          </w:p>
        </w:tc>
        <w:tc>
          <w:tcPr>
            <w:tcW w:w="2245" w:type="dxa"/>
            <w:tcBorders>
              <w:top w:val="nil"/>
              <w:left w:val="nil"/>
              <w:bottom w:val="single" w:color="auto" w:sz="4" w:space="0"/>
              <w:right w:val="single" w:color="auto" w:sz="4" w:space="0"/>
            </w:tcBorders>
            <w:noWrap/>
            <w:vAlign w:val="center"/>
          </w:tcPr>
          <w:p w14:paraId="1DFBB5F6">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2.2</w:t>
            </w:r>
          </w:p>
        </w:tc>
        <w:tc>
          <w:tcPr>
            <w:tcW w:w="2886" w:type="dxa"/>
            <w:tcBorders>
              <w:top w:val="nil"/>
              <w:left w:val="nil"/>
              <w:bottom w:val="single" w:color="auto" w:sz="4" w:space="0"/>
              <w:right w:val="single" w:color="auto" w:sz="4" w:space="0"/>
            </w:tcBorders>
            <w:noWrap/>
            <w:vAlign w:val="center"/>
          </w:tcPr>
          <w:p w14:paraId="77261D0B">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1.39 </w:t>
            </w:r>
          </w:p>
        </w:tc>
        <w:tc>
          <w:tcPr>
            <w:tcW w:w="1728" w:type="dxa"/>
            <w:tcBorders>
              <w:top w:val="nil"/>
              <w:left w:val="nil"/>
              <w:bottom w:val="single" w:color="auto" w:sz="4" w:space="0"/>
              <w:right w:val="single" w:color="auto" w:sz="4" w:space="0"/>
            </w:tcBorders>
            <w:noWrap/>
            <w:vAlign w:val="center"/>
          </w:tcPr>
          <w:p w14:paraId="0289CB5F">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3.59 </w:t>
            </w:r>
          </w:p>
        </w:tc>
        <w:tc>
          <w:tcPr>
            <w:tcW w:w="1726" w:type="dxa"/>
            <w:tcBorders>
              <w:top w:val="nil"/>
              <w:left w:val="nil"/>
              <w:bottom w:val="single" w:color="auto" w:sz="4" w:space="0"/>
              <w:right w:val="single" w:color="auto" w:sz="4" w:space="0"/>
            </w:tcBorders>
            <w:noWrap/>
            <w:vAlign w:val="center"/>
          </w:tcPr>
          <w:p w14:paraId="540263AD">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0.63</w:t>
            </w:r>
          </w:p>
        </w:tc>
      </w:tr>
      <w:tr w14:paraId="2E37B4F5">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0966AE6A">
            <w:pPr>
              <w:pStyle w:val="72"/>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2037</w:t>
            </w:r>
          </w:p>
        </w:tc>
        <w:tc>
          <w:tcPr>
            <w:tcW w:w="2245" w:type="dxa"/>
            <w:tcBorders>
              <w:top w:val="nil"/>
              <w:left w:val="nil"/>
              <w:bottom w:val="single" w:color="auto" w:sz="4" w:space="0"/>
              <w:right w:val="single" w:color="auto" w:sz="4" w:space="0"/>
            </w:tcBorders>
            <w:noWrap/>
            <w:vAlign w:val="center"/>
          </w:tcPr>
          <w:p w14:paraId="43B64857">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2.2</w:t>
            </w:r>
          </w:p>
        </w:tc>
        <w:tc>
          <w:tcPr>
            <w:tcW w:w="2886" w:type="dxa"/>
            <w:tcBorders>
              <w:top w:val="nil"/>
              <w:left w:val="nil"/>
              <w:bottom w:val="single" w:color="auto" w:sz="4" w:space="0"/>
              <w:right w:val="single" w:color="auto" w:sz="4" w:space="0"/>
            </w:tcBorders>
            <w:noWrap/>
            <w:vAlign w:val="center"/>
          </w:tcPr>
          <w:p w14:paraId="149FFE54">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1.56 </w:t>
            </w:r>
          </w:p>
        </w:tc>
        <w:tc>
          <w:tcPr>
            <w:tcW w:w="1728" w:type="dxa"/>
            <w:tcBorders>
              <w:top w:val="nil"/>
              <w:left w:val="nil"/>
              <w:bottom w:val="single" w:color="auto" w:sz="4" w:space="0"/>
              <w:right w:val="single" w:color="auto" w:sz="4" w:space="0"/>
            </w:tcBorders>
            <w:noWrap/>
            <w:vAlign w:val="center"/>
          </w:tcPr>
          <w:p w14:paraId="7A030D5F">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3.76 </w:t>
            </w:r>
          </w:p>
        </w:tc>
        <w:tc>
          <w:tcPr>
            <w:tcW w:w="1726" w:type="dxa"/>
            <w:tcBorders>
              <w:top w:val="nil"/>
              <w:left w:val="nil"/>
              <w:bottom w:val="single" w:color="auto" w:sz="4" w:space="0"/>
              <w:right w:val="single" w:color="auto" w:sz="4" w:space="0"/>
            </w:tcBorders>
            <w:noWrap/>
            <w:vAlign w:val="center"/>
          </w:tcPr>
          <w:p w14:paraId="502C9D95">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0.71</w:t>
            </w:r>
          </w:p>
        </w:tc>
      </w:tr>
      <w:tr w14:paraId="20EEB997">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6C90970F">
            <w:pPr>
              <w:pStyle w:val="72"/>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2038</w:t>
            </w:r>
          </w:p>
        </w:tc>
        <w:tc>
          <w:tcPr>
            <w:tcW w:w="2245" w:type="dxa"/>
            <w:tcBorders>
              <w:top w:val="nil"/>
              <w:left w:val="nil"/>
              <w:bottom w:val="single" w:color="auto" w:sz="4" w:space="0"/>
              <w:right w:val="single" w:color="auto" w:sz="4" w:space="0"/>
            </w:tcBorders>
            <w:noWrap/>
            <w:vAlign w:val="center"/>
          </w:tcPr>
          <w:p w14:paraId="583FC97D">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3.18</w:t>
            </w:r>
          </w:p>
        </w:tc>
        <w:tc>
          <w:tcPr>
            <w:tcW w:w="2886" w:type="dxa"/>
            <w:tcBorders>
              <w:top w:val="nil"/>
              <w:left w:val="nil"/>
              <w:bottom w:val="single" w:color="auto" w:sz="4" w:space="0"/>
              <w:right w:val="single" w:color="auto" w:sz="4" w:space="0"/>
            </w:tcBorders>
            <w:noWrap/>
            <w:vAlign w:val="center"/>
          </w:tcPr>
          <w:p w14:paraId="3867B475">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2.54 </w:t>
            </w:r>
          </w:p>
        </w:tc>
        <w:tc>
          <w:tcPr>
            <w:tcW w:w="1728" w:type="dxa"/>
            <w:tcBorders>
              <w:top w:val="nil"/>
              <w:left w:val="nil"/>
              <w:bottom w:val="single" w:color="auto" w:sz="4" w:space="0"/>
              <w:right w:val="single" w:color="auto" w:sz="4" w:space="0"/>
            </w:tcBorders>
            <w:noWrap/>
            <w:vAlign w:val="center"/>
          </w:tcPr>
          <w:p w14:paraId="5A3AC6B5">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5.72 </w:t>
            </w:r>
          </w:p>
        </w:tc>
        <w:tc>
          <w:tcPr>
            <w:tcW w:w="1726" w:type="dxa"/>
            <w:tcBorders>
              <w:top w:val="nil"/>
              <w:left w:val="nil"/>
              <w:bottom w:val="single" w:color="auto" w:sz="4" w:space="0"/>
              <w:right w:val="single" w:color="auto" w:sz="4" w:space="0"/>
            </w:tcBorders>
            <w:noWrap/>
            <w:vAlign w:val="center"/>
          </w:tcPr>
          <w:p w14:paraId="6494E6D0">
            <w:pPr>
              <w:pStyle w:val="72"/>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0.8</w:t>
            </w:r>
          </w:p>
        </w:tc>
      </w:tr>
      <w:tr w14:paraId="0CC44AC5">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05898CEF">
            <w:pPr>
              <w:pStyle w:val="72"/>
              <w:rPr>
                <w:rFonts w:ascii="Times New Roman" w:hAnsi="Times New Roman"/>
              </w:rPr>
            </w:pPr>
            <w:r>
              <w:rPr>
                <w:rFonts w:hint="eastAsia"/>
                <w:color w:val="000000"/>
                <w:szCs w:val="21"/>
              </w:rPr>
              <w:t>合计</w:t>
            </w:r>
          </w:p>
        </w:tc>
        <w:tc>
          <w:tcPr>
            <w:tcW w:w="2245" w:type="dxa"/>
            <w:tcBorders>
              <w:top w:val="nil"/>
              <w:left w:val="nil"/>
              <w:bottom w:val="single" w:color="auto" w:sz="4" w:space="0"/>
              <w:right w:val="single" w:color="auto" w:sz="4" w:space="0"/>
            </w:tcBorders>
            <w:noWrap/>
            <w:vAlign w:val="bottom"/>
          </w:tcPr>
          <w:p w14:paraId="08F06D57">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116.26 </w:t>
            </w:r>
          </w:p>
        </w:tc>
        <w:tc>
          <w:tcPr>
            <w:tcW w:w="2886" w:type="dxa"/>
            <w:tcBorders>
              <w:top w:val="nil"/>
              <w:left w:val="nil"/>
              <w:bottom w:val="single" w:color="auto" w:sz="4" w:space="0"/>
              <w:right w:val="single" w:color="auto" w:sz="4" w:space="0"/>
            </w:tcBorders>
            <w:noWrap/>
            <w:vAlign w:val="bottom"/>
          </w:tcPr>
          <w:p w14:paraId="0A9F6525">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44.78 </w:t>
            </w:r>
          </w:p>
        </w:tc>
        <w:tc>
          <w:tcPr>
            <w:tcW w:w="1728" w:type="dxa"/>
            <w:tcBorders>
              <w:top w:val="nil"/>
              <w:left w:val="nil"/>
              <w:bottom w:val="single" w:color="auto" w:sz="4" w:space="0"/>
              <w:right w:val="single" w:color="auto" w:sz="4" w:space="0"/>
            </w:tcBorders>
            <w:noWrap/>
            <w:vAlign w:val="bottom"/>
          </w:tcPr>
          <w:p w14:paraId="1FF7FB4F">
            <w:pPr>
              <w:pStyle w:val="72"/>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 xml:space="preserve">161.04 </w:t>
            </w:r>
          </w:p>
        </w:tc>
        <w:tc>
          <w:tcPr>
            <w:tcW w:w="1726" w:type="dxa"/>
            <w:tcBorders>
              <w:top w:val="nil"/>
              <w:left w:val="nil"/>
              <w:bottom w:val="single" w:color="auto" w:sz="4" w:space="0"/>
              <w:right w:val="single" w:color="auto" w:sz="4" w:space="0"/>
            </w:tcBorders>
            <w:noWrap/>
            <w:vAlign w:val="center"/>
          </w:tcPr>
          <w:p w14:paraId="0770C864">
            <w:pPr>
              <w:pStyle w:val="72"/>
              <w:rPr>
                <w:rFonts w:hint="eastAsia" w:ascii="Times New Roman" w:hAnsi="Times New Roman" w:cs="Times New Roman"/>
                <w:color w:val="000000"/>
                <w:szCs w:val="21"/>
                <w:lang w:val="en-US" w:eastAsia="zh-CN"/>
              </w:rPr>
            </w:pPr>
          </w:p>
        </w:tc>
      </w:tr>
      <w:bookmarkEnd w:id="225"/>
    </w:tbl>
    <w:p w14:paraId="61752202">
      <w:pPr>
        <w:spacing w:line="240" w:lineRule="auto"/>
        <w:ind w:firstLine="0" w:firstLineChars="0"/>
        <w:jc w:val="center"/>
        <w:rPr>
          <w:b/>
          <w:sz w:val="21"/>
          <w:szCs w:val="21"/>
        </w:rPr>
      </w:pPr>
    </w:p>
    <w:p w14:paraId="65A69AA3">
      <w:pPr>
        <w:spacing w:line="240" w:lineRule="auto"/>
        <w:ind w:firstLine="0" w:firstLineChars="0"/>
        <w:jc w:val="center"/>
        <w:rPr>
          <w:b/>
          <w:sz w:val="21"/>
          <w:szCs w:val="21"/>
        </w:rPr>
        <w:sectPr>
          <w:headerReference r:id="rId17" w:type="first"/>
          <w:footerReference r:id="rId20" w:type="first"/>
          <w:headerReference r:id="rId15" w:type="default"/>
          <w:footerReference r:id="rId18" w:type="default"/>
          <w:headerReference r:id="rId16" w:type="even"/>
          <w:footerReference r:id="rId19" w:type="even"/>
          <w:pgSz w:w="11906" w:h="16838"/>
          <w:pgMar w:top="1134" w:right="1134" w:bottom="1134" w:left="1418" w:header="851" w:footer="567" w:gutter="0"/>
          <w:pgNumType w:fmt="decimal"/>
          <w:cols w:space="720" w:num="1"/>
          <w:docGrid w:type="linesAndChars" w:linePitch="381" w:charSpace="0"/>
        </w:sectPr>
      </w:pPr>
    </w:p>
    <w:p w14:paraId="43875F58">
      <w:pPr>
        <w:pStyle w:val="57"/>
        <w:rPr>
          <w:rFonts w:ascii="Times New Roman" w:hAnsi="Times New Roman"/>
        </w:rPr>
      </w:pPr>
      <w:r>
        <w:rPr>
          <w:rFonts w:ascii="Times New Roman" w:hAnsi="Times New Roman"/>
        </w:rPr>
        <w:t>表6-10工程施工费单价估算表</w:t>
      </w:r>
    </w:p>
    <w:tbl>
      <w:tblPr>
        <w:tblStyle w:val="42"/>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1128"/>
        <w:gridCol w:w="2841"/>
        <w:gridCol w:w="904"/>
        <w:gridCol w:w="1420"/>
        <w:gridCol w:w="1420"/>
        <w:gridCol w:w="1423"/>
        <w:gridCol w:w="1687"/>
        <w:gridCol w:w="1226"/>
        <w:gridCol w:w="1630"/>
      </w:tblGrid>
      <w:tr w14:paraId="63CE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vAlign w:val="center"/>
          </w:tcPr>
          <w:p w14:paraId="5453F02E">
            <w:pPr>
              <w:pStyle w:val="72"/>
              <w:rPr>
                <w:rFonts w:ascii="Times New Roman" w:hAnsi="Times New Roman"/>
                <w:b/>
                <w:bCs w:val="0"/>
                <w:color w:val="000000" w:themeColor="text1"/>
                <w14:textFill>
                  <w14:solidFill>
                    <w14:schemeClr w14:val="tx1"/>
                  </w14:solidFill>
                </w14:textFill>
              </w:rPr>
            </w:pPr>
            <w:r>
              <w:rPr>
                <w:rFonts w:hint="eastAsia" w:ascii="仿宋" w:hAnsi="仿宋"/>
                <w:color w:val="000000"/>
                <w:sz w:val="20"/>
                <w:szCs w:val="20"/>
              </w:rPr>
              <w:t>序号</w:t>
            </w:r>
          </w:p>
        </w:tc>
        <w:tc>
          <w:tcPr>
            <w:tcW w:w="389" w:type="pct"/>
            <w:vAlign w:val="center"/>
          </w:tcPr>
          <w:p w14:paraId="3331F60B">
            <w:pPr>
              <w:pStyle w:val="72"/>
              <w:rPr>
                <w:rFonts w:ascii="Times New Roman" w:hAnsi="Times New Roman"/>
                <w:b/>
                <w:bCs w:val="0"/>
                <w:color w:val="000000" w:themeColor="text1"/>
                <w14:textFill>
                  <w14:solidFill>
                    <w14:schemeClr w14:val="tx1"/>
                  </w14:solidFill>
                </w14:textFill>
              </w:rPr>
            </w:pPr>
            <w:r>
              <w:rPr>
                <w:rFonts w:hint="eastAsia" w:ascii="仿宋" w:hAnsi="仿宋"/>
                <w:color w:val="000000"/>
                <w:sz w:val="20"/>
                <w:szCs w:val="20"/>
              </w:rPr>
              <w:t>定额编号</w:t>
            </w:r>
          </w:p>
        </w:tc>
        <w:tc>
          <w:tcPr>
            <w:tcW w:w="980" w:type="pct"/>
            <w:vAlign w:val="center"/>
          </w:tcPr>
          <w:p w14:paraId="1EB8DBF7">
            <w:pPr>
              <w:pStyle w:val="72"/>
              <w:rPr>
                <w:rFonts w:ascii="Times New Roman" w:hAnsi="Times New Roman"/>
                <w:b/>
                <w:bCs w:val="0"/>
                <w:color w:val="000000" w:themeColor="text1"/>
                <w14:textFill>
                  <w14:solidFill>
                    <w14:schemeClr w14:val="tx1"/>
                  </w14:solidFill>
                </w14:textFill>
              </w:rPr>
            </w:pPr>
            <w:r>
              <w:rPr>
                <w:rFonts w:hint="eastAsia" w:ascii="仿宋" w:hAnsi="仿宋"/>
                <w:color w:val="000000"/>
                <w:sz w:val="20"/>
                <w:szCs w:val="20"/>
              </w:rPr>
              <w:t>工程名称</w:t>
            </w:r>
          </w:p>
        </w:tc>
        <w:tc>
          <w:tcPr>
            <w:tcW w:w="312" w:type="pct"/>
            <w:vAlign w:val="center"/>
          </w:tcPr>
          <w:p w14:paraId="34DB4FA6">
            <w:pPr>
              <w:pStyle w:val="72"/>
              <w:rPr>
                <w:rFonts w:ascii="Times New Roman" w:hAnsi="Times New Roman"/>
                <w:color w:val="000000" w:themeColor="text1"/>
                <w14:textFill>
                  <w14:solidFill>
                    <w14:schemeClr w14:val="tx1"/>
                  </w14:solidFill>
                </w14:textFill>
              </w:rPr>
            </w:pPr>
            <w:r>
              <w:rPr>
                <w:rFonts w:hint="eastAsia" w:ascii="仿宋" w:hAnsi="仿宋"/>
                <w:color w:val="000000"/>
                <w:sz w:val="20"/>
                <w:szCs w:val="20"/>
              </w:rPr>
              <w:t>单位</w:t>
            </w:r>
          </w:p>
        </w:tc>
        <w:tc>
          <w:tcPr>
            <w:tcW w:w="490" w:type="pct"/>
            <w:vAlign w:val="center"/>
          </w:tcPr>
          <w:p w14:paraId="5C8B60A1">
            <w:pPr>
              <w:pStyle w:val="72"/>
              <w:rPr>
                <w:rFonts w:ascii="Times New Roman" w:hAnsi="Times New Roman"/>
                <w:color w:val="000000" w:themeColor="text1"/>
                <w14:textFill>
                  <w14:solidFill>
                    <w14:schemeClr w14:val="tx1"/>
                  </w14:solidFill>
                </w14:textFill>
              </w:rPr>
            </w:pPr>
            <w:r>
              <w:rPr>
                <w:rFonts w:hint="eastAsia" w:ascii="仿宋" w:hAnsi="仿宋"/>
                <w:color w:val="000000"/>
                <w:sz w:val="20"/>
                <w:szCs w:val="20"/>
              </w:rPr>
              <w:t>直接费（元）</w:t>
            </w:r>
          </w:p>
        </w:tc>
        <w:tc>
          <w:tcPr>
            <w:tcW w:w="490" w:type="pct"/>
            <w:vAlign w:val="center"/>
          </w:tcPr>
          <w:p w14:paraId="6A06EBB5">
            <w:pPr>
              <w:pStyle w:val="72"/>
              <w:rPr>
                <w:rFonts w:ascii="Times New Roman" w:hAnsi="Times New Roman"/>
                <w:color w:val="000000" w:themeColor="text1"/>
                <w14:textFill>
                  <w14:solidFill>
                    <w14:schemeClr w14:val="tx1"/>
                  </w14:solidFill>
                </w14:textFill>
              </w:rPr>
            </w:pPr>
            <w:r>
              <w:rPr>
                <w:rFonts w:hint="eastAsia" w:ascii="仿宋" w:hAnsi="仿宋"/>
                <w:color w:val="000000"/>
                <w:sz w:val="20"/>
                <w:szCs w:val="20"/>
              </w:rPr>
              <w:t>间接费（元）</w:t>
            </w:r>
          </w:p>
        </w:tc>
        <w:tc>
          <w:tcPr>
            <w:tcW w:w="491" w:type="pct"/>
            <w:vAlign w:val="center"/>
          </w:tcPr>
          <w:p w14:paraId="268D7C30">
            <w:pPr>
              <w:pStyle w:val="72"/>
              <w:rPr>
                <w:rFonts w:ascii="Times New Roman" w:hAnsi="Times New Roman"/>
                <w:color w:val="000000" w:themeColor="text1"/>
                <w14:textFill>
                  <w14:solidFill>
                    <w14:schemeClr w14:val="tx1"/>
                  </w14:solidFill>
                </w14:textFill>
              </w:rPr>
            </w:pPr>
            <w:r>
              <w:rPr>
                <w:rFonts w:hint="eastAsia" w:ascii="仿宋" w:hAnsi="仿宋"/>
                <w:color w:val="000000"/>
                <w:sz w:val="20"/>
                <w:szCs w:val="20"/>
              </w:rPr>
              <w:t>利润（元）</w:t>
            </w:r>
          </w:p>
        </w:tc>
        <w:tc>
          <w:tcPr>
            <w:tcW w:w="582" w:type="pct"/>
            <w:vAlign w:val="center"/>
          </w:tcPr>
          <w:p w14:paraId="1CE1F377">
            <w:pPr>
              <w:pStyle w:val="72"/>
              <w:rPr>
                <w:rFonts w:ascii="Times New Roman" w:hAnsi="Times New Roman"/>
                <w:color w:val="000000" w:themeColor="text1"/>
                <w14:textFill>
                  <w14:solidFill>
                    <w14:schemeClr w14:val="tx1"/>
                  </w14:solidFill>
                </w14:textFill>
              </w:rPr>
            </w:pPr>
            <w:r>
              <w:rPr>
                <w:rFonts w:hint="eastAsia" w:ascii="仿宋" w:hAnsi="仿宋"/>
                <w:color w:val="000000"/>
                <w:sz w:val="20"/>
                <w:szCs w:val="20"/>
              </w:rPr>
              <w:t>材料价差（元）</w:t>
            </w:r>
          </w:p>
        </w:tc>
        <w:tc>
          <w:tcPr>
            <w:tcW w:w="423" w:type="pct"/>
            <w:vAlign w:val="center"/>
          </w:tcPr>
          <w:p w14:paraId="2345CE49">
            <w:pPr>
              <w:pStyle w:val="72"/>
              <w:rPr>
                <w:rFonts w:ascii="Times New Roman" w:hAnsi="Times New Roman"/>
                <w:color w:val="000000" w:themeColor="text1"/>
                <w14:textFill>
                  <w14:solidFill>
                    <w14:schemeClr w14:val="tx1"/>
                  </w14:solidFill>
                </w14:textFill>
              </w:rPr>
            </w:pPr>
            <w:r>
              <w:rPr>
                <w:rFonts w:hint="eastAsia" w:ascii="仿宋" w:hAnsi="仿宋"/>
                <w:color w:val="000000"/>
                <w:sz w:val="20"/>
                <w:szCs w:val="20"/>
              </w:rPr>
              <w:t>税金（元）</w:t>
            </w:r>
          </w:p>
        </w:tc>
        <w:tc>
          <w:tcPr>
            <w:tcW w:w="562" w:type="pct"/>
            <w:vAlign w:val="center"/>
          </w:tcPr>
          <w:p w14:paraId="480786E2">
            <w:pPr>
              <w:pStyle w:val="72"/>
              <w:rPr>
                <w:rFonts w:ascii="Times New Roman" w:hAnsi="Times New Roman"/>
                <w:color w:val="000000" w:themeColor="text1"/>
                <w14:textFill>
                  <w14:solidFill>
                    <w14:schemeClr w14:val="tx1"/>
                  </w14:solidFill>
                </w14:textFill>
              </w:rPr>
            </w:pPr>
            <w:r>
              <w:rPr>
                <w:rFonts w:hint="eastAsia" w:ascii="仿宋" w:hAnsi="仿宋"/>
                <w:color w:val="000000"/>
                <w:sz w:val="20"/>
                <w:szCs w:val="20"/>
              </w:rPr>
              <w:t>综合单价（元）</w:t>
            </w:r>
          </w:p>
        </w:tc>
      </w:tr>
      <w:tr w14:paraId="5705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vAlign w:val="center"/>
          </w:tcPr>
          <w:p w14:paraId="0F9ADF5C">
            <w:pPr>
              <w:pStyle w:val="72"/>
              <w:rPr>
                <w:rFonts w:hint="eastAsia" w:ascii="仿宋" w:hAnsi="仿宋"/>
                <w:color w:val="000000"/>
                <w:sz w:val="20"/>
                <w:szCs w:val="20"/>
              </w:rPr>
            </w:pPr>
            <w:r>
              <w:rPr>
                <w:rFonts w:hint="eastAsia" w:ascii="仿宋" w:hAnsi="仿宋"/>
                <w:color w:val="000000"/>
                <w:sz w:val="20"/>
                <w:szCs w:val="20"/>
              </w:rPr>
              <w:t>一</w:t>
            </w:r>
          </w:p>
        </w:tc>
        <w:tc>
          <w:tcPr>
            <w:tcW w:w="389" w:type="pct"/>
            <w:vAlign w:val="center"/>
          </w:tcPr>
          <w:p w14:paraId="43779028">
            <w:pPr>
              <w:pStyle w:val="72"/>
              <w:rPr>
                <w:rFonts w:hint="eastAsia" w:ascii="仿宋" w:hAnsi="仿宋"/>
                <w:color w:val="000000"/>
                <w:sz w:val="20"/>
                <w:szCs w:val="20"/>
              </w:rPr>
            </w:pPr>
          </w:p>
        </w:tc>
        <w:tc>
          <w:tcPr>
            <w:tcW w:w="980" w:type="pct"/>
            <w:vAlign w:val="center"/>
          </w:tcPr>
          <w:p w14:paraId="5CE23029">
            <w:pPr>
              <w:pStyle w:val="72"/>
              <w:rPr>
                <w:rFonts w:hint="eastAsia" w:ascii="仿宋" w:hAnsi="仿宋"/>
                <w:color w:val="000000"/>
                <w:sz w:val="20"/>
                <w:szCs w:val="20"/>
              </w:rPr>
            </w:pPr>
            <w:r>
              <w:rPr>
                <w:rFonts w:hint="eastAsia" w:ascii="仿宋" w:hAnsi="仿宋"/>
                <w:color w:val="000000"/>
                <w:sz w:val="20"/>
                <w:szCs w:val="20"/>
              </w:rPr>
              <w:t>地质灾害治理工程</w:t>
            </w:r>
          </w:p>
        </w:tc>
        <w:tc>
          <w:tcPr>
            <w:tcW w:w="312" w:type="pct"/>
            <w:vAlign w:val="center"/>
          </w:tcPr>
          <w:p w14:paraId="6C5E88BB">
            <w:pPr>
              <w:pStyle w:val="72"/>
              <w:rPr>
                <w:rFonts w:hint="eastAsia" w:ascii="仿宋" w:hAnsi="仿宋"/>
                <w:color w:val="000000"/>
                <w:sz w:val="20"/>
                <w:szCs w:val="20"/>
              </w:rPr>
            </w:pPr>
          </w:p>
        </w:tc>
        <w:tc>
          <w:tcPr>
            <w:tcW w:w="490" w:type="pct"/>
            <w:vAlign w:val="center"/>
          </w:tcPr>
          <w:p w14:paraId="01B06719">
            <w:pPr>
              <w:pStyle w:val="72"/>
              <w:ind w:firstLine="0" w:firstLineChars="0"/>
              <w:rPr>
                <w:rFonts w:hint="eastAsia" w:ascii="仿宋" w:hAnsi="仿宋"/>
                <w:color w:val="000000"/>
                <w:sz w:val="20"/>
                <w:szCs w:val="20"/>
              </w:rPr>
            </w:pPr>
          </w:p>
        </w:tc>
        <w:tc>
          <w:tcPr>
            <w:tcW w:w="490" w:type="pct"/>
            <w:vAlign w:val="center"/>
          </w:tcPr>
          <w:p w14:paraId="676FD29E">
            <w:pPr>
              <w:pStyle w:val="72"/>
              <w:ind w:firstLine="0" w:firstLineChars="0"/>
              <w:rPr>
                <w:rFonts w:hint="eastAsia" w:ascii="仿宋" w:hAnsi="仿宋"/>
                <w:color w:val="000000"/>
                <w:sz w:val="20"/>
                <w:szCs w:val="20"/>
              </w:rPr>
            </w:pPr>
          </w:p>
        </w:tc>
        <w:tc>
          <w:tcPr>
            <w:tcW w:w="491" w:type="pct"/>
            <w:vAlign w:val="center"/>
          </w:tcPr>
          <w:p w14:paraId="47EFDB81">
            <w:pPr>
              <w:pStyle w:val="72"/>
              <w:ind w:firstLine="0" w:firstLineChars="0"/>
              <w:rPr>
                <w:rFonts w:hint="eastAsia" w:ascii="仿宋" w:hAnsi="仿宋"/>
                <w:color w:val="000000"/>
                <w:sz w:val="20"/>
                <w:szCs w:val="20"/>
              </w:rPr>
            </w:pPr>
          </w:p>
        </w:tc>
        <w:tc>
          <w:tcPr>
            <w:tcW w:w="582" w:type="pct"/>
            <w:vAlign w:val="center"/>
          </w:tcPr>
          <w:p w14:paraId="57C4C81E">
            <w:pPr>
              <w:pStyle w:val="72"/>
              <w:ind w:firstLine="0" w:firstLineChars="0"/>
              <w:rPr>
                <w:rFonts w:hint="eastAsia" w:ascii="仿宋" w:hAnsi="仿宋"/>
                <w:color w:val="000000"/>
                <w:sz w:val="20"/>
                <w:szCs w:val="20"/>
              </w:rPr>
            </w:pPr>
          </w:p>
        </w:tc>
        <w:tc>
          <w:tcPr>
            <w:tcW w:w="423" w:type="pct"/>
            <w:vAlign w:val="center"/>
          </w:tcPr>
          <w:p w14:paraId="333E0216">
            <w:pPr>
              <w:pStyle w:val="72"/>
              <w:ind w:firstLine="0" w:firstLineChars="0"/>
              <w:rPr>
                <w:rFonts w:hint="eastAsia" w:ascii="仿宋" w:hAnsi="仿宋"/>
                <w:color w:val="000000"/>
                <w:sz w:val="20"/>
                <w:szCs w:val="20"/>
              </w:rPr>
            </w:pPr>
          </w:p>
        </w:tc>
        <w:tc>
          <w:tcPr>
            <w:tcW w:w="562" w:type="pct"/>
            <w:vAlign w:val="center"/>
          </w:tcPr>
          <w:p w14:paraId="6CE2E200">
            <w:pPr>
              <w:pStyle w:val="72"/>
              <w:ind w:firstLine="0" w:firstLineChars="0"/>
              <w:rPr>
                <w:rFonts w:hint="eastAsia" w:ascii="仿宋" w:hAnsi="仿宋"/>
                <w:color w:val="000000"/>
                <w:sz w:val="20"/>
                <w:szCs w:val="20"/>
              </w:rPr>
            </w:pPr>
          </w:p>
        </w:tc>
      </w:tr>
      <w:tr w14:paraId="334F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shd w:val="clear" w:color="auto" w:fill="auto"/>
            <w:vAlign w:val="center"/>
          </w:tcPr>
          <w:p w14:paraId="6142F34E">
            <w:pPr>
              <w:pStyle w:val="72"/>
              <w:ind w:firstLine="0" w:firstLineChars="0"/>
              <w:rPr>
                <w:rFonts w:hint="eastAsia" w:ascii="仿宋" w:hAnsi="仿宋" w:eastAsia="仿宋" w:cs="Times New Roman"/>
                <w:b w:val="0"/>
                <w:bCs/>
                <w:color w:val="000000"/>
                <w:kern w:val="2"/>
                <w:sz w:val="20"/>
                <w:szCs w:val="20"/>
                <w:lang w:val="en-US" w:eastAsia="zh-CN" w:bidi="ar-SA"/>
              </w:rPr>
            </w:pPr>
            <w:r>
              <w:rPr>
                <w:rFonts w:hint="eastAsia" w:ascii="仿宋" w:hAnsi="仿宋"/>
                <w:color w:val="000000"/>
                <w:sz w:val="20"/>
                <w:szCs w:val="20"/>
                <w:lang w:val="en-US" w:eastAsia="zh-CN"/>
              </w:rPr>
              <w:t>1</w:t>
            </w:r>
          </w:p>
        </w:tc>
        <w:tc>
          <w:tcPr>
            <w:tcW w:w="389" w:type="pct"/>
            <w:shd w:val="clear" w:color="auto" w:fill="auto"/>
            <w:vAlign w:val="center"/>
          </w:tcPr>
          <w:p w14:paraId="6D77EBBA">
            <w:pPr>
              <w:pStyle w:val="72"/>
              <w:ind w:firstLine="0" w:firstLineChars="0"/>
              <w:rPr>
                <w:rFonts w:hint="eastAsia" w:ascii="仿宋" w:hAnsi="仿宋" w:cs="Times New Roman"/>
                <w:szCs w:val="21"/>
                <w:lang w:val="en-US" w:eastAsia="zh-CN"/>
              </w:rPr>
            </w:pPr>
            <w:r>
              <w:rPr>
                <w:rFonts w:hint="eastAsia" w:ascii="仿宋" w:hAnsi="仿宋" w:cs="Times New Roman"/>
                <w:szCs w:val="21"/>
              </w:rPr>
              <w:t>10158</w:t>
            </w:r>
          </w:p>
        </w:tc>
        <w:tc>
          <w:tcPr>
            <w:tcW w:w="980" w:type="pct"/>
            <w:shd w:val="clear" w:color="auto" w:fill="auto"/>
            <w:vAlign w:val="center"/>
          </w:tcPr>
          <w:p w14:paraId="0EE26AE6">
            <w:pPr>
              <w:pStyle w:val="72"/>
              <w:ind w:firstLine="0" w:firstLineChars="0"/>
              <w:rPr>
                <w:rFonts w:hint="eastAsia" w:ascii="宋体" w:hAnsi="宋体" w:eastAsia="仿宋" w:cs="Times New Roman"/>
                <w:b w:val="0"/>
                <w:bCs/>
                <w:color w:val="000000"/>
                <w:kern w:val="2"/>
                <w:sz w:val="21"/>
                <w:szCs w:val="28"/>
                <w:lang w:val="en-US" w:eastAsia="zh-CN" w:bidi="ar-SA"/>
              </w:rPr>
            </w:pPr>
            <w:r>
              <w:rPr>
                <w:rFonts w:hint="eastAsia" w:ascii="仿宋" w:hAnsi="仿宋"/>
                <w:szCs w:val="21"/>
              </w:rPr>
              <w:t>表土剥离</w:t>
            </w:r>
          </w:p>
        </w:tc>
        <w:tc>
          <w:tcPr>
            <w:tcW w:w="312" w:type="pct"/>
            <w:shd w:val="clear" w:color="auto" w:fill="auto"/>
            <w:vAlign w:val="center"/>
          </w:tcPr>
          <w:p w14:paraId="1D1DF164">
            <w:pPr>
              <w:pStyle w:val="72"/>
              <w:ind w:firstLine="0" w:firstLineChars="0"/>
              <w:rPr>
                <w:rFonts w:hint="eastAsia" w:ascii="Times New Roman" w:hAnsi="Times New Roman" w:eastAsia="仿宋" w:cs="Times New Roman"/>
                <w:b w:val="0"/>
                <w:bCs/>
                <w:color w:val="000000" w:themeColor="text1"/>
                <w:kern w:val="2"/>
                <w:sz w:val="21"/>
                <w:szCs w:val="28"/>
                <w:lang w:val="en-US" w:eastAsia="zh-CN" w:bidi="ar-SA"/>
                <w14:textFill>
                  <w14:solidFill>
                    <w14:schemeClr w14:val="tx1"/>
                  </w14:solidFill>
                </w14:textFill>
              </w:rPr>
            </w:pPr>
            <w:r>
              <w:rPr>
                <w:rFonts w:hint="eastAsia" w:ascii="仿宋" w:hAnsi="仿宋"/>
                <w:color w:val="000000"/>
                <w:sz w:val="20"/>
                <w:szCs w:val="20"/>
              </w:rPr>
              <w:t>100m</w:t>
            </w:r>
            <w:r>
              <w:rPr>
                <w:rFonts w:ascii="Calibri" w:hAnsi="Calibri" w:cs="Calibri"/>
                <w:color w:val="000000"/>
                <w:sz w:val="20"/>
                <w:szCs w:val="20"/>
              </w:rPr>
              <w:t>³</w:t>
            </w:r>
          </w:p>
        </w:tc>
        <w:tc>
          <w:tcPr>
            <w:tcW w:w="490" w:type="pct"/>
            <w:shd w:val="clear" w:color="auto" w:fill="auto"/>
            <w:vAlign w:val="center"/>
          </w:tcPr>
          <w:p w14:paraId="7614D78E">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392.88</w:t>
            </w:r>
          </w:p>
        </w:tc>
        <w:tc>
          <w:tcPr>
            <w:tcW w:w="490" w:type="pct"/>
            <w:shd w:val="clear" w:color="auto" w:fill="auto"/>
            <w:vAlign w:val="center"/>
          </w:tcPr>
          <w:p w14:paraId="30F067E6">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23.57</w:t>
            </w:r>
          </w:p>
        </w:tc>
        <w:tc>
          <w:tcPr>
            <w:tcW w:w="491" w:type="pct"/>
            <w:shd w:val="clear" w:color="auto" w:fill="auto"/>
            <w:vAlign w:val="center"/>
          </w:tcPr>
          <w:p w14:paraId="1D2F97B4">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12.49</w:t>
            </w:r>
          </w:p>
        </w:tc>
        <w:tc>
          <w:tcPr>
            <w:tcW w:w="582" w:type="pct"/>
            <w:shd w:val="clear" w:color="auto" w:fill="auto"/>
            <w:vAlign w:val="center"/>
          </w:tcPr>
          <w:p w14:paraId="54E44EE6">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123.1</w:t>
            </w:r>
          </w:p>
        </w:tc>
        <w:tc>
          <w:tcPr>
            <w:tcW w:w="423" w:type="pct"/>
            <w:shd w:val="clear" w:color="auto" w:fill="auto"/>
            <w:vAlign w:val="center"/>
          </w:tcPr>
          <w:p w14:paraId="482DB9E0">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49.68</w:t>
            </w:r>
          </w:p>
        </w:tc>
        <w:tc>
          <w:tcPr>
            <w:tcW w:w="562" w:type="pct"/>
            <w:shd w:val="clear" w:color="auto" w:fill="auto"/>
            <w:vAlign w:val="center"/>
          </w:tcPr>
          <w:p w14:paraId="0DC7B10B">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601.73</w:t>
            </w:r>
          </w:p>
        </w:tc>
      </w:tr>
      <w:tr w14:paraId="4DDE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shd w:val="clear" w:color="auto" w:fill="auto"/>
            <w:vAlign w:val="center"/>
          </w:tcPr>
          <w:p w14:paraId="4E32F015">
            <w:pPr>
              <w:pStyle w:val="72"/>
              <w:ind w:firstLine="0" w:firstLineChars="0"/>
              <w:rPr>
                <w:rFonts w:hint="default" w:ascii="仿宋" w:hAnsi="仿宋" w:eastAsia="仿宋" w:cs="Times New Roman"/>
                <w:b w:val="0"/>
                <w:bCs/>
                <w:color w:val="000000"/>
                <w:kern w:val="2"/>
                <w:sz w:val="20"/>
                <w:szCs w:val="20"/>
                <w:lang w:val="en-US" w:eastAsia="zh-CN" w:bidi="ar-SA"/>
              </w:rPr>
            </w:pPr>
            <w:r>
              <w:rPr>
                <w:rFonts w:hint="eastAsia" w:ascii="仿宋" w:hAnsi="仿宋" w:cs="Times New Roman"/>
                <w:b w:val="0"/>
                <w:bCs/>
                <w:color w:val="000000"/>
                <w:kern w:val="2"/>
                <w:sz w:val="20"/>
                <w:szCs w:val="20"/>
                <w:lang w:val="en-US" w:eastAsia="zh-CN" w:bidi="ar-SA"/>
              </w:rPr>
              <w:t>2</w:t>
            </w:r>
          </w:p>
        </w:tc>
        <w:tc>
          <w:tcPr>
            <w:tcW w:w="389" w:type="pct"/>
            <w:shd w:val="clear" w:color="auto" w:fill="auto"/>
            <w:vAlign w:val="center"/>
          </w:tcPr>
          <w:p w14:paraId="437BBD9F">
            <w:pPr>
              <w:pStyle w:val="72"/>
              <w:ind w:firstLine="0" w:firstLineChars="0"/>
              <w:rPr>
                <w:rFonts w:hint="eastAsia" w:ascii="仿宋" w:hAnsi="仿宋" w:cs="Times New Roman"/>
                <w:szCs w:val="21"/>
                <w:lang w:val="en-US" w:eastAsia="zh-CN"/>
              </w:rPr>
            </w:pPr>
            <w:r>
              <w:rPr>
                <w:rFonts w:hint="eastAsia" w:ascii="仿宋" w:hAnsi="仿宋" w:cs="Times New Roman"/>
                <w:szCs w:val="21"/>
              </w:rPr>
              <w:t>20294</w:t>
            </w:r>
          </w:p>
        </w:tc>
        <w:tc>
          <w:tcPr>
            <w:tcW w:w="980" w:type="pct"/>
            <w:shd w:val="clear" w:color="auto" w:fill="auto"/>
            <w:vAlign w:val="center"/>
          </w:tcPr>
          <w:p w14:paraId="56E9F786">
            <w:pPr>
              <w:pStyle w:val="72"/>
              <w:ind w:firstLine="0" w:firstLineChars="0"/>
              <w:rPr>
                <w:rFonts w:hint="eastAsia" w:ascii="仿宋" w:hAnsi="仿宋" w:eastAsia="仿宋" w:cs="Times New Roman"/>
                <w:b w:val="0"/>
                <w:bCs/>
                <w:kern w:val="2"/>
                <w:sz w:val="21"/>
                <w:szCs w:val="21"/>
                <w:lang w:val="en-US" w:eastAsia="zh-CN" w:bidi="ar-SA"/>
              </w:rPr>
            </w:pPr>
            <w:r>
              <w:rPr>
                <w:rFonts w:hint="eastAsia" w:ascii="仿宋" w:hAnsi="仿宋"/>
                <w:szCs w:val="21"/>
              </w:rPr>
              <w:t>地裂缝充填</w:t>
            </w:r>
          </w:p>
        </w:tc>
        <w:tc>
          <w:tcPr>
            <w:tcW w:w="312" w:type="pct"/>
            <w:vAlign w:val="center"/>
          </w:tcPr>
          <w:p w14:paraId="67CC4537">
            <w:pPr>
              <w:pStyle w:val="72"/>
              <w:rPr>
                <w:rFonts w:hint="eastAsia" w:ascii="仿宋" w:hAnsi="仿宋"/>
                <w:color w:val="000000"/>
                <w:sz w:val="20"/>
                <w:szCs w:val="20"/>
              </w:rPr>
            </w:pPr>
            <w:r>
              <w:rPr>
                <w:rFonts w:hint="eastAsia" w:ascii="仿宋" w:hAnsi="仿宋"/>
                <w:color w:val="000000"/>
                <w:sz w:val="20"/>
                <w:szCs w:val="20"/>
              </w:rPr>
              <w:t>100m</w:t>
            </w:r>
            <w:r>
              <w:rPr>
                <w:rFonts w:ascii="Calibri" w:hAnsi="Calibri" w:cs="Calibri"/>
                <w:color w:val="000000"/>
                <w:sz w:val="20"/>
                <w:szCs w:val="20"/>
              </w:rPr>
              <w:t>³</w:t>
            </w:r>
          </w:p>
        </w:tc>
        <w:tc>
          <w:tcPr>
            <w:tcW w:w="490" w:type="pct"/>
            <w:vAlign w:val="center"/>
          </w:tcPr>
          <w:p w14:paraId="7FA73E09">
            <w:pPr>
              <w:pStyle w:val="72"/>
              <w:ind w:firstLine="0" w:firstLineChars="0"/>
              <w:rPr>
                <w:rFonts w:hint="eastAsia" w:ascii="仿宋" w:hAnsi="仿宋"/>
                <w:color w:val="000000"/>
                <w:sz w:val="20"/>
                <w:szCs w:val="20"/>
              </w:rPr>
            </w:pPr>
            <w:r>
              <w:rPr>
                <w:rFonts w:hint="eastAsia" w:ascii="仿宋" w:hAnsi="仿宋"/>
                <w:color w:val="000000"/>
                <w:sz w:val="20"/>
                <w:szCs w:val="20"/>
              </w:rPr>
              <w:t>784.94</w:t>
            </w:r>
          </w:p>
        </w:tc>
        <w:tc>
          <w:tcPr>
            <w:tcW w:w="490" w:type="pct"/>
            <w:vAlign w:val="center"/>
          </w:tcPr>
          <w:p w14:paraId="034E3825">
            <w:pPr>
              <w:pStyle w:val="72"/>
              <w:ind w:firstLine="0" w:firstLineChars="0"/>
              <w:rPr>
                <w:rFonts w:hint="eastAsia" w:ascii="仿宋" w:hAnsi="仿宋"/>
                <w:color w:val="000000"/>
                <w:sz w:val="20"/>
                <w:szCs w:val="20"/>
              </w:rPr>
            </w:pPr>
            <w:r>
              <w:rPr>
                <w:rFonts w:hint="eastAsia" w:ascii="仿宋" w:hAnsi="仿宋"/>
                <w:color w:val="000000"/>
                <w:sz w:val="20"/>
                <w:szCs w:val="20"/>
              </w:rPr>
              <w:t>47.10</w:t>
            </w:r>
          </w:p>
        </w:tc>
        <w:tc>
          <w:tcPr>
            <w:tcW w:w="491" w:type="pct"/>
            <w:vAlign w:val="center"/>
          </w:tcPr>
          <w:p w14:paraId="5552C61C">
            <w:pPr>
              <w:pStyle w:val="72"/>
              <w:ind w:firstLine="0" w:firstLineChars="0"/>
              <w:rPr>
                <w:rFonts w:hint="eastAsia" w:ascii="仿宋" w:hAnsi="仿宋"/>
                <w:color w:val="000000"/>
                <w:sz w:val="20"/>
                <w:szCs w:val="20"/>
              </w:rPr>
            </w:pPr>
            <w:r>
              <w:rPr>
                <w:rFonts w:hint="eastAsia" w:ascii="仿宋" w:hAnsi="仿宋"/>
                <w:color w:val="000000"/>
                <w:sz w:val="20"/>
                <w:szCs w:val="20"/>
              </w:rPr>
              <w:t>24.96</w:t>
            </w:r>
          </w:p>
        </w:tc>
        <w:tc>
          <w:tcPr>
            <w:tcW w:w="582" w:type="pct"/>
            <w:vAlign w:val="center"/>
          </w:tcPr>
          <w:p w14:paraId="4459C302">
            <w:pPr>
              <w:pStyle w:val="72"/>
              <w:ind w:firstLine="0" w:firstLineChars="0"/>
              <w:rPr>
                <w:rFonts w:hint="eastAsia" w:ascii="仿宋" w:hAnsi="仿宋"/>
                <w:color w:val="000000"/>
                <w:sz w:val="20"/>
                <w:szCs w:val="20"/>
              </w:rPr>
            </w:pPr>
            <w:r>
              <w:rPr>
                <w:rFonts w:hint="eastAsia" w:ascii="仿宋" w:hAnsi="仿宋"/>
                <w:color w:val="000000"/>
                <w:sz w:val="20"/>
                <w:szCs w:val="20"/>
              </w:rPr>
              <w:t>111.88</w:t>
            </w:r>
          </w:p>
        </w:tc>
        <w:tc>
          <w:tcPr>
            <w:tcW w:w="423" w:type="pct"/>
            <w:vAlign w:val="center"/>
          </w:tcPr>
          <w:p w14:paraId="113CFF68">
            <w:pPr>
              <w:pStyle w:val="72"/>
              <w:ind w:firstLine="0" w:firstLineChars="0"/>
              <w:rPr>
                <w:rFonts w:hint="eastAsia" w:ascii="仿宋" w:hAnsi="仿宋"/>
                <w:color w:val="000000"/>
                <w:sz w:val="20"/>
                <w:szCs w:val="20"/>
              </w:rPr>
            </w:pPr>
            <w:r>
              <w:rPr>
                <w:rFonts w:hint="eastAsia" w:ascii="仿宋" w:hAnsi="仿宋"/>
                <w:color w:val="000000"/>
                <w:sz w:val="20"/>
                <w:szCs w:val="20"/>
                <w:lang w:val="en-US" w:eastAsia="zh-CN"/>
              </w:rPr>
              <w:t>87.20</w:t>
            </w:r>
          </w:p>
        </w:tc>
        <w:tc>
          <w:tcPr>
            <w:tcW w:w="562" w:type="pct"/>
            <w:vAlign w:val="center"/>
          </w:tcPr>
          <w:p w14:paraId="6955EFDF">
            <w:pPr>
              <w:pStyle w:val="72"/>
              <w:ind w:firstLine="0" w:firstLineChars="0"/>
              <w:rPr>
                <w:rFonts w:hint="default" w:ascii="仿宋" w:hAnsi="仿宋"/>
                <w:color w:val="000000"/>
                <w:sz w:val="20"/>
                <w:szCs w:val="20"/>
                <w:lang w:val="en-US" w:eastAsia="zh-CN"/>
              </w:rPr>
            </w:pPr>
            <w:r>
              <w:rPr>
                <w:rFonts w:hint="eastAsia" w:ascii="仿宋" w:hAnsi="仿宋"/>
                <w:color w:val="000000"/>
                <w:sz w:val="20"/>
                <w:szCs w:val="20"/>
                <w:lang w:val="en-US" w:eastAsia="zh-CN"/>
              </w:rPr>
              <w:t>1872.36</w:t>
            </w:r>
          </w:p>
        </w:tc>
      </w:tr>
      <w:tr w14:paraId="39E8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shd w:val="clear" w:color="auto" w:fill="auto"/>
            <w:vAlign w:val="center"/>
          </w:tcPr>
          <w:p w14:paraId="63E202D6">
            <w:pPr>
              <w:pStyle w:val="72"/>
              <w:ind w:firstLine="0" w:firstLineChars="0"/>
              <w:rPr>
                <w:rFonts w:hint="eastAsia" w:ascii="仿宋" w:hAnsi="仿宋" w:eastAsia="仿宋" w:cs="Times New Roman"/>
                <w:b w:val="0"/>
                <w:bCs/>
                <w:color w:val="000000"/>
                <w:kern w:val="2"/>
                <w:sz w:val="20"/>
                <w:szCs w:val="20"/>
                <w:lang w:val="en-US" w:eastAsia="zh-CN" w:bidi="ar-SA"/>
              </w:rPr>
            </w:pPr>
            <w:r>
              <w:rPr>
                <w:rFonts w:hint="eastAsia" w:ascii="仿宋" w:hAnsi="仿宋"/>
                <w:color w:val="000000"/>
                <w:sz w:val="20"/>
                <w:szCs w:val="20"/>
                <w:lang w:val="en-US" w:eastAsia="zh-CN"/>
              </w:rPr>
              <w:t>3</w:t>
            </w:r>
          </w:p>
        </w:tc>
        <w:tc>
          <w:tcPr>
            <w:tcW w:w="389" w:type="pct"/>
            <w:shd w:val="clear" w:color="auto" w:fill="auto"/>
            <w:vAlign w:val="center"/>
          </w:tcPr>
          <w:p w14:paraId="725240A9">
            <w:pPr>
              <w:pStyle w:val="72"/>
              <w:ind w:firstLine="0" w:firstLineChars="0"/>
              <w:rPr>
                <w:rFonts w:hint="eastAsia" w:ascii="仿宋" w:hAnsi="仿宋" w:cs="Times New Roman"/>
                <w:szCs w:val="21"/>
                <w:lang w:val="en-US" w:eastAsia="zh-CN"/>
              </w:rPr>
            </w:pPr>
            <w:r>
              <w:rPr>
                <w:rFonts w:hint="eastAsia" w:ascii="仿宋" w:hAnsi="仿宋" w:cs="Times New Roman"/>
                <w:szCs w:val="21"/>
              </w:rPr>
              <w:t>30020</w:t>
            </w:r>
          </w:p>
        </w:tc>
        <w:tc>
          <w:tcPr>
            <w:tcW w:w="980" w:type="pct"/>
            <w:shd w:val="clear" w:color="auto" w:fill="auto"/>
            <w:vAlign w:val="center"/>
          </w:tcPr>
          <w:p w14:paraId="2A7CB037">
            <w:pPr>
              <w:pStyle w:val="72"/>
              <w:ind w:firstLine="0" w:firstLineChars="0"/>
              <w:rPr>
                <w:rFonts w:hint="eastAsia" w:ascii="仿宋" w:hAnsi="仿宋" w:eastAsia="仿宋" w:cs="Times New Roman"/>
                <w:b w:val="0"/>
                <w:bCs/>
                <w:kern w:val="2"/>
                <w:sz w:val="21"/>
                <w:szCs w:val="21"/>
                <w:lang w:val="en-US" w:eastAsia="zh-CN" w:bidi="ar-SA"/>
              </w:rPr>
            </w:pPr>
            <w:r>
              <w:rPr>
                <w:rFonts w:hint="eastAsia" w:ascii="仿宋" w:hAnsi="仿宋"/>
                <w:szCs w:val="21"/>
                <w:lang w:val="en-US" w:eastAsia="zh-CN"/>
              </w:rPr>
              <w:t>井口浆砌石砌筑</w:t>
            </w:r>
          </w:p>
        </w:tc>
        <w:tc>
          <w:tcPr>
            <w:tcW w:w="312" w:type="pct"/>
            <w:vAlign w:val="center"/>
          </w:tcPr>
          <w:p w14:paraId="28A2F2AD">
            <w:pPr>
              <w:pStyle w:val="72"/>
              <w:rPr>
                <w:rFonts w:hint="eastAsia" w:ascii="仿宋" w:hAnsi="仿宋"/>
                <w:color w:val="000000"/>
                <w:sz w:val="20"/>
                <w:szCs w:val="20"/>
              </w:rPr>
            </w:pPr>
            <w:r>
              <w:rPr>
                <w:rFonts w:hint="eastAsia" w:ascii="仿宋" w:hAnsi="仿宋"/>
                <w:color w:val="000000"/>
                <w:sz w:val="20"/>
                <w:szCs w:val="20"/>
              </w:rPr>
              <w:t>100m</w:t>
            </w:r>
            <w:r>
              <w:rPr>
                <w:rFonts w:ascii="Calibri" w:hAnsi="Calibri" w:cs="Calibri"/>
                <w:color w:val="000000"/>
                <w:sz w:val="20"/>
                <w:szCs w:val="20"/>
              </w:rPr>
              <w:t>³</w:t>
            </w:r>
          </w:p>
        </w:tc>
        <w:tc>
          <w:tcPr>
            <w:tcW w:w="490" w:type="pct"/>
            <w:vAlign w:val="center"/>
          </w:tcPr>
          <w:p w14:paraId="7E65814B">
            <w:pPr>
              <w:pStyle w:val="72"/>
              <w:ind w:firstLine="0" w:firstLineChars="0"/>
              <w:rPr>
                <w:rFonts w:hint="eastAsia" w:ascii="仿宋" w:hAnsi="仿宋"/>
                <w:color w:val="000000"/>
                <w:sz w:val="20"/>
                <w:szCs w:val="20"/>
              </w:rPr>
            </w:pPr>
            <w:r>
              <w:rPr>
                <w:rFonts w:hint="eastAsia" w:ascii="仿宋" w:hAnsi="仿宋"/>
                <w:color w:val="000000"/>
                <w:sz w:val="20"/>
                <w:szCs w:val="20"/>
              </w:rPr>
              <w:t>18131.19</w:t>
            </w:r>
          </w:p>
        </w:tc>
        <w:tc>
          <w:tcPr>
            <w:tcW w:w="490" w:type="pct"/>
            <w:vAlign w:val="center"/>
          </w:tcPr>
          <w:p w14:paraId="15D3A476">
            <w:pPr>
              <w:pStyle w:val="72"/>
              <w:ind w:firstLine="0" w:firstLineChars="0"/>
              <w:rPr>
                <w:rFonts w:hint="eastAsia" w:ascii="仿宋" w:hAnsi="仿宋"/>
                <w:color w:val="000000"/>
                <w:sz w:val="20"/>
                <w:szCs w:val="20"/>
              </w:rPr>
            </w:pPr>
            <w:r>
              <w:rPr>
                <w:rFonts w:hint="eastAsia" w:ascii="仿宋" w:hAnsi="仿宋"/>
                <w:color w:val="000000"/>
                <w:sz w:val="20"/>
                <w:szCs w:val="20"/>
              </w:rPr>
              <w:t>1087.87</w:t>
            </w:r>
          </w:p>
        </w:tc>
        <w:tc>
          <w:tcPr>
            <w:tcW w:w="491" w:type="pct"/>
            <w:vAlign w:val="center"/>
          </w:tcPr>
          <w:p w14:paraId="6BDB53AF">
            <w:pPr>
              <w:pStyle w:val="72"/>
              <w:ind w:firstLine="0" w:firstLineChars="0"/>
              <w:rPr>
                <w:rFonts w:hint="eastAsia" w:ascii="仿宋" w:hAnsi="仿宋"/>
                <w:color w:val="000000"/>
                <w:sz w:val="20"/>
                <w:szCs w:val="20"/>
              </w:rPr>
            </w:pPr>
            <w:r>
              <w:rPr>
                <w:rFonts w:hint="eastAsia" w:ascii="仿宋" w:hAnsi="仿宋"/>
                <w:color w:val="000000"/>
                <w:sz w:val="20"/>
                <w:szCs w:val="20"/>
              </w:rPr>
              <w:t>576.57</w:t>
            </w:r>
          </w:p>
        </w:tc>
        <w:tc>
          <w:tcPr>
            <w:tcW w:w="582" w:type="pct"/>
            <w:vAlign w:val="center"/>
          </w:tcPr>
          <w:p w14:paraId="09E91211">
            <w:pPr>
              <w:pStyle w:val="72"/>
              <w:ind w:firstLine="0" w:firstLineChars="0"/>
              <w:rPr>
                <w:rFonts w:hint="eastAsia" w:ascii="仿宋" w:hAnsi="仿宋"/>
                <w:color w:val="000000"/>
                <w:sz w:val="20"/>
                <w:szCs w:val="20"/>
              </w:rPr>
            </w:pPr>
            <w:r>
              <w:rPr>
                <w:rFonts w:hint="eastAsia" w:ascii="仿宋" w:hAnsi="仿宋"/>
                <w:color w:val="000000"/>
                <w:sz w:val="20"/>
                <w:szCs w:val="20"/>
              </w:rPr>
              <w:t>8936.42</w:t>
            </w:r>
          </w:p>
        </w:tc>
        <w:tc>
          <w:tcPr>
            <w:tcW w:w="423" w:type="pct"/>
            <w:vAlign w:val="center"/>
          </w:tcPr>
          <w:p w14:paraId="2E148AF2">
            <w:pPr>
              <w:pStyle w:val="72"/>
              <w:ind w:firstLine="0" w:firstLineChars="0"/>
              <w:rPr>
                <w:rFonts w:hint="eastAsia" w:ascii="仿宋" w:hAnsi="仿宋"/>
                <w:color w:val="000000"/>
                <w:sz w:val="20"/>
                <w:szCs w:val="20"/>
              </w:rPr>
            </w:pPr>
            <w:r>
              <w:rPr>
                <w:rFonts w:hint="eastAsia" w:ascii="仿宋" w:hAnsi="仿宋"/>
                <w:color w:val="000000"/>
                <w:sz w:val="20"/>
                <w:szCs w:val="20"/>
              </w:rPr>
              <w:t>3160.53</w:t>
            </w:r>
          </w:p>
        </w:tc>
        <w:tc>
          <w:tcPr>
            <w:tcW w:w="562" w:type="pct"/>
            <w:vAlign w:val="center"/>
          </w:tcPr>
          <w:p w14:paraId="4C62B9C3">
            <w:pPr>
              <w:pStyle w:val="72"/>
              <w:ind w:firstLine="0" w:firstLineChars="0"/>
              <w:rPr>
                <w:rFonts w:hint="eastAsia" w:ascii="仿宋" w:hAnsi="仿宋"/>
                <w:color w:val="000000"/>
                <w:sz w:val="20"/>
                <w:szCs w:val="20"/>
              </w:rPr>
            </w:pPr>
            <w:r>
              <w:rPr>
                <w:rFonts w:hint="eastAsia" w:ascii="仿宋" w:hAnsi="仿宋"/>
                <w:color w:val="000000"/>
                <w:sz w:val="20"/>
                <w:szCs w:val="20"/>
              </w:rPr>
              <w:t>31892.58</w:t>
            </w:r>
          </w:p>
        </w:tc>
      </w:tr>
      <w:tr w14:paraId="7FD3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shd w:val="clear" w:color="auto" w:fill="auto"/>
            <w:vAlign w:val="center"/>
          </w:tcPr>
          <w:p w14:paraId="64A2026C">
            <w:pPr>
              <w:pStyle w:val="72"/>
              <w:ind w:firstLine="0" w:firstLineChars="0"/>
              <w:rPr>
                <w:rFonts w:hint="eastAsia" w:ascii="仿宋" w:hAnsi="仿宋" w:eastAsia="仿宋" w:cs="Times New Roman"/>
                <w:b w:val="0"/>
                <w:bCs/>
                <w:color w:val="000000"/>
                <w:kern w:val="2"/>
                <w:sz w:val="20"/>
                <w:szCs w:val="20"/>
                <w:lang w:val="en-US" w:eastAsia="zh-CN" w:bidi="ar-SA"/>
              </w:rPr>
            </w:pPr>
            <w:r>
              <w:rPr>
                <w:rFonts w:hint="eastAsia" w:ascii="仿宋" w:hAnsi="仿宋"/>
                <w:color w:val="000000"/>
                <w:sz w:val="20"/>
                <w:szCs w:val="20"/>
                <w:lang w:val="en-US" w:eastAsia="zh-CN"/>
              </w:rPr>
              <w:t>4</w:t>
            </w:r>
          </w:p>
        </w:tc>
        <w:tc>
          <w:tcPr>
            <w:tcW w:w="389" w:type="pct"/>
            <w:shd w:val="clear" w:color="auto" w:fill="auto"/>
            <w:vAlign w:val="center"/>
          </w:tcPr>
          <w:p w14:paraId="58A0EE06">
            <w:pPr>
              <w:pStyle w:val="72"/>
              <w:ind w:firstLine="0" w:firstLineChars="0"/>
              <w:rPr>
                <w:rFonts w:hint="eastAsia" w:ascii="宋体" w:hAnsi="宋体" w:eastAsia="仿宋" w:cs="Times New Roman"/>
                <w:b w:val="0"/>
                <w:bCs/>
                <w:color w:val="000000"/>
                <w:kern w:val="2"/>
                <w:sz w:val="21"/>
                <w:szCs w:val="28"/>
                <w:lang w:val="en-US" w:eastAsia="zh-CN" w:bidi="ar-SA"/>
              </w:rPr>
            </w:pPr>
            <w:r>
              <w:rPr>
                <w:rFonts w:hint="eastAsia" w:ascii="仿宋" w:hAnsi="仿宋"/>
                <w:color w:val="000000"/>
                <w:sz w:val="20"/>
                <w:szCs w:val="20"/>
              </w:rPr>
              <w:t>20294</w:t>
            </w:r>
          </w:p>
        </w:tc>
        <w:tc>
          <w:tcPr>
            <w:tcW w:w="980" w:type="pct"/>
            <w:shd w:val="clear" w:color="auto" w:fill="auto"/>
            <w:vAlign w:val="center"/>
          </w:tcPr>
          <w:p w14:paraId="21B65C30">
            <w:pPr>
              <w:pStyle w:val="72"/>
              <w:ind w:firstLine="0" w:firstLineChars="0"/>
              <w:rPr>
                <w:rFonts w:hint="eastAsia" w:ascii="宋体" w:hAnsi="宋体" w:eastAsia="仿宋" w:cs="Times New Roman"/>
                <w:b w:val="0"/>
                <w:bCs/>
                <w:color w:val="000000"/>
                <w:kern w:val="2"/>
                <w:sz w:val="21"/>
                <w:szCs w:val="28"/>
                <w:lang w:val="en-US" w:eastAsia="zh-CN" w:bidi="ar-SA"/>
              </w:rPr>
            </w:pPr>
            <w:r>
              <w:rPr>
                <w:rFonts w:hint="eastAsia" w:ascii="仿宋" w:hAnsi="仿宋"/>
                <w:szCs w:val="21"/>
              </w:rPr>
              <w:t>井口回填</w:t>
            </w:r>
          </w:p>
        </w:tc>
        <w:tc>
          <w:tcPr>
            <w:tcW w:w="312" w:type="pct"/>
            <w:vAlign w:val="center"/>
          </w:tcPr>
          <w:p w14:paraId="6F23E1DF">
            <w:pPr>
              <w:pStyle w:val="72"/>
              <w:rPr>
                <w:rFonts w:hint="eastAsia" w:ascii="仿宋" w:hAnsi="仿宋"/>
                <w:color w:val="000000"/>
                <w:sz w:val="20"/>
                <w:szCs w:val="20"/>
              </w:rPr>
            </w:pPr>
          </w:p>
        </w:tc>
        <w:tc>
          <w:tcPr>
            <w:tcW w:w="490" w:type="pct"/>
            <w:vAlign w:val="center"/>
          </w:tcPr>
          <w:p w14:paraId="57FAC47C">
            <w:pPr>
              <w:pStyle w:val="72"/>
              <w:ind w:firstLine="0" w:firstLineChars="0"/>
              <w:rPr>
                <w:rFonts w:hint="eastAsia" w:ascii="仿宋" w:hAnsi="仿宋"/>
                <w:color w:val="000000"/>
                <w:sz w:val="20"/>
                <w:szCs w:val="20"/>
              </w:rPr>
            </w:pPr>
          </w:p>
        </w:tc>
        <w:tc>
          <w:tcPr>
            <w:tcW w:w="490" w:type="pct"/>
            <w:vAlign w:val="center"/>
          </w:tcPr>
          <w:p w14:paraId="1BAFDF77">
            <w:pPr>
              <w:pStyle w:val="72"/>
              <w:ind w:firstLine="0" w:firstLineChars="0"/>
              <w:rPr>
                <w:rFonts w:hint="eastAsia" w:ascii="仿宋" w:hAnsi="仿宋"/>
                <w:color w:val="000000"/>
                <w:sz w:val="20"/>
                <w:szCs w:val="20"/>
              </w:rPr>
            </w:pPr>
          </w:p>
        </w:tc>
        <w:tc>
          <w:tcPr>
            <w:tcW w:w="491" w:type="pct"/>
            <w:vAlign w:val="center"/>
          </w:tcPr>
          <w:p w14:paraId="302464B9">
            <w:pPr>
              <w:pStyle w:val="72"/>
              <w:ind w:firstLine="0" w:firstLineChars="0"/>
              <w:rPr>
                <w:rFonts w:hint="eastAsia" w:ascii="仿宋" w:hAnsi="仿宋"/>
                <w:color w:val="000000"/>
                <w:sz w:val="20"/>
                <w:szCs w:val="20"/>
              </w:rPr>
            </w:pPr>
          </w:p>
        </w:tc>
        <w:tc>
          <w:tcPr>
            <w:tcW w:w="582" w:type="pct"/>
            <w:vAlign w:val="center"/>
          </w:tcPr>
          <w:p w14:paraId="29B048CA">
            <w:pPr>
              <w:pStyle w:val="72"/>
              <w:ind w:firstLine="0" w:firstLineChars="0"/>
              <w:rPr>
                <w:rFonts w:hint="eastAsia" w:ascii="仿宋" w:hAnsi="仿宋"/>
                <w:color w:val="000000"/>
                <w:sz w:val="20"/>
                <w:szCs w:val="20"/>
              </w:rPr>
            </w:pPr>
          </w:p>
        </w:tc>
        <w:tc>
          <w:tcPr>
            <w:tcW w:w="423" w:type="pct"/>
            <w:vAlign w:val="center"/>
          </w:tcPr>
          <w:p w14:paraId="6989684D">
            <w:pPr>
              <w:pStyle w:val="72"/>
              <w:ind w:firstLine="0" w:firstLineChars="0"/>
              <w:rPr>
                <w:rFonts w:hint="eastAsia" w:ascii="仿宋" w:hAnsi="仿宋"/>
                <w:color w:val="000000"/>
                <w:sz w:val="20"/>
                <w:szCs w:val="20"/>
              </w:rPr>
            </w:pPr>
          </w:p>
        </w:tc>
        <w:tc>
          <w:tcPr>
            <w:tcW w:w="562" w:type="pct"/>
            <w:vAlign w:val="center"/>
          </w:tcPr>
          <w:p w14:paraId="711D2AAB">
            <w:pPr>
              <w:pStyle w:val="72"/>
              <w:ind w:firstLine="0" w:firstLineChars="0"/>
              <w:rPr>
                <w:rFonts w:hint="eastAsia" w:ascii="仿宋" w:hAnsi="仿宋"/>
                <w:color w:val="000000"/>
                <w:sz w:val="20"/>
                <w:szCs w:val="20"/>
              </w:rPr>
            </w:pPr>
          </w:p>
        </w:tc>
      </w:tr>
      <w:tr w14:paraId="20C2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shd w:val="clear" w:color="auto" w:fill="auto"/>
            <w:vAlign w:val="center"/>
          </w:tcPr>
          <w:p w14:paraId="014C17B0">
            <w:pPr>
              <w:pStyle w:val="72"/>
              <w:ind w:firstLine="0" w:firstLineChars="0"/>
              <w:rPr>
                <w:rFonts w:hint="eastAsia" w:ascii="仿宋" w:hAnsi="仿宋" w:eastAsia="仿宋" w:cs="Times New Roman"/>
                <w:b w:val="0"/>
                <w:bCs/>
                <w:color w:val="000000"/>
                <w:kern w:val="2"/>
                <w:sz w:val="20"/>
                <w:szCs w:val="20"/>
                <w:lang w:val="en-US" w:eastAsia="zh-CN" w:bidi="ar-SA"/>
              </w:rPr>
            </w:pPr>
            <w:r>
              <w:rPr>
                <w:rFonts w:hint="eastAsia" w:ascii="仿宋" w:hAnsi="仿宋"/>
                <w:color w:val="000000"/>
                <w:sz w:val="20"/>
                <w:szCs w:val="20"/>
                <w:lang w:val="en-US" w:eastAsia="zh-CN"/>
              </w:rPr>
              <w:t>5</w:t>
            </w:r>
          </w:p>
        </w:tc>
        <w:tc>
          <w:tcPr>
            <w:tcW w:w="389" w:type="pct"/>
            <w:shd w:val="clear" w:color="auto" w:fill="auto"/>
            <w:vAlign w:val="center"/>
          </w:tcPr>
          <w:p w14:paraId="781384E3">
            <w:pPr>
              <w:pStyle w:val="72"/>
              <w:ind w:firstLine="0" w:firstLineChars="0"/>
              <w:rPr>
                <w:rFonts w:hint="eastAsia" w:ascii="宋体" w:hAnsi="宋体" w:eastAsia="仿宋" w:cs="Times New Roman"/>
                <w:b w:val="0"/>
                <w:bCs/>
                <w:color w:val="000000"/>
                <w:kern w:val="2"/>
                <w:sz w:val="21"/>
                <w:szCs w:val="28"/>
                <w:lang w:val="en-US" w:eastAsia="zh-CN" w:bidi="ar-SA"/>
              </w:rPr>
            </w:pPr>
            <w:r>
              <w:rPr>
                <w:rFonts w:hint="eastAsia" w:ascii="仿宋" w:hAnsi="仿宋"/>
                <w:color w:val="000000"/>
                <w:sz w:val="20"/>
                <w:szCs w:val="20"/>
              </w:rPr>
              <w:t>20273</w:t>
            </w:r>
          </w:p>
        </w:tc>
        <w:tc>
          <w:tcPr>
            <w:tcW w:w="980" w:type="pct"/>
            <w:shd w:val="clear" w:color="auto" w:fill="auto"/>
            <w:vAlign w:val="center"/>
          </w:tcPr>
          <w:p w14:paraId="5E70B087">
            <w:pPr>
              <w:pStyle w:val="72"/>
              <w:ind w:firstLine="0" w:firstLineChars="0"/>
              <w:rPr>
                <w:rFonts w:hint="eastAsia" w:ascii="宋体" w:hAnsi="宋体" w:eastAsia="仿宋" w:cs="Times New Roman"/>
                <w:b w:val="0"/>
                <w:bCs/>
                <w:color w:val="000000"/>
                <w:kern w:val="2"/>
                <w:sz w:val="21"/>
                <w:szCs w:val="28"/>
                <w:lang w:val="en-US" w:eastAsia="zh-CN" w:bidi="ar-SA"/>
              </w:rPr>
            </w:pPr>
            <w:r>
              <w:rPr>
                <w:rFonts w:hint="eastAsia" w:ascii="仿宋" w:hAnsi="仿宋"/>
                <w:szCs w:val="21"/>
              </w:rPr>
              <w:t>场地平整</w:t>
            </w:r>
          </w:p>
        </w:tc>
        <w:tc>
          <w:tcPr>
            <w:tcW w:w="312" w:type="pct"/>
            <w:shd w:val="clear" w:color="auto" w:fill="auto"/>
            <w:vAlign w:val="center"/>
          </w:tcPr>
          <w:p w14:paraId="20EE8CE0">
            <w:pPr>
              <w:pStyle w:val="72"/>
              <w:ind w:firstLine="0" w:firstLineChars="0"/>
              <w:rPr>
                <w:rFonts w:hint="eastAsia" w:ascii="Times New Roman" w:hAnsi="Times New Roman" w:eastAsia="仿宋" w:cs="Times New Roman"/>
                <w:b w:val="0"/>
                <w:bCs/>
                <w:color w:val="000000" w:themeColor="text1"/>
                <w:kern w:val="2"/>
                <w:sz w:val="21"/>
                <w:szCs w:val="28"/>
                <w:lang w:val="en-US" w:eastAsia="zh-CN" w:bidi="ar-SA"/>
                <w14:textFill>
                  <w14:solidFill>
                    <w14:schemeClr w14:val="tx1"/>
                  </w14:solidFill>
                </w14:textFill>
              </w:rPr>
            </w:pPr>
            <w:r>
              <w:rPr>
                <w:rFonts w:hint="eastAsia" w:ascii="仿宋" w:hAnsi="仿宋"/>
                <w:color w:val="000000"/>
                <w:sz w:val="20"/>
                <w:szCs w:val="20"/>
              </w:rPr>
              <w:t>100m</w:t>
            </w:r>
            <w:r>
              <w:rPr>
                <w:rFonts w:ascii="Calibri" w:hAnsi="Calibri" w:cs="Calibri"/>
                <w:color w:val="000000"/>
                <w:sz w:val="20"/>
                <w:szCs w:val="20"/>
              </w:rPr>
              <w:t>³</w:t>
            </w:r>
          </w:p>
        </w:tc>
        <w:tc>
          <w:tcPr>
            <w:tcW w:w="490" w:type="pct"/>
            <w:shd w:val="clear" w:color="auto" w:fill="auto"/>
            <w:vAlign w:val="center"/>
          </w:tcPr>
          <w:p w14:paraId="564A1DF5">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447.46</w:t>
            </w:r>
          </w:p>
        </w:tc>
        <w:tc>
          <w:tcPr>
            <w:tcW w:w="490" w:type="pct"/>
            <w:shd w:val="clear" w:color="auto" w:fill="auto"/>
            <w:vAlign w:val="center"/>
          </w:tcPr>
          <w:p w14:paraId="4BAE1D3C">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32.22</w:t>
            </w:r>
          </w:p>
        </w:tc>
        <w:tc>
          <w:tcPr>
            <w:tcW w:w="491" w:type="pct"/>
            <w:shd w:val="clear" w:color="auto" w:fill="auto"/>
            <w:vAlign w:val="center"/>
          </w:tcPr>
          <w:p w14:paraId="7135F1CC">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14.39</w:t>
            </w:r>
          </w:p>
        </w:tc>
        <w:tc>
          <w:tcPr>
            <w:tcW w:w="582" w:type="pct"/>
            <w:shd w:val="clear" w:color="auto" w:fill="auto"/>
            <w:vAlign w:val="center"/>
          </w:tcPr>
          <w:p w14:paraId="193E88AC">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90.27</w:t>
            </w:r>
          </w:p>
        </w:tc>
        <w:tc>
          <w:tcPr>
            <w:tcW w:w="423" w:type="pct"/>
            <w:shd w:val="clear" w:color="auto" w:fill="auto"/>
            <w:vAlign w:val="center"/>
          </w:tcPr>
          <w:p w14:paraId="124E42E5">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52.59</w:t>
            </w:r>
          </w:p>
        </w:tc>
        <w:tc>
          <w:tcPr>
            <w:tcW w:w="562" w:type="pct"/>
            <w:shd w:val="clear" w:color="auto" w:fill="auto"/>
            <w:vAlign w:val="center"/>
          </w:tcPr>
          <w:p w14:paraId="0025F08A">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636.93</w:t>
            </w:r>
          </w:p>
        </w:tc>
      </w:tr>
      <w:tr w14:paraId="12D2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shd w:val="clear" w:color="auto" w:fill="auto"/>
            <w:vAlign w:val="center"/>
          </w:tcPr>
          <w:p w14:paraId="7466A62B">
            <w:pPr>
              <w:pStyle w:val="72"/>
              <w:ind w:firstLine="0" w:firstLineChars="0"/>
              <w:rPr>
                <w:rFonts w:hint="default" w:ascii="仿宋" w:hAnsi="仿宋" w:eastAsia="仿宋" w:cs="Times New Roman"/>
                <w:b w:val="0"/>
                <w:bCs/>
                <w:color w:val="000000"/>
                <w:kern w:val="2"/>
                <w:sz w:val="20"/>
                <w:szCs w:val="20"/>
                <w:lang w:val="en-US" w:eastAsia="zh-CN" w:bidi="ar-SA"/>
              </w:rPr>
            </w:pPr>
            <w:r>
              <w:rPr>
                <w:rFonts w:hint="eastAsia" w:ascii="仿宋" w:hAnsi="仿宋"/>
                <w:color w:val="000000"/>
                <w:sz w:val="20"/>
                <w:szCs w:val="20"/>
                <w:lang w:val="en-US" w:eastAsia="zh-CN"/>
              </w:rPr>
              <w:t>6</w:t>
            </w:r>
          </w:p>
        </w:tc>
        <w:tc>
          <w:tcPr>
            <w:tcW w:w="389" w:type="pct"/>
            <w:shd w:val="clear" w:color="auto" w:fill="auto"/>
            <w:vAlign w:val="center"/>
          </w:tcPr>
          <w:p w14:paraId="4981FD29">
            <w:pPr>
              <w:pStyle w:val="72"/>
              <w:ind w:firstLine="0" w:firstLineChars="0"/>
              <w:rPr>
                <w:rFonts w:hint="default" w:ascii="仿宋" w:hAnsi="仿宋" w:eastAsia="仿宋"/>
                <w:color w:val="000000"/>
                <w:sz w:val="20"/>
                <w:szCs w:val="20"/>
                <w:lang w:val="en-US" w:eastAsia="zh-CN"/>
              </w:rPr>
            </w:pPr>
            <w:r>
              <w:rPr>
                <w:rFonts w:hint="eastAsia" w:ascii="仿宋" w:hAnsi="仿宋"/>
                <w:color w:val="000000"/>
                <w:sz w:val="20"/>
                <w:szCs w:val="20"/>
                <w:lang w:val="en-US" w:eastAsia="zh-CN"/>
              </w:rPr>
              <w:t>Zb001</w:t>
            </w:r>
          </w:p>
        </w:tc>
        <w:tc>
          <w:tcPr>
            <w:tcW w:w="980" w:type="pct"/>
            <w:shd w:val="clear" w:color="auto" w:fill="auto"/>
            <w:vAlign w:val="center"/>
          </w:tcPr>
          <w:p w14:paraId="352CC20B">
            <w:pPr>
              <w:pStyle w:val="72"/>
              <w:ind w:firstLine="0" w:firstLineChars="0"/>
              <w:rPr>
                <w:rFonts w:hint="default" w:ascii="仿宋" w:hAnsi="仿宋" w:eastAsia="仿宋"/>
                <w:szCs w:val="21"/>
                <w:lang w:val="en-US" w:eastAsia="zh-CN"/>
              </w:rPr>
            </w:pPr>
            <w:r>
              <w:rPr>
                <w:rFonts w:hint="eastAsia" w:ascii="仿宋" w:hAnsi="仿宋"/>
                <w:szCs w:val="21"/>
                <w:lang w:val="en-US" w:eastAsia="zh-CN"/>
              </w:rPr>
              <w:t>购买表土</w:t>
            </w:r>
          </w:p>
        </w:tc>
        <w:tc>
          <w:tcPr>
            <w:tcW w:w="312" w:type="pct"/>
            <w:shd w:val="clear" w:color="auto" w:fill="auto"/>
            <w:vAlign w:val="center"/>
          </w:tcPr>
          <w:p w14:paraId="04E932BF">
            <w:pPr>
              <w:pStyle w:val="72"/>
              <w:ind w:firstLine="0" w:firstLineChars="0"/>
              <w:rPr>
                <w:rFonts w:hint="default" w:ascii="仿宋" w:hAnsi="仿宋" w:eastAsia="仿宋"/>
                <w:color w:val="000000"/>
                <w:sz w:val="20"/>
                <w:szCs w:val="20"/>
                <w:lang w:val="en-US" w:eastAsia="zh-CN"/>
              </w:rPr>
            </w:pPr>
            <w:r>
              <w:rPr>
                <w:rFonts w:hint="eastAsia" w:ascii="仿宋" w:hAnsi="仿宋"/>
                <w:color w:val="000000"/>
                <w:sz w:val="20"/>
                <w:szCs w:val="20"/>
              </w:rPr>
              <w:t>100m</w:t>
            </w:r>
            <w:r>
              <w:rPr>
                <w:rFonts w:ascii="Calibri" w:hAnsi="Calibri" w:cs="Calibri"/>
                <w:color w:val="000000"/>
                <w:sz w:val="20"/>
                <w:szCs w:val="20"/>
              </w:rPr>
              <w:t>³</w:t>
            </w:r>
          </w:p>
        </w:tc>
        <w:tc>
          <w:tcPr>
            <w:tcW w:w="490" w:type="pct"/>
            <w:shd w:val="clear" w:color="auto" w:fill="auto"/>
            <w:vAlign w:val="center"/>
          </w:tcPr>
          <w:p w14:paraId="7B67BE63">
            <w:pPr>
              <w:pStyle w:val="72"/>
              <w:ind w:firstLine="0" w:firstLineChars="0"/>
              <w:rPr>
                <w:rFonts w:hint="eastAsia" w:ascii="仿宋" w:hAnsi="仿宋"/>
                <w:color w:val="000000"/>
                <w:sz w:val="20"/>
                <w:szCs w:val="20"/>
              </w:rPr>
            </w:pPr>
          </w:p>
        </w:tc>
        <w:tc>
          <w:tcPr>
            <w:tcW w:w="490" w:type="pct"/>
            <w:shd w:val="clear" w:color="auto" w:fill="auto"/>
            <w:vAlign w:val="center"/>
          </w:tcPr>
          <w:p w14:paraId="3777242A">
            <w:pPr>
              <w:pStyle w:val="72"/>
              <w:ind w:firstLine="0" w:firstLineChars="0"/>
              <w:rPr>
                <w:rFonts w:hint="eastAsia" w:ascii="仿宋" w:hAnsi="仿宋"/>
                <w:color w:val="000000"/>
                <w:sz w:val="20"/>
                <w:szCs w:val="20"/>
              </w:rPr>
            </w:pPr>
          </w:p>
        </w:tc>
        <w:tc>
          <w:tcPr>
            <w:tcW w:w="491" w:type="pct"/>
            <w:shd w:val="clear" w:color="auto" w:fill="auto"/>
            <w:vAlign w:val="center"/>
          </w:tcPr>
          <w:p w14:paraId="72520FD1">
            <w:pPr>
              <w:pStyle w:val="72"/>
              <w:ind w:firstLine="0" w:firstLineChars="0"/>
              <w:rPr>
                <w:rFonts w:hint="eastAsia" w:ascii="仿宋" w:hAnsi="仿宋"/>
                <w:color w:val="000000"/>
                <w:sz w:val="20"/>
                <w:szCs w:val="20"/>
              </w:rPr>
            </w:pPr>
          </w:p>
        </w:tc>
        <w:tc>
          <w:tcPr>
            <w:tcW w:w="582" w:type="pct"/>
            <w:shd w:val="clear" w:color="auto" w:fill="auto"/>
            <w:vAlign w:val="center"/>
          </w:tcPr>
          <w:p w14:paraId="6B5F91DA">
            <w:pPr>
              <w:pStyle w:val="72"/>
              <w:ind w:firstLine="0" w:firstLineChars="0"/>
              <w:rPr>
                <w:rFonts w:hint="eastAsia" w:ascii="仿宋" w:hAnsi="仿宋"/>
                <w:color w:val="000000"/>
                <w:sz w:val="20"/>
                <w:szCs w:val="20"/>
              </w:rPr>
            </w:pPr>
          </w:p>
        </w:tc>
        <w:tc>
          <w:tcPr>
            <w:tcW w:w="423" w:type="pct"/>
            <w:shd w:val="clear" w:color="auto" w:fill="auto"/>
            <w:vAlign w:val="center"/>
          </w:tcPr>
          <w:p w14:paraId="68E4E193">
            <w:pPr>
              <w:pStyle w:val="72"/>
              <w:ind w:firstLine="0" w:firstLineChars="0"/>
              <w:rPr>
                <w:rFonts w:hint="eastAsia" w:ascii="仿宋" w:hAnsi="仿宋"/>
                <w:color w:val="000000"/>
                <w:sz w:val="20"/>
                <w:szCs w:val="20"/>
              </w:rPr>
            </w:pPr>
          </w:p>
        </w:tc>
        <w:tc>
          <w:tcPr>
            <w:tcW w:w="562" w:type="pct"/>
            <w:shd w:val="clear" w:color="auto" w:fill="auto"/>
            <w:vAlign w:val="center"/>
          </w:tcPr>
          <w:p w14:paraId="3D7FD917">
            <w:pPr>
              <w:pStyle w:val="72"/>
              <w:ind w:firstLine="0" w:firstLineChars="0"/>
              <w:rPr>
                <w:rFonts w:hint="default" w:ascii="仿宋" w:hAnsi="仿宋"/>
                <w:color w:val="000000"/>
                <w:sz w:val="20"/>
                <w:szCs w:val="20"/>
                <w:lang w:val="en-US" w:eastAsia="zh-CN"/>
              </w:rPr>
            </w:pPr>
            <w:r>
              <w:rPr>
                <w:rFonts w:hint="eastAsia" w:ascii="仿宋" w:hAnsi="仿宋"/>
                <w:color w:val="000000"/>
                <w:sz w:val="20"/>
                <w:szCs w:val="20"/>
                <w:lang w:val="en-US" w:eastAsia="zh-CN"/>
              </w:rPr>
              <w:t>5000</w:t>
            </w:r>
          </w:p>
        </w:tc>
      </w:tr>
      <w:tr w14:paraId="2C94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shd w:val="clear" w:color="auto" w:fill="auto"/>
            <w:vAlign w:val="center"/>
          </w:tcPr>
          <w:p w14:paraId="714C6FC3">
            <w:pPr>
              <w:pStyle w:val="72"/>
              <w:ind w:firstLine="0" w:firstLineChars="0"/>
              <w:rPr>
                <w:rFonts w:hint="eastAsia" w:ascii="仿宋" w:hAnsi="仿宋" w:eastAsia="仿宋" w:cs="Times New Roman"/>
                <w:b w:val="0"/>
                <w:bCs/>
                <w:color w:val="000000"/>
                <w:kern w:val="2"/>
                <w:sz w:val="20"/>
                <w:szCs w:val="20"/>
                <w:lang w:val="en-US" w:eastAsia="zh-CN" w:bidi="ar-SA"/>
              </w:rPr>
            </w:pPr>
            <w:r>
              <w:rPr>
                <w:rFonts w:hint="eastAsia" w:ascii="仿宋" w:hAnsi="仿宋"/>
                <w:color w:val="000000"/>
                <w:sz w:val="20"/>
                <w:szCs w:val="20"/>
                <w:lang w:val="en-US" w:eastAsia="zh-CN"/>
              </w:rPr>
              <w:t>7</w:t>
            </w:r>
          </w:p>
        </w:tc>
        <w:tc>
          <w:tcPr>
            <w:tcW w:w="389" w:type="pct"/>
            <w:shd w:val="clear" w:color="auto" w:fill="auto"/>
            <w:vAlign w:val="center"/>
          </w:tcPr>
          <w:p w14:paraId="3C3B96BE">
            <w:pPr>
              <w:pStyle w:val="72"/>
              <w:ind w:firstLine="0" w:firstLineChars="0"/>
              <w:rPr>
                <w:rFonts w:hint="eastAsia" w:ascii="仿宋" w:hAnsi="仿宋" w:eastAsia="仿宋" w:cs="Times New Roman"/>
                <w:b w:val="0"/>
                <w:bCs/>
                <w:color w:val="000000"/>
                <w:kern w:val="2"/>
                <w:sz w:val="20"/>
                <w:szCs w:val="20"/>
                <w:lang w:val="en-US" w:eastAsia="zh-CN" w:bidi="ar-SA"/>
              </w:rPr>
            </w:pPr>
            <w:r>
              <w:rPr>
                <w:rFonts w:hint="eastAsia" w:ascii="仿宋" w:hAnsi="仿宋"/>
                <w:color w:val="000000"/>
                <w:sz w:val="20"/>
                <w:szCs w:val="20"/>
              </w:rPr>
              <w:t>10305</w:t>
            </w:r>
          </w:p>
        </w:tc>
        <w:tc>
          <w:tcPr>
            <w:tcW w:w="980" w:type="pct"/>
            <w:shd w:val="clear" w:color="auto" w:fill="auto"/>
            <w:vAlign w:val="center"/>
          </w:tcPr>
          <w:p w14:paraId="03482C5F">
            <w:pPr>
              <w:pStyle w:val="72"/>
              <w:ind w:firstLine="0" w:firstLineChars="0"/>
              <w:rPr>
                <w:rFonts w:hint="eastAsia" w:ascii="仿宋" w:hAnsi="仿宋" w:eastAsia="仿宋" w:cs="Times New Roman"/>
                <w:b w:val="0"/>
                <w:bCs/>
                <w:kern w:val="2"/>
                <w:sz w:val="21"/>
                <w:szCs w:val="21"/>
                <w:lang w:val="en-US" w:eastAsia="zh-CN" w:bidi="ar-SA"/>
              </w:rPr>
            </w:pPr>
            <w:r>
              <w:rPr>
                <w:rFonts w:hint="eastAsia" w:ascii="仿宋" w:hAnsi="仿宋"/>
                <w:szCs w:val="21"/>
              </w:rPr>
              <w:t>表土回填</w:t>
            </w:r>
          </w:p>
        </w:tc>
        <w:tc>
          <w:tcPr>
            <w:tcW w:w="312" w:type="pct"/>
            <w:vAlign w:val="center"/>
          </w:tcPr>
          <w:p w14:paraId="226DE26A">
            <w:pPr>
              <w:pStyle w:val="72"/>
              <w:rPr>
                <w:rFonts w:hint="eastAsia" w:ascii="仿宋" w:hAnsi="仿宋"/>
                <w:color w:val="000000"/>
                <w:sz w:val="20"/>
                <w:szCs w:val="20"/>
              </w:rPr>
            </w:pPr>
          </w:p>
        </w:tc>
        <w:tc>
          <w:tcPr>
            <w:tcW w:w="490" w:type="pct"/>
            <w:vAlign w:val="center"/>
          </w:tcPr>
          <w:p w14:paraId="3103267C">
            <w:pPr>
              <w:pStyle w:val="72"/>
              <w:ind w:firstLine="0" w:firstLineChars="0"/>
              <w:rPr>
                <w:rFonts w:hint="eastAsia" w:ascii="仿宋" w:hAnsi="仿宋"/>
                <w:color w:val="000000"/>
                <w:sz w:val="20"/>
                <w:szCs w:val="20"/>
              </w:rPr>
            </w:pPr>
          </w:p>
        </w:tc>
        <w:tc>
          <w:tcPr>
            <w:tcW w:w="490" w:type="pct"/>
            <w:vAlign w:val="center"/>
          </w:tcPr>
          <w:p w14:paraId="60EA34D1">
            <w:pPr>
              <w:pStyle w:val="72"/>
              <w:ind w:firstLine="0" w:firstLineChars="0"/>
              <w:rPr>
                <w:rFonts w:hint="eastAsia" w:ascii="仿宋" w:hAnsi="仿宋"/>
                <w:color w:val="000000"/>
                <w:sz w:val="20"/>
                <w:szCs w:val="20"/>
              </w:rPr>
            </w:pPr>
          </w:p>
        </w:tc>
        <w:tc>
          <w:tcPr>
            <w:tcW w:w="491" w:type="pct"/>
            <w:vAlign w:val="center"/>
          </w:tcPr>
          <w:p w14:paraId="7DC465EA">
            <w:pPr>
              <w:pStyle w:val="72"/>
              <w:ind w:firstLine="0" w:firstLineChars="0"/>
              <w:rPr>
                <w:rFonts w:hint="eastAsia" w:ascii="仿宋" w:hAnsi="仿宋"/>
                <w:color w:val="000000"/>
                <w:sz w:val="20"/>
                <w:szCs w:val="20"/>
              </w:rPr>
            </w:pPr>
          </w:p>
        </w:tc>
        <w:tc>
          <w:tcPr>
            <w:tcW w:w="582" w:type="pct"/>
            <w:vAlign w:val="center"/>
          </w:tcPr>
          <w:p w14:paraId="51E54808">
            <w:pPr>
              <w:pStyle w:val="72"/>
              <w:ind w:firstLine="0" w:firstLineChars="0"/>
              <w:rPr>
                <w:rFonts w:hint="eastAsia" w:ascii="仿宋" w:hAnsi="仿宋"/>
                <w:color w:val="000000"/>
                <w:sz w:val="20"/>
                <w:szCs w:val="20"/>
              </w:rPr>
            </w:pPr>
          </w:p>
        </w:tc>
        <w:tc>
          <w:tcPr>
            <w:tcW w:w="423" w:type="pct"/>
            <w:vAlign w:val="center"/>
          </w:tcPr>
          <w:p w14:paraId="772585D8">
            <w:pPr>
              <w:pStyle w:val="72"/>
              <w:ind w:firstLine="0" w:firstLineChars="0"/>
              <w:rPr>
                <w:rFonts w:hint="eastAsia" w:ascii="仿宋" w:hAnsi="仿宋"/>
                <w:color w:val="000000"/>
                <w:sz w:val="20"/>
                <w:szCs w:val="20"/>
              </w:rPr>
            </w:pPr>
          </w:p>
        </w:tc>
        <w:tc>
          <w:tcPr>
            <w:tcW w:w="562" w:type="pct"/>
            <w:vAlign w:val="center"/>
          </w:tcPr>
          <w:p w14:paraId="40E14688">
            <w:pPr>
              <w:pStyle w:val="72"/>
              <w:ind w:firstLine="0" w:firstLineChars="0"/>
              <w:rPr>
                <w:rFonts w:hint="eastAsia" w:ascii="仿宋" w:hAnsi="仿宋"/>
                <w:color w:val="000000"/>
                <w:sz w:val="20"/>
                <w:szCs w:val="20"/>
              </w:rPr>
            </w:pPr>
          </w:p>
        </w:tc>
      </w:tr>
      <w:tr w14:paraId="48E0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shd w:val="clear" w:color="auto" w:fill="auto"/>
            <w:vAlign w:val="center"/>
          </w:tcPr>
          <w:p w14:paraId="64F9029D">
            <w:pPr>
              <w:pStyle w:val="72"/>
              <w:ind w:firstLine="0" w:firstLineChars="0"/>
              <w:rPr>
                <w:rFonts w:hint="eastAsia" w:ascii="仿宋" w:hAnsi="仿宋" w:eastAsia="仿宋" w:cs="Times New Roman"/>
                <w:b w:val="0"/>
                <w:bCs/>
                <w:color w:val="000000"/>
                <w:kern w:val="2"/>
                <w:sz w:val="20"/>
                <w:szCs w:val="20"/>
                <w:lang w:val="en-US" w:eastAsia="zh-CN" w:bidi="ar-SA"/>
              </w:rPr>
            </w:pPr>
            <w:r>
              <w:rPr>
                <w:rFonts w:hint="eastAsia" w:ascii="仿宋" w:hAnsi="仿宋"/>
                <w:color w:val="000000"/>
                <w:sz w:val="20"/>
                <w:szCs w:val="20"/>
                <w:lang w:val="en-US" w:eastAsia="zh-CN"/>
              </w:rPr>
              <w:t>8</w:t>
            </w:r>
          </w:p>
        </w:tc>
        <w:tc>
          <w:tcPr>
            <w:tcW w:w="389" w:type="pct"/>
            <w:shd w:val="clear" w:color="auto" w:fill="auto"/>
            <w:vAlign w:val="center"/>
          </w:tcPr>
          <w:p w14:paraId="796852E6">
            <w:pPr>
              <w:pStyle w:val="72"/>
              <w:ind w:firstLine="0" w:firstLineChars="0"/>
              <w:rPr>
                <w:rFonts w:hint="eastAsia" w:ascii="仿宋" w:hAnsi="仿宋" w:eastAsia="仿宋" w:cs="Times New Roman"/>
                <w:b w:val="0"/>
                <w:bCs/>
                <w:color w:val="000000"/>
                <w:kern w:val="2"/>
                <w:sz w:val="20"/>
                <w:szCs w:val="20"/>
                <w:lang w:val="en-US" w:eastAsia="zh-CN" w:bidi="ar-SA"/>
              </w:rPr>
            </w:pPr>
            <w:r>
              <w:rPr>
                <w:rFonts w:hint="eastAsia" w:ascii="仿宋" w:hAnsi="仿宋"/>
                <w:color w:val="000000"/>
                <w:sz w:val="20"/>
                <w:szCs w:val="20"/>
              </w:rPr>
              <w:t>90008</w:t>
            </w:r>
          </w:p>
        </w:tc>
        <w:tc>
          <w:tcPr>
            <w:tcW w:w="980" w:type="pct"/>
            <w:shd w:val="clear" w:color="auto" w:fill="auto"/>
            <w:vAlign w:val="center"/>
          </w:tcPr>
          <w:p w14:paraId="40EE4588">
            <w:pPr>
              <w:pStyle w:val="72"/>
              <w:ind w:firstLine="0" w:firstLineChars="0"/>
              <w:rPr>
                <w:rFonts w:hint="eastAsia" w:ascii="仿宋" w:hAnsi="仿宋" w:eastAsia="仿宋" w:cs="Times New Roman"/>
                <w:b w:val="0"/>
                <w:bCs/>
                <w:kern w:val="2"/>
                <w:sz w:val="21"/>
                <w:szCs w:val="21"/>
                <w:lang w:val="en-US" w:eastAsia="zh-CN" w:bidi="ar-SA"/>
              </w:rPr>
            </w:pPr>
            <w:r>
              <w:rPr>
                <w:rFonts w:hint="eastAsia" w:ascii="仿宋" w:hAnsi="仿宋"/>
                <w:szCs w:val="21"/>
                <w:lang w:val="en-US" w:eastAsia="zh-CN"/>
              </w:rPr>
              <w:t>栽植乔木</w:t>
            </w:r>
          </w:p>
        </w:tc>
        <w:tc>
          <w:tcPr>
            <w:tcW w:w="312" w:type="pct"/>
            <w:shd w:val="clear" w:color="auto" w:fill="auto"/>
            <w:vAlign w:val="center"/>
          </w:tcPr>
          <w:p w14:paraId="7F39D7F0">
            <w:pPr>
              <w:pStyle w:val="72"/>
              <w:ind w:firstLine="0" w:firstLineChars="0"/>
              <w:rPr>
                <w:rFonts w:hint="eastAsia" w:ascii="Times New Roman" w:hAnsi="Times New Roman" w:eastAsia="仿宋" w:cs="Times New Roman"/>
                <w:b w:val="0"/>
                <w:bCs/>
                <w:color w:val="000000" w:themeColor="text1"/>
                <w:kern w:val="2"/>
                <w:sz w:val="21"/>
                <w:szCs w:val="28"/>
                <w:lang w:val="en-US" w:eastAsia="zh-CN" w:bidi="ar-SA"/>
                <w14:textFill>
                  <w14:solidFill>
                    <w14:schemeClr w14:val="tx1"/>
                  </w14:solidFill>
                </w14:textFill>
              </w:rPr>
            </w:pPr>
            <w:r>
              <w:rPr>
                <w:rFonts w:hint="eastAsia" w:ascii="仿宋" w:hAnsi="仿宋"/>
                <w:color w:val="000000"/>
                <w:sz w:val="20"/>
                <w:szCs w:val="20"/>
              </w:rPr>
              <w:t>100株</w:t>
            </w:r>
          </w:p>
        </w:tc>
        <w:tc>
          <w:tcPr>
            <w:tcW w:w="490" w:type="pct"/>
            <w:shd w:val="clear" w:color="auto" w:fill="auto"/>
            <w:vAlign w:val="center"/>
          </w:tcPr>
          <w:p w14:paraId="1B005779">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664.29</w:t>
            </w:r>
          </w:p>
        </w:tc>
        <w:tc>
          <w:tcPr>
            <w:tcW w:w="490" w:type="pct"/>
            <w:shd w:val="clear" w:color="auto" w:fill="auto"/>
            <w:vAlign w:val="center"/>
          </w:tcPr>
          <w:p w14:paraId="462B47A3">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39.86</w:t>
            </w:r>
          </w:p>
        </w:tc>
        <w:tc>
          <w:tcPr>
            <w:tcW w:w="491" w:type="pct"/>
            <w:shd w:val="clear" w:color="auto" w:fill="auto"/>
            <w:vAlign w:val="center"/>
          </w:tcPr>
          <w:p w14:paraId="2C060BC6">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21.12</w:t>
            </w:r>
          </w:p>
        </w:tc>
        <w:tc>
          <w:tcPr>
            <w:tcW w:w="582" w:type="pct"/>
            <w:shd w:val="clear" w:color="auto" w:fill="auto"/>
            <w:vAlign w:val="center"/>
          </w:tcPr>
          <w:p w14:paraId="7034A872">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510</w:t>
            </w:r>
          </w:p>
        </w:tc>
        <w:tc>
          <w:tcPr>
            <w:tcW w:w="423" w:type="pct"/>
            <w:shd w:val="clear" w:color="auto" w:fill="auto"/>
            <w:vAlign w:val="center"/>
          </w:tcPr>
          <w:p w14:paraId="7E1D120D">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111.17</w:t>
            </w:r>
          </w:p>
        </w:tc>
        <w:tc>
          <w:tcPr>
            <w:tcW w:w="562" w:type="pct"/>
            <w:shd w:val="clear" w:color="auto" w:fill="auto"/>
            <w:vAlign w:val="center"/>
          </w:tcPr>
          <w:p w14:paraId="041790CC">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1346.45</w:t>
            </w:r>
          </w:p>
        </w:tc>
      </w:tr>
      <w:tr w14:paraId="30C8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shd w:val="clear" w:color="auto" w:fill="auto"/>
            <w:vAlign w:val="center"/>
          </w:tcPr>
          <w:p w14:paraId="75800ACB">
            <w:pPr>
              <w:pStyle w:val="72"/>
              <w:ind w:firstLine="0" w:firstLineChars="0"/>
              <w:rPr>
                <w:rFonts w:hint="eastAsia" w:ascii="仿宋" w:hAnsi="仿宋" w:eastAsia="仿宋" w:cs="Times New Roman"/>
                <w:b w:val="0"/>
                <w:bCs/>
                <w:color w:val="000000"/>
                <w:kern w:val="2"/>
                <w:sz w:val="20"/>
                <w:szCs w:val="20"/>
                <w:lang w:val="en-US" w:eastAsia="zh-CN" w:bidi="ar-SA"/>
              </w:rPr>
            </w:pPr>
            <w:r>
              <w:rPr>
                <w:rFonts w:hint="eastAsia" w:ascii="仿宋" w:hAnsi="仿宋"/>
                <w:color w:val="000000"/>
                <w:sz w:val="20"/>
                <w:szCs w:val="20"/>
                <w:lang w:val="en-US" w:eastAsia="zh-CN"/>
              </w:rPr>
              <w:t>二</w:t>
            </w:r>
          </w:p>
        </w:tc>
        <w:tc>
          <w:tcPr>
            <w:tcW w:w="389" w:type="pct"/>
            <w:shd w:val="clear" w:color="auto" w:fill="auto"/>
            <w:vAlign w:val="center"/>
          </w:tcPr>
          <w:p w14:paraId="48083454">
            <w:pPr>
              <w:pStyle w:val="72"/>
              <w:ind w:firstLine="0" w:firstLineChars="0"/>
              <w:rPr>
                <w:rFonts w:hint="eastAsia" w:ascii="仿宋" w:hAnsi="仿宋" w:eastAsia="仿宋" w:cs="Times New Roman"/>
                <w:b/>
                <w:bCs w:val="0"/>
                <w:color w:val="000000"/>
                <w:kern w:val="2"/>
                <w:sz w:val="20"/>
                <w:szCs w:val="20"/>
                <w:lang w:val="en-US" w:eastAsia="zh-CN" w:bidi="ar-SA"/>
              </w:rPr>
            </w:pPr>
          </w:p>
        </w:tc>
        <w:tc>
          <w:tcPr>
            <w:tcW w:w="980" w:type="pct"/>
            <w:shd w:val="clear" w:color="auto" w:fill="auto"/>
            <w:vAlign w:val="center"/>
          </w:tcPr>
          <w:p w14:paraId="2D6485F7">
            <w:pPr>
              <w:pStyle w:val="72"/>
              <w:ind w:firstLine="0" w:firstLineChars="0"/>
              <w:rPr>
                <w:rFonts w:hint="eastAsia" w:ascii="仿宋" w:hAnsi="仿宋" w:eastAsia="仿宋" w:cs="Times New Roman"/>
                <w:b/>
                <w:bCs w:val="0"/>
                <w:color w:val="000000"/>
                <w:kern w:val="2"/>
                <w:sz w:val="20"/>
                <w:szCs w:val="20"/>
                <w:lang w:val="en-US" w:eastAsia="zh-CN" w:bidi="ar-SA"/>
              </w:rPr>
            </w:pPr>
            <w:r>
              <w:rPr>
                <w:rFonts w:hint="eastAsia" w:ascii="仿宋" w:hAnsi="仿宋"/>
                <w:b/>
                <w:bCs w:val="0"/>
                <w:color w:val="000000"/>
                <w:sz w:val="20"/>
                <w:szCs w:val="20"/>
              </w:rPr>
              <w:t>地貌重塑工程</w:t>
            </w:r>
          </w:p>
        </w:tc>
        <w:tc>
          <w:tcPr>
            <w:tcW w:w="312" w:type="pct"/>
            <w:vAlign w:val="center"/>
          </w:tcPr>
          <w:p w14:paraId="5D16694C">
            <w:pPr>
              <w:pStyle w:val="72"/>
              <w:rPr>
                <w:rFonts w:hint="eastAsia" w:ascii="仿宋" w:hAnsi="仿宋"/>
                <w:color w:val="000000"/>
                <w:sz w:val="20"/>
                <w:szCs w:val="20"/>
              </w:rPr>
            </w:pPr>
          </w:p>
        </w:tc>
        <w:tc>
          <w:tcPr>
            <w:tcW w:w="490" w:type="pct"/>
            <w:vAlign w:val="center"/>
          </w:tcPr>
          <w:p w14:paraId="390B3374">
            <w:pPr>
              <w:pStyle w:val="72"/>
              <w:ind w:firstLine="0" w:firstLineChars="0"/>
              <w:rPr>
                <w:rFonts w:hint="eastAsia" w:ascii="仿宋" w:hAnsi="仿宋"/>
                <w:color w:val="000000"/>
                <w:sz w:val="20"/>
                <w:szCs w:val="20"/>
              </w:rPr>
            </w:pPr>
          </w:p>
        </w:tc>
        <w:tc>
          <w:tcPr>
            <w:tcW w:w="490" w:type="pct"/>
            <w:vAlign w:val="center"/>
          </w:tcPr>
          <w:p w14:paraId="2F1C3496">
            <w:pPr>
              <w:pStyle w:val="72"/>
              <w:ind w:firstLine="0" w:firstLineChars="0"/>
              <w:rPr>
                <w:rFonts w:hint="eastAsia" w:ascii="仿宋" w:hAnsi="仿宋"/>
                <w:color w:val="000000"/>
                <w:sz w:val="20"/>
                <w:szCs w:val="20"/>
              </w:rPr>
            </w:pPr>
          </w:p>
        </w:tc>
        <w:tc>
          <w:tcPr>
            <w:tcW w:w="491" w:type="pct"/>
            <w:vAlign w:val="center"/>
          </w:tcPr>
          <w:p w14:paraId="6FDEAE86">
            <w:pPr>
              <w:pStyle w:val="72"/>
              <w:ind w:firstLine="0" w:firstLineChars="0"/>
              <w:rPr>
                <w:rFonts w:hint="eastAsia" w:ascii="仿宋" w:hAnsi="仿宋"/>
                <w:color w:val="000000"/>
                <w:sz w:val="20"/>
                <w:szCs w:val="20"/>
              </w:rPr>
            </w:pPr>
          </w:p>
        </w:tc>
        <w:tc>
          <w:tcPr>
            <w:tcW w:w="582" w:type="pct"/>
            <w:vAlign w:val="center"/>
          </w:tcPr>
          <w:p w14:paraId="72873E51">
            <w:pPr>
              <w:pStyle w:val="72"/>
              <w:ind w:firstLine="0" w:firstLineChars="0"/>
              <w:rPr>
                <w:rFonts w:hint="eastAsia" w:ascii="仿宋" w:hAnsi="仿宋"/>
                <w:color w:val="000000"/>
                <w:sz w:val="20"/>
                <w:szCs w:val="20"/>
              </w:rPr>
            </w:pPr>
          </w:p>
        </w:tc>
        <w:tc>
          <w:tcPr>
            <w:tcW w:w="423" w:type="pct"/>
            <w:vAlign w:val="center"/>
          </w:tcPr>
          <w:p w14:paraId="0DCDF28B">
            <w:pPr>
              <w:pStyle w:val="72"/>
              <w:ind w:firstLine="0" w:firstLineChars="0"/>
              <w:rPr>
                <w:rFonts w:hint="eastAsia" w:ascii="仿宋" w:hAnsi="仿宋"/>
                <w:color w:val="000000"/>
                <w:sz w:val="20"/>
                <w:szCs w:val="20"/>
              </w:rPr>
            </w:pPr>
          </w:p>
        </w:tc>
        <w:tc>
          <w:tcPr>
            <w:tcW w:w="562" w:type="pct"/>
            <w:vAlign w:val="center"/>
          </w:tcPr>
          <w:p w14:paraId="2D633C67">
            <w:pPr>
              <w:pStyle w:val="72"/>
              <w:ind w:firstLine="0" w:firstLineChars="0"/>
              <w:rPr>
                <w:rFonts w:hint="eastAsia" w:ascii="仿宋" w:hAnsi="仿宋"/>
                <w:color w:val="000000"/>
                <w:sz w:val="20"/>
                <w:szCs w:val="20"/>
              </w:rPr>
            </w:pPr>
          </w:p>
        </w:tc>
      </w:tr>
      <w:tr w14:paraId="0C13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shd w:val="clear" w:color="auto" w:fill="auto"/>
            <w:vAlign w:val="center"/>
          </w:tcPr>
          <w:p w14:paraId="5D09FF24">
            <w:pPr>
              <w:pStyle w:val="72"/>
              <w:ind w:firstLine="0" w:firstLineChars="0"/>
              <w:rPr>
                <w:rFonts w:hint="default" w:ascii="仿宋" w:hAnsi="仿宋"/>
                <w:color w:val="000000"/>
                <w:sz w:val="20"/>
                <w:szCs w:val="20"/>
                <w:lang w:val="en-US" w:eastAsia="zh-CN"/>
              </w:rPr>
            </w:pPr>
            <w:r>
              <w:rPr>
                <w:rFonts w:hint="eastAsia" w:ascii="仿宋" w:hAnsi="仿宋"/>
                <w:color w:val="000000"/>
                <w:sz w:val="20"/>
                <w:szCs w:val="20"/>
                <w:lang w:val="en-US" w:eastAsia="zh-CN"/>
              </w:rPr>
              <w:t>9</w:t>
            </w:r>
          </w:p>
        </w:tc>
        <w:tc>
          <w:tcPr>
            <w:tcW w:w="389" w:type="pct"/>
            <w:shd w:val="clear" w:color="auto" w:fill="auto"/>
            <w:vAlign w:val="center"/>
          </w:tcPr>
          <w:p w14:paraId="2AA9923E">
            <w:pPr>
              <w:pStyle w:val="72"/>
              <w:ind w:firstLine="0" w:firstLineChars="0"/>
              <w:rPr>
                <w:rFonts w:hint="eastAsia" w:ascii="Times New Roman" w:hAnsi="Times New Roman" w:eastAsia="仿宋" w:cs="Times New Roman"/>
                <w:b/>
                <w:bCs w:val="0"/>
                <w:color w:val="000000" w:themeColor="text1"/>
                <w:kern w:val="2"/>
                <w:sz w:val="21"/>
                <w:szCs w:val="28"/>
                <w:lang w:val="en-US" w:eastAsia="zh-CN" w:bidi="ar-SA"/>
                <w14:textFill>
                  <w14:solidFill>
                    <w14:schemeClr w14:val="tx1"/>
                  </w14:solidFill>
                </w14:textFill>
              </w:rPr>
            </w:pPr>
            <w:r>
              <w:rPr>
                <w:rFonts w:hint="eastAsia" w:ascii="仿宋" w:hAnsi="仿宋"/>
                <w:color w:val="000000"/>
                <w:sz w:val="20"/>
                <w:szCs w:val="20"/>
              </w:rPr>
              <w:t>30073</w:t>
            </w:r>
          </w:p>
        </w:tc>
        <w:tc>
          <w:tcPr>
            <w:tcW w:w="980" w:type="pct"/>
            <w:shd w:val="clear" w:color="auto" w:fill="auto"/>
            <w:vAlign w:val="bottom"/>
          </w:tcPr>
          <w:p w14:paraId="73A42143">
            <w:pPr>
              <w:pStyle w:val="72"/>
              <w:ind w:firstLine="0" w:firstLineChars="0"/>
              <w:rPr>
                <w:rFonts w:hint="eastAsia" w:ascii="Times New Roman" w:hAnsi="Times New Roman" w:eastAsia="仿宋" w:cs="Times New Roman"/>
                <w:b/>
                <w:bCs w:val="0"/>
                <w:color w:val="000000" w:themeColor="text1"/>
                <w:kern w:val="2"/>
                <w:sz w:val="21"/>
                <w:szCs w:val="28"/>
                <w:lang w:val="en-US" w:eastAsia="zh-CN" w:bidi="ar-SA"/>
                <w14:textFill>
                  <w14:solidFill>
                    <w14:schemeClr w14:val="tx1"/>
                  </w14:solidFill>
                </w14:textFill>
              </w:rPr>
            </w:pPr>
            <w:r>
              <w:rPr>
                <w:rFonts w:hint="eastAsia" w:ascii="仿宋" w:hAnsi="仿宋"/>
                <w:sz w:val="20"/>
                <w:szCs w:val="20"/>
              </w:rPr>
              <w:t>水泥浆砌砖建筑拆除</w:t>
            </w:r>
          </w:p>
        </w:tc>
        <w:tc>
          <w:tcPr>
            <w:tcW w:w="312" w:type="pct"/>
            <w:shd w:val="clear" w:color="auto" w:fill="auto"/>
            <w:vAlign w:val="center"/>
          </w:tcPr>
          <w:p w14:paraId="7488CC9C">
            <w:pPr>
              <w:pStyle w:val="72"/>
              <w:ind w:firstLine="0" w:firstLineChars="0"/>
              <w:rPr>
                <w:rFonts w:hint="eastAsia" w:ascii="Times New Roman" w:hAnsi="Times New Roman" w:eastAsia="仿宋" w:cs="Times New Roman"/>
                <w:b w:val="0"/>
                <w:bCs/>
                <w:color w:val="000000" w:themeColor="text1"/>
                <w:kern w:val="2"/>
                <w:sz w:val="21"/>
                <w:szCs w:val="28"/>
                <w:lang w:val="en-US" w:eastAsia="zh-CN" w:bidi="ar-SA"/>
                <w14:textFill>
                  <w14:solidFill>
                    <w14:schemeClr w14:val="tx1"/>
                  </w14:solidFill>
                </w14:textFill>
              </w:rPr>
            </w:pPr>
            <w:r>
              <w:rPr>
                <w:rFonts w:hint="eastAsia" w:ascii="仿宋" w:hAnsi="仿宋"/>
                <w:color w:val="000000"/>
                <w:sz w:val="20"/>
                <w:szCs w:val="20"/>
              </w:rPr>
              <w:t>100m</w:t>
            </w:r>
            <w:r>
              <w:rPr>
                <w:rFonts w:ascii="Calibri" w:hAnsi="Calibri" w:cs="Calibri"/>
                <w:color w:val="000000"/>
                <w:sz w:val="20"/>
                <w:szCs w:val="20"/>
              </w:rPr>
              <w:t>³</w:t>
            </w:r>
          </w:p>
        </w:tc>
        <w:tc>
          <w:tcPr>
            <w:tcW w:w="490" w:type="pct"/>
            <w:shd w:val="clear" w:color="auto" w:fill="auto"/>
            <w:vAlign w:val="bottom"/>
          </w:tcPr>
          <w:p w14:paraId="7A30AED8">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7779.98</w:t>
            </w:r>
          </w:p>
        </w:tc>
        <w:tc>
          <w:tcPr>
            <w:tcW w:w="490" w:type="pct"/>
            <w:shd w:val="clear" w:color="auto" w:fill="auto"/>
            <w:vAlign w:val="bottom"/>
          </w:tcPr>
          <w:p w14:paraId="573E73CD">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466.8</w:t>
            </w:r>
          </w:p>
        </w:tc>
        <w:tc>
          <w:tcPr>
            <w:tcW w:w="491" w:type="pct"/>
            <w:shd w:val="clear" w:color="auto" w:fill="auto"/>
            <w:vAlign w:val="bottom"/>
          </w:tcPr>
          <w:p w14:paraId="44D35E51">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247.4</w:t>
            </w:r>
          </w:p>
        </w:tc>
        <w:tc>
          <w:tcPr>
            <w:tcW w:w="582" w:type="pct"/>
            <w:shd w:val="clear" w:color="auto" w:fill="auto"/>
            <w:vAlign w:val="bottom"/>
          </w:tcPr>
          <w:p w14:paraId="1C7B0A6D">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　</w:t>
            </w:r>
          </w:p>
        </w:tc>
        <w:tc>
          <w:tcPr>
            <w:tcW w:w="423" w:type="pct"/>
            <w:shd w:val="clear" w:color="auto" w:fill="auto"/>
            <w:vAlign w:val="bottom"/>
          </w:tcPr>
          <w:p w14:paraId="794DA3D7">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764.48</w:t>
            </w:r>
          </w:p>
        </w:tc>
        <w:tc>
          <w:tcPr>
            <w:tcW w:w="562" w:type="pct"/>
            <w:shd w:val="clear" w:color="auto" w:fill="auto"/>
            <w:vAlign w:val="bottom"/>
          </w:tcPr>
          <w:p w14:paraId="01A22BA5">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9258.66</w:t>
            </w:r>
          </w:p>
        </w:tc>
      </w:tr>
      <w:tr w14:paraId="65CF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shd w:val="clear" w:color="auto" w:fill="auto"/>
            <w:vAlign w:val="center"/>
          </w:tcPr>
          <w:p w14:paraId="36C5C0C0">
            <w:pPr>
              <w:pStyle w:val="72"/>
              <w:ind w:firstLine="0" w:firstLineChars="0"/>
              <w:rPr>
                <w:rFonts w:hint="eastAsia" w:ascii="仿宋" w:hAnsi="仿宋" w:eastAsia="仿宋" w:cs="Times New Roman"/>
                <w:b w:val="0"/>
                <w:bCs/>
                <w:color w:val="000000"/>
                <w:kern w:val="2"/>
                <w:sz w:val="20"/>
                <w:szCs w:val="20"/>
                <w:lang w:val="en-US" w:eastAsia="zh-CN" w:bidi="ar-SA"/>
              </w:rPr>
            </w:pPr>
            <w:r>
              <w:rPr>
                <w:rFonts w:hint="eastAsia" w:ascii="仿宋" w:hAnsi="仿宋"/>
                <w:color w:val="000000"/>
                <w:sz w:val="20"/>
                <w:szCs w:val="20"/>
                <w:lang w:val="en-US" w:eastAsia="zh-CN"/>
              </w:rPr>
              <w:t>10</w:t>
            </w:r>
          </w:p>
        </w:tc>
        <w:tc>
          <w:tcPr>
            <w:tcW w:w="389" w:type="pct"/>
            <w:shd w:val="clear" w:color="auto" w:fill="auto"/>
            <w:vAlign w:val="center"/>
          </w:tcPr>
          <w:p w14:paraId="7B20D9BF">
            <w:pPr>
              <w:pStyle w:val="72"/>
              <w:ind w:firstLine="0" w:firstLineChars="0"/>
              <w:rPr>
                <w:rFonts w:hint="default" w:ascii="仿宋" w:hAnsi="仿宋" w:eastAsia="仿宋"/>
                <w:color w:val="000000"/>
                <w:sz w:val="20"/>
                <w:szCs w:val="20"/>
                <w:lang w:val="en-US" w:eastAsia="zh-CN"/>
              </w:rPr>
            </w:pPr>
            <w:r>
              <w:rPr>
                <w:rFonts w:hint="eastAsia" w:ascii="仿宋" w:hAnsi="仿宋"/>
                <w:color w:val="000000"/>
                <w:sz w:val="20"/>
                <w:szCs w:val="20"/>
                <w:lang w:val="en-US" w:eastAsia="zh-CN"/>
              </w:rPr>
              <w:t>20284</w:t>
            </w:r>
          </w:p>
        </w:tc>
        <w:tc>
          <w:tcPr>
            <w:tcW w:w="980" w:type="pct"/>
            <w:shd w:val="clear" w:color="auto" w:fill="auto"/>
            <w:vAlign w:val="bottom"/>
          </w:tcPr>
          <w:p w14:paraId="47C2EB59">
            <w:pPr>
              <w:pStyle w:val="72"/>
              <w:ind w:firstLine="0" w:firstLineChars="0"/>
              <w:rPr>
                <w:rFonts w:hint="eastAsia" w:ascii="仿宋" w:hAnsi="仿宋"/>
                <w:sz w:val="20"/>
                <w:szCs w:val="20"/>
              </w:rPr>
            </w:pPr>
            <w:r>
              <w:rPr>
                <w:spacing w:val="-1"/>
              </w:rPr>
              <w:t>清除硬覆盖层</w:t>
            </w:r>
          </w:p>
        </w:tc>
        <w:tc>
          <w:tcPr>
            <w:tcW w:w="312" w:type="pct"/>
            <w:shd w:val="clear" w:color="auto" w:fill="auto"/>
            <w:vAlign w:val="center"/>
          </w:tcPr>
          <w:p w14:paraId="49F46AFD">
            <w:pPr>
              <w:pStyle w:val="72"/>
              <w:ind w:firstLine="0" w:firstLineChars="0"/>
              <w:rPr>
                <w:rFonts w:hint="eastAsia" w:ascii="仿宋" w:hAnsi="仿宋"/>
                <w:color w:val="000000"/>
                <w:sz w:val="20"/>
                <w:szCs w:val="20"/>
              </w:rPr>
            </w:pPr>
            <w:r>
              <w:rPr>
                <w:rFonts w:hint="eastAsia" w:ascii="仿宋" w:hAnsi="仿宋"/>
                <w:color w:val="000000"/>
                <w:sz w:val="20"/>
                <w:szCs w:val="20"/>
              </w:rPr>
              <w:t>100m</w:t>
            </w:r>
            <w:r>
              <w:rPr>
                <w:rFonts w:ascii="Calibri" w:hAnsi="Calibri" w:cs="Calibri"/>
                <w:color w:val="000000"/>
                <w:sz w:val="20"/>
                <w:szCs w:val="20"/>
              </w:rPr>
              <w:t>³</w:t>
            </w:r>
          </w:p>
        </w:tc>
        <w:tc>
          <w:tcPr>
            <w:tcW w:w="490" w:type="pct"/>
            <w:shd w:val="clear" w:color="auto" w:fill="auto"/>
            <w:vAlign w:val="bottom"/>
          </w:tcPr>
          <w:p w14:paraId="30552118">
            <w:pPr>
              <w:pStyle w:val="72"/>
              <w:ind w:firstLine="0" w:firstLineChars="0"/>
              <w:rPr>
                <w:rFonts w:hint="eastAsia" w:ascii="仿宋" w:hAnsi="仿宋"/>
                <w:color w:val="000000"/>
                <w:sz w:val="20"/>
                <w:szCs w:val="20"/>
              </w:rPr>
            </w:pPr>
            <w:r>
              <w:rPr>
                <w:rFonts w:hint="eastAsia" w:ascii="仿宋" w:hAnsi="仿宋"/>
                <w:sz w:val="20"/>
                <w:szCs w:val="20"/>
                <w:lang w:val="en-US" w:eastAsia="zh-CN"/>
              </w:rPr>
              <w:t>599.01</w:t>
            </w:r>
          </w:p>
        </w:tc>
        <w:tc>
          <w:tcPr>
            <w:tcW w:w="490" w:type="pct"/>
            <w:shd w:val="clear" w:color="auto" w:fill="auto"/>
            <w:vAlign w:val="bottom"/>
          </w:tcPr>
          <w:p w14:paraId="0721C640">
            <w:pPr>
              <w:pStyle w:val="72"/>
              <w:ind w:firstLine="0" w:firstLineChars="0"/>
              <w:rPr>
                <w:rFonts w:hint="eastAsia" w:ascii="仿宋" w:hAnsi="仿宋"/>
                <w:color w:val="000000"/>
                <w:sz w:val="20"/>
                <w:szCs w:val="20"/>
              </w:rPr>
            </w:pPr>
            <w:r>
              <w:rPr>
                <w:rFonts w:hint="eastAsia" w:ascii="仿宋" w:hAnsi="仿宋"/>
                <w:sz w:val="20"/>
                <w:szCs w:val="20"/>
                <w:lang w:val="en-US" w:eastAsia="zh-CN"/>
              </w:rPr>
              <w:t>126.99</w:t>
            </w:r>
          </w:p>
        </w:tc>
        <w:tc>
          <w:tcPr>
            <w:tcW w:w="491" w:type="pct"/>
            <w:shd w:val="clear" w:color="auto" w:fill="auto"/>
            <w:vAlign w:val="bottom"/>
          </w:tcPr>
          <w:p w14:paraId="07739D4F">
            <w:pPr>
              <w:pStyle w:val="72"/>
              <w:ind w:firstLine="0" w:firstLineChars="0"/>
              <w:rPr>
                <w:rFonts w:hint="eastAsia" w:ascii="仿宋" w:hAnsi="仿宋"/>
                <w:color w:val="000000"/>
                <w:sz w:val="20"/>
                <w:szCs w:val="20"/>
              </w:rPr>
            </w:pPr>
            <w:r>
              <w:rPr>
                <w:rFonts w:hint="eastAsia" w:ascii="仿宋" w:hAnsi="仿宋"/>
                <w:sz w:val="20"/>
                <w:szCs w:val="20"/>
                <w:lang w:val="en-US" w:eastAsia="zh-CN"/>
              </w:rPr>
              <w:t>56.72</w:t>
            </w:r>
          </w:p>
        </w:tc>
        <w:tc>
          <w:tcPr>
            <w:tcW w:w="582" w:type="pct"/>
            <w:shd w:val="clear" w:color="auto" w:fill="auto"/>
            <w:vAlign w:val="bottom"/>
          </w:tcPr>
          <w:p w14:paraId="03FBBABC">
            <w:pPr>
              <w:pStyle w:val="72"/>
              <w:ind w:firstLine="0" w:firstLineChars="0"/>
              <w:rPr>
                <w:rFonts w:hint="eastAsia" w:ascii="仿宋" w:hAnsi="仿宋"/>
                <w:color w:val="000000"/>
                <w:sz w:val="20"/>
                <w:szCs w:val="20"/>
              </w:rPr>
            </w:pPr>
          </w:p>
        </w:tc>
        <w:tc>
          <w:tcPr>
            <w:tcW w:w="423" w:type="pct"/>
            <w:shd w:val="clear" w:color="auto" w:fill="auto"/>
            <w:vAlign w:val="bottom"/>
          </w:tcPr>
          <w:p w14:paraId="381D1BDF">
            <w:pPr>
              <w:pStyle w:val="72"/>
              <w:ind w:firstLine="0" w:firstLineChars="0"/>
              <w:rPr>
                <w:rFonts w:hint="eastAsia" w:ascii="仿宋" w:hAnsi="仿宋"/>
                <w:color w:val="000000"/>
                <w:sz w:val="20"/>
                <w:szCs w:val="20"/>
              </w:rPr>
            </w:pPr>
            <w:r>
              <w:rPr>
                <w:rFonts w:hint="eastAsia" w:ascii="仿宋" w:hAnsi="仿宋"/>
                <w:sz w:val="20"/>
                <w:szCs w:val="20"/>
                <w:lang w:val="en-US" w:eastAsia="zh-CN"/>
              </w:rPr>
              <w:t>226.53</w:t>
            </w:r>
          </w:p>
        </w:tc>
        <w:tc>
          <w:tcPr>
            <w:tcW w:w="562" w:type="pct"/>
            <w:shd w:val="clear" w:color="auto" w:fill="auto"/>
            <w:vAlign w:val="bottom"/>
          </w:tcPr>
          <w:p w14:paraId="38EC8C16">
            <w:pPr>
              <w:pStyle w:val="72"/>
              <w:ind w:firstLine="0" w:firstLineChars="0"/>
              <w:rPr>
                <w:rFonts w:hint="eastAsia" w:ascii="仿宋" w:hAnsi="仿宋"/>
                <w:color w:val="000000"/>
                <w:sz w:val="20"/>
                <w:szCs w:val="20"/>
              </w:rPr>
            </w:pPr>
            <w:r>
              <w:rPr>
                <w:rFonts w:hint="eastAsia" w:ascii="仿宋" w:hAnsi="仿宋"/>
                <w:sz w:val="20"/>
                <w:szCs w:val="20"/>
                <w:lang w:val="en-US" w:eastAsia="zh-CN"/>
              </w:rPr>
              <w:t>2743.56</w:t>
            </w:r>
          </w:p>
        </w:tc>
      </w:tr>
      <w:tr w14:paraId="0E7D1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shd w:val="clear" w:color="auto" w:fill="auto"/>
            <w:vAlign w:val="center"/>
          </w:tcPr>
          <w:p w14:paraId="721937FD">
            <w:pPr>
              <w:pStyle w:val="72"/>
              <w:ind w:firstLine="0" w:firstLineChars="0"/>
              <w:rPr>
                <w:rFonts w:hint="default" w:ascii="仿宋" w:hAnsi="仿宋" w:eastAsia="仿宋" w:cs="Times New Roman"/>
                <w:b w:val="0"/>
                <w:bCs/>
                <w:color w:val="000000"/>
                <w:kern w:val="2"/>
                <w:sz w:val="20"/>
                <w:szCs w:val="20"/>
                <w:lang w:val="en-US" w:eastAsia="zh-CN" w:bidi="ar-SA"/>
              </w:rPr>
            </w:pPr>
            <w:r>
              <w:rPr>
                <w:rFonts w:hint="eastAsia" w:ascii="仿宋" w:hAnsi="仿宋"/>
                <w:color w:val="000000"/>
                <w:sz w:val="20"/>
                <w:szCs w:val="20"/>
                <w:lang w:val="en-US" w:eastAsia="zh-CN"/>
              </w:rPr>
              <w:t>11</w:t>
            </w:r>
          </w:p>
        </w:tc>
        <w:tc>
          <w:tcPr>
            <w:tcW w:w="389" w:type="pct"/>
            <w:shd w:val="clear" w:color="auto" w:fill="auto"/>
            <w:vAlign w:val="center"/>
          </w:tcPr>
          <w:p w14:paraId="30B73683">
            <w:pPr>
              <w:pStyle w:val="72"/>
              <w:ind w:firstLine="0" w:firstLineChars="0"/>
              <w:rPr>
                <w:rFonts w:hint="eastAsia" w:ascii="仿宋" w:hAnsi="仿宋"/>
                <w:color w:val="000000"/>
                <w:sz w:val="20"/>
                <w:szCs w:val="20"/>
              </w:rPr>
            </w:pPr>
            <w:r>
              <w:rPr>
                <w:rFonts w:hint="eastAsia" w:ascii="仿宋" w:hAnsi="仿宋"/>
                <w:color w:val="000000"/>
                <w:sz w:val="20"/>
                <w:szCs w:val="20"/>
                <w:lang w:val="en-US" w:eastAsia="zh-CN"/>
              </w:rPr>
              <w:t>10317</w:t>
            </w:r>
          </w:p>
        </w:tc>
        <w:tc>
          <w:tcPr>
            <w:tcW w:w="980" w:type="pct"/>
            <w:shd w:val="clear" w:color="auto" w:fill="auto"/>
            <w:vAlign w:val="center"/>
          </w:tcPr>
          <w:p w14:paraId="51845F08">
            <w:pPr>
              <w:pStyle w:val="72"/>
              <w:ind w:firstLine="0" w:firstLineChars="0"/>
              <w:rPr>
                <w:rFonts w:hint="eastAsia" w:ascii="仿宋" w:hAnsi="仿宋"/>
                <w:szCs w:val="21"/>
                <w:lang w:val="en-US" w:eastAsia="zh-CN"/>
              </w:rPr>
            </w:pPr>
            <w:r>
              <w:rPr>
                <w:rFonts w:hint="eastAsia" w:ascii="仿宋" w:hAnsi="仿宋"/>
                <w:szCs w:val="21"/>
              </w:rPr>
              <w:t>硬覆盖清理</w:t>
            </w:r>
          </w:p>
        </w:tc>
        <w:tc>
          <w:tcPr>
            <w:tcW w:w="312" w:type="pct"/>
            <w:vAlign w:val="center"/>
          </w:tcPr>
          <w:p w14:paraId="0AAB6AAD">
            <w:pPr>
              <w:pStyle w:val="72"/>
              <w:ind w:firstLine="0" w:firstLineChars="0"/>
              <w:rPr>
                <w:rFonts w:hint="eastAsia" w:ascii="仿宋" w:hAnsi="仿宋"/>
                <w:color w:val="000000"/>
                <w:sz w:val="20"/>
                <w:szCs w:val="20"/>
              </w:rPr>
            </w:pPr>
            <w:r>
              <w:rPr>
                <w:rFonts w:hint="eastAsia" w:ascii="仿宋" w:hAnsi="仿宋"/>
                <w:color w:val="000000"/>
                <w:sz w:val="20"/>
                <w:szCs w:val="20"/>
              </w:rPr>
              <w:t>100m</w:t>
            </w:r>
            <w:r>
              <w:rPr>
                <w:rFonts w:ascii="Calibri" w:hAnsi="Calibri" w:cs="Calibri"/>
                <w:color w:val="000000"/>
                <w:sz w:val="20"/>
                <w:szCs w:val="20"/>
              </w:rPr>
              <w:t>³</w:t>
            </w:r>
          </w:p>
        </w:tc>
        <w:tc>
          <w:tcPr>
            <w:tcW w:w="490" w:type="pct"/>
            <w:vAlign w:val="bottom"/>
          </w:tcPr>
          <w:p w14:paraId="64B66698">
            <w:pPr>
              <w:pStyle w:val="72"/>
              <w:ind w:firstLine="0" w:firstLineChars="0"/>
              <w:rPr>
                <w:rFonts w:hint="eastAsia" w:ascii="仿宋" w:hAnsi="仿宋"/>
                <w:color w:val="000000"/>
                <w:sz w:val="20"/>
                <w:szCs w:val="20"/>
              </w:rPr>
            </w:pPr>
            <w:r>
              <w:rPr>
                <w:rFonts w:hint="eastAsia" w:ascii="仿宋" w:hAnsi="仿宋"/>
                <w:color w:val="000000"/>
                <w:sz w:val="20"/>
                <w:szCs w:val="20"/>
                <w:lang w:eastAsia="zh-CN"/>
              </w:rPr>
              <w:t>10317</w:t>
            </w:r>
          </w:p>
        </w:tc>
        <w:tc>
          <w:tcPr>
            <w:tcW w:w="490" w:type="pct"/>
            <w:vAlign w:val="bottom"/>
          </w:tcPr>
          <w:p w14:paraId="174CCF48">
            <w:pPr>
              <w:pStyle w:val="72"/>
              <w:ind w:firstLine="0" w:firstLineChars="0"/>
              <w:rPr>
                <w:rFonts w:hint="eastAsia" w:ascii="仿宋" w:hAnsi="仿宋"/>
                <w:color w:val="000000"/>
                <w:sz w:val="20"/>
                <w:szCs w:val="20"/>
              </w:rPr>
            </w:pPr>
            <w:r>
              <w:rPr>
                <w:rFonts w:hint="eastAsia" w:ascii="仿宋" w:hAnsi="仿宋"/>
                <w:color w:val="000000"/>
                <w:sz w:val="20"/>
                <w:szCs w:val="20"/>
                <w:lang w:eastAsia="zh-CN"/>
              </w:rPr>
              <w:t>10317</w:t>
            </w:r>
          </w:p>
        </w:tc>
        <w:tc>
          <w:tcPr>
            <w:tcW w:w="491" w:type="pct"/>
            <w:vAlign w:val="bottom"/>
          </w:tcPr>
          <w:p w14:paraId="6100F55C">
            <w:pPr>
              <w:pStyle w:val="72"/>
              <w:ind w:firstLine="0" w:firstLineChars="0"/>
              <w:rPr>
                <w:rFonts w:hint="eastAsia" w:ascii="仿宋" w:hAnsi="仿宋"/>
                <w:color w:val="000000"/>
                <w:sz w:val="20"/>
                <w:szCs w:val="20"/>
              </w:rPr>
            </w:pPr>
            <w:r>
              <w:rPr>
                <w:rFonts w:hint="eastAsia" w:ascii="仿宋" w:hAnsi="仿宋"/>
                <w:color w:val="000000"/>
                <w:sz w:val="20"/>
                <w:szCs w:val="20"/>
                <w:lang w:eastAsia="zh-CN"/>
              </w:rPr>
              <w:t>10317</w:t>
            </w:r>
          </w:p>
        </w:tc>
        <w:tc>
          <w:tcPr>
            <w:tcW w:w="582" w:type="pct"/>
            <w:vAlign w:val="bottom"/>
          </w:tcPr>
          <w:p w14:paraId="54BEC22F">
            <w:pPr>
              <w:pStyle w:val="72"/>
              <w:ind w:firstLine="0" w:firstLineChars="0"/>
              <w:rPr>
                <w:rFonts w:hint="eastAsia" w:ascii="仿宋" w:hAnsi="仿宋"/>
                <w:color w:val="000000"/>
                <w:sz w:val="20"/>
                <w:szCs w:val="20"/>
              </w:rPr>
            </w:pPr>
            <w:r>
              <w:rPr>
                <w:rFonts w:hint="eastAsia" w:ascii="仿宋" w:hAnsi="仿宋"/>
                <w:color w:val="000000"/>
                <w:sz w:val="20"/>
                <w:szCs w:val="20"/>
                <w:lang w:eastAsia="zh-CN"/>
              </w:rPr>
              <w:t>10317</w:t>
            </w:r>
          </w:p>
        </w:tc>
        <w:tc>
          <w:tcPr>
            <w:tcW w:w="423" w:type="pct"/>
            <w:vAlign w:val="bottom"/>
          </w:tcPr>
          <w:p w14:paraId="062FFE49">
            <w:pPr>
              <w:pStyle w:val="72"/>
              <w:ind w:firstLine="0" w:firstLineChars="0"/>
              <w:rPr>
                <w:rFonts w:hint="eastAsia" w:ascii="仿宋" w:hAnsi="仿宋"/>
                <w:color w:val="000000"/>
                <w:sz w:val="20"/>
                <w:szCs w:val="20"/>
              </w:rPr>
            </w:pPr>
            <w:r>
              <w:rPr>
                <w:rFonts w:hint="eastAsia" w:ascii="仿宋" w:hAnsi="仿宋"/>
                <w:color w:val="000000"/>
                <w:sz w:val="20"/>
                <w:szCs w:val="20"/>
                <w:lang w:eastAsia="zh-CN"/>
              </w:rPr>
              <w:t>10317</w:t>
            </w:r>
          </w:p>
        </w:tc>
        <w:tc>
          <w:tcPr>
            <w:tcW w:w="562" w:type="pct"/>
            <w:vAlign w:val="bottom"/>
          </w:tcPr>
          <w:p w14:paraId="53683F90">
            <w:pPr>
              <w:pStyle w:val="72"/>
              <w:ind w:firstLine="0" w:firstLineChars="0"/>
              <w:rPr>
                <w:rFonts w:hint="eastAsia" w:ascii="仿宋" w:hAnsi="仿宋"/>
                <w:color w:val="000000"/>
                <w:sz w:val="20"/>
                <w:szCs w:val="20"/>
              </w:rPr>
            </w:pPr>
            <w:r>
              <w:rPr>
                <w:rFonts w:hint="eastAsia" w:ascii="仿宋" w:hAnsi="仿宋"/>
                <w:color w:val="000000"/>
                <w:sz w:val="20"/>
                <w:szCs w:val="20"/>
                <w:lang w:eastAsia="zh-CN"/>
              </w:rPr>
              <w:t>10317</w:t>
            </w:r>
          </w:p>
        </w:tc>
      </w:tr>
      <w:tr w14:paraId="2411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shd w:val="clear" w:color="auto" w:fill="auto"/>
            <w:vAlign w:val="center"/>
          </w:tcPr>
          <w:p w14:paraId="19515858">
            <w:pPr>
              <w:pStyle w:val="72"/>
              <w:ind w:firstLine="0" w:firstLineChars="0"/>
              <w:rPr>
                <w:rFonts w:hint="default" w:ascii="仿宋" w:hAnsi="仿宋" w:eastAsia="仿宋" w:cs="Times New Roman"/>
                <w:b w:val="0"/>
                <w:bCs/>
                <w:color w:val="000000"/>
                <w:kern w:val="2"/>
                <w:sz w:val="20"/>
                <w:szCs w:val="20"/>
                <w:lang w:val="en-US" w:eastAsia="zh-CN" w:bidi="ar-SA"/>
              </w:rPr>
            </w:pPr>
            <w:r>
              <w:rPr>
                <w:rFonts w:hint="eastAsia" w:ascii="仿宋" w:hAnsi="仿宋"/>
                <w:color w:val="000000"/>
                <w:sz w:val="20"/>
                <w:szCs w:val="20"/>
                <w:lang w:val="en-US" w:eastAsia="zh-CN"/>
              </w:rPr>
              <w:t>12</w:t>
            </w:r>
          </w:p>
        </w:tc>
        <w:tc>
          <w:tcPr>
            <w:tcW w:w="389" w:type="pct"/>
            <w:shd w:val="clear" w:color="auto" w:fill="auto"/>
            <w:vAlign w:val="center"/>
          </w:tcPr>
          <w:p w14:paraId="7CBA8D0C">
            <w:pPr>
              <w:pStyle w:val="72"/>
              <w:ind w:firstLine="0" w:firstLineChars="0"/>
              <w:rPr>
                <w:rFonts w:hint="eastAsia" w:ascii="仿宋" w:hAnsi="仿宋"/>
                <w:color w:val="000000"/>
                <w:sz w:val="20"/>
                <w:szCs w:val="20"/>
              </w:rPr>
            </w:pPr>
            <w:r>
              <w:rPr>
                <w:rFonts w:hint="eastAsia" w:ascii="仿宋" w:hAnsi="仿宋"/>
                <w:color w:val="000000"/>
                <w:sz w:val="20"/>
                <w:szCs w:val="20"/>
              </w:rPr>
              <w:t>20294</w:t>
            </w:r>
          </w:p>
        </w:tc>
        <w:tc>
          <w:tcPr>
            <w:tcW w:w="980" w:type="pct"/>
            <w:shd w:val="clear" w:color="auto" w:fill="auto"/>
            <w:vAlign w:val="center"/>
          </w:tcPr>
          <w:p w14:paraId="469C0131">
            <w:pPr>
              <w:pStyle w:val="72"/>
              <w:ind w:firstLine="0" w:firstLineChars="0"/>
              <w:rPr>
                <w:rFonts w:hint="eastAsia" w:ascii="仿宋" w:hAnsi="仿宋"/>
                <w:szCs w:val="21"/>
                <w:lang w:val="en-US" w:eastAsia="zh-CN"/>
              </w:rPr>
            </w:pPr>
            <w:r>
              <w:rPr>
                <w:rFonts w:hint="eastAsia" w:ascii="仿宋" w:hAnsi="仿宋"/>
                <w:szCs w:val="21"/>
                <w:lang w:val="en-US" w:eastAsia="zh-CN"/>
              </w:rPr>
              <w:t>建筑物及硬盖层</w:t>
            </w:r>
            <w:r>
              <w:rPr>
                <w:rFonts w:hint="eastAsia" w:ascii="仿宋" w:hAnsi="仿宋"/>
                <w:szCs w:val="21"/>
              </w:rPr>
              <w:t>回填</w:t>
            </w:r>
          </w:p>
        </w:tc>
        <w:tc>
          <w:tcPr>
            <w:tcW w:w="312" w:type="pct"/>
            <w:vAlign w:val="center"/>
          </w:tcPr>
          <w:p w14:paraId="13C1371E">
            <w:pPr>
              <w:pStyle w:val="72"/>
              <w:rPr>
                <w:rFonts w:hint="eastAsia" w:ascii="仿宋" w:hAnsi="仿宋"/>
                <w:color w:val="000000"/>
                <w:sz w:val="20"/>
                <w:szCs w:val="20"/>
              </w:rPr>
            </w:pPr>
            <w:r>
              <w:rPr>
                <w:rFonts w:hint="eastAsia" w:ascii="仿宋" w:hAnsi="仿宋"/>
                <w:color w:val="000000"/>
                <w:sz w:val="20"/>
                <w:szCs w:val="20"/>
              </w:rPr>
              <w:t>100m</w:t>
            </w:r>
            <w:r>
              <w:rPr>
                <w:rFonts w:ascii="Calibri" w:hAnsi="Calibri" w:cs="Calibri"/>
                <w:color w:val="000000"/>
                <w:sz w:val="20"/>
                <w:szCs w:val="20"/>
              </w:rPr>
              <w:t>³</w:t>
            </w:r>
          </w:p>
        </w:tc>
        <w:tc>
          <w:tcPr>
            <w:tcW w:w="490" w:type="pct"/>
            <w:shd w:val="clear" w:color="auto" w:fill="auto"/>
            <w:vAlign w:val="center"/>
          </w:tcPr>
          <w:p w14:paraId="04976BDD">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784.94</w:t>
            </w:r>
          </w:p>
        </w:tc>
        <w:tc>
          <w:tcPr>
            <w:tcW w:w="490" w:type="pct"/>
            <w:shd w:val="clear" w:color="auto" w:fill="auto"/>
            <w:vAlign w:val="center"/>
          </w:tcPr>
          <w:p w14:paraId="6FA70334">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47.10</w:t>
            </w:r>
          </w:p>
        </w:tc>
        <w:tc>
          <w:tcPr>
            <w:tcW w:w="491" w:type="pct"/>
            <w:shd w:val="clear" w:color="auto" w:fill="auto"/>
            <w:vAlign w:val="center"/>
          </w:tcPr>
          <w:p w14:paraId="216DEA1E">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24.96</w:t>
            </w:r>
          </w:p>
        </w:tc>
        <w:tc>
          <w:tcPr>
            <w:tcW w:w="582" w:type="pct"/>
            <w:shd w:val="clear" w:color="auto" w:fill="auto"/>
            <w:vAlign w:val="center"/>
          </w:tcPr>
          <w:p w14:paraId="7CBD1677">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111.88</w:t>
            </w:r>
          </w:p>
        </w:tc>
        <w:tc>
          <w:tcPr>
            <w:tcW w:w="423" w:type="pct"/>
            <w:shd w:val="clear" w:color="auto" w:fill="auto"/>
            <w:vAlign w:val="center"/>
          </w:tcPr>
          <w:p w14:paraId="77493ED5">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lang w:val="en-US" w:eastAsia="zh-CN"/>
              </w:rPr>
              <w:t>87.20</w:t>
            </w:r>
          </w:p>
        </w:tc>
        <w:tc>
          <w:tcPr>
            <w:tcW w:w="562" w:type="pct"/>
            <w:shd w:val="clear" w:color="auto" w:fill="auto"/>
            <w:vAlign w:val="center"/>
          </w:tcPr>
          <w:p w14:paraId="1EAA24D1">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lang w:val="en-US" w:eastAsia="zh-CN"/>
              </w:rPr>
              <w:t>1872.36</w:t>
            </w:r>
          </w:p>
        </w:tc>
      </w:tr>
      <w:tr w14:paraId="7D38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vAlign w:val="center"/>
          </w:tcPr>
          <w:p w14:paraId="46F2B3F8">
            <w:pPr>
              <w:pStyle w:val="72"/>
              <w:rPr>
                <w:rFonts w:hint="default" w:ascii="仿宋" w:hAnsi="仿宋" w:eastAsia="仿宋"/>
                <w:color w:val="000000"/>
                <w:sz w:val="20"/>
                <w:szCs w:val="20"/>
                <w:lang w:val="en-US" w:eastAsia="zh-CN"/>
              </w:rPr>
            </w:pPr>
            <w:r>
              <w:rPr>
                <w:rFonts w:hint="eastAsia" w:ascii="仿宋" w:hAnsi="仿宋"/>
                <w:color w:val="000000"/>
                <w:sz w:val="20"/>
                <w:szCs w:val="20"/>
                <w:lang w:val="en-US" w:eastAsia="zh-CN"/>
              </w:rPr>
              <w:t>13</w:t>
            </w:r>
          </w:p>
        </w:tc>
        <w:tc>
          <w:tcPr>
            <w:tcW w:w="389" w:type="pct"/>
            <w:vAlign w:val="center"/>
          </w:tcPr>
          <w:p w14:paraId="579D44F4">
            <w:pPr>
              <w:pStyle w:val="72"/>
              <w:ind w:firstLine="0" w:firstLineChars="0"/>
              <w:rPr>
                <w:rFonts w:hint="eastAsia" w:ascii="仿宋" w:hAnsi="仿宋"/>
                <w:color w:val="000000"/>
                <w:sz w:val="20"/>
                <w:szCs w:val="20"/>
              </w:rPr>
            </w:pPr>
            <w:r>
              <w:rPr>
                <w:rFonts w:hint="eastAsia" w:ascii="仿宋" w:hAnsi="仿宋"/>
                <w:color w:val="000000"/>
                <w:sz w:val="20"/>
                <w:szCs w:val="20"/>
              </w:rPr>
              <w:t>20273</w:t>
            </w:r>
          </w:p>
        </w:tc>
        <w:tc>
          <w:tcPr>
            <w:tcW w:w="980" w:type="pct"/>
            <w:vAlign w:val="center"/>
          </w:tcPr>
          <w:p w14:paraId="69CD7ECD">
            <w:pPr>
              <w:pStyle w:val="72"/>
              <w:ind w:firstLine="0" w:firstLineChars="0"/>
              <w:rPr>
                <w:rFonts w:hint="eastAsia" w:ascii="仿宋" w:hAnsi="仿宋"/>
                <w:color w:val="000000"/>
                <w:sz w:val="20"/>
                <w:szCs w:val="20"/>
              </w:rPr>
            </w:pPr>
            <w:r>
              <w:rPr>
                <w:rFonts w:hint="eastAsia" w:ascii="仿宋" w:hAnsi="仿宋"/>
                <w:szCs w:val="21"/>
              </w:rPr>
              <w:t>场地平整</w:t>
            </w:r>
          </w:p>
        </w:tc>
        <w:tc>
          <w:tcPr>
            <w:tcW w:w="312" w:type="pct"/>
            <w:shd w:val="clear" w:color="auto" w:fill="auto"/>
            <w:vAlign w:val="center"/>
          </w:tcPr>
          <w:p w14:paraId="1B13DE4F">
            <w:pPr>
              <w:pStyle w:val="72"/>
              <w:ind w:firstLine="0" w:firstLineChars="0"/>
              <w:rPr>
                <w:rFonts w:hint="eastAsia" w:ascii="Times New Roman" w:hAnsi="Times New Roman" w:eastAsia="仿宋" w:cs="Times New Roman"/>
                <w:b w:val="0"/>
                <w:bCs/>
                <w:color w:val="000000" w:themeColor="text1"/>
                <w:kern w:val="2"/>
                <w:sz w:val="21"/>
                <w:szCs w:val="28"/>
                <w:lang w:val="en-US" w:eastAsia="zh-CN" w:bidi="ar-SA"/>
                <w14:textFill>
                  <w14:solidFill>
                    <w14:schemeClr w14:val="tx1"/>
                  </w14:solidFill>
                </w14:textFill>
              </w:rPr>
            </w:pPr>
            <w:r>
              <w:rPr>
                <w:rFonts w:hint="eastAsia" w:ascii="仿宋" w:hAnsi="仿宋"/>
                <w:color w:val="000000"/>
                <w:sz w:val="20"/>
                <w:szCs w:val="20"/>
              </w:rPr>
              <w:t>100m</w:t>
            </w:r>
            <w:r>
              <w:rPr>
                <w:rFonts w:ascii="Calibri" w:hAnsi="Calibri" w:cs="Calibri"/>
                <w:color w:val="000000"/>
                <w:sz w:val="20"/>
                <w:szCs w:val="20"/>
              </w:rPr>
              <w:t>³</w:t>
            </w:r>
          </w:p>
        </w:tc>
        <w:tc>
          <w:tcPr>
            <w:tcW w:w="490" w:type="pct"/>
            <w:shd w:val="clear" w:color="auto" w:fill="auto"/>
            <w:vAlign w:val="center"/>
          </w:tcPr>
          <w:p w14:paraId="422289C9">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447.46</w:t>
            </w:r>
          </w:p>
        </w:tc>
        <w:tc>
          <w:tcPr>
            <w:tcW w:w="490" w:type="pct"/>
            <w:shd w:val="clear" w:color="auto" w:fill="auto"/>
            <w:vAlign w:val="center"/>
          </w:tcPr>
          <w:p w14:paraId="120F13C6">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32.22</w:t>
            </w:r>
          </w:p>
        </w:tc>
        <w:tc>
          <w:tcPr>
            <w:tcW w:w="491" w:type="pct"/>
            <w:shd w:val="clear" w:color="auto" w:fill="auto"/>
            <w:vAlign w:val="center"/>
          </w:tcPr>
          <w:p w14:paraId="4D6BE38B">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14.39</w:t>
            </w:r>
          </w:p>
        </w:tc>
        <w:tc>
          <w:tcPr>
            <w:tcW w:w="582" w:type="pct"/>
            <w:shd w:val="clear" w:color="auto" w:fill="auto"/>
            <w:vAlign w:val="center"/>
          </w:tcPr>
          <w:p w14:paraId="0D5A1BFF">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90.27</w:t>
            </w:r>
          </w:p>
        </w:tc>
        <w:tc>
          <w:tcPr>
            <w:tcW w:w="423" w:type="pct"/>
            <w:shd w:val="clear" w:color="auto" w:fill="auto"/>
            <w:vAlign w:val="center"/>
          </w:tcPr>
          <w:p w14:paraId="0C6EAEB0">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52.59</w:t>
            </w:r>
          </w:p>
        </w:tc>
        <w:tc>
          <w:tcPr>
            <w:tcW w:w="562" w:type="pct"/>
            <w:shd w:val="clear" w:color="auto" w:fill="auto"/>
            <w:vAlign w:val="center"/>
          </w:tcPr>
          <w:p w14:paraId="6F82A8FC">
            <w:pPr>
              <w:pStyle w:val="72"/>
              <w:ind w:firstLine="0" w:firstLineChars="0"/>
              <w:rPr>
                <w:rFonts w:hint="eastAsia" w:ascii="仿宋" w:hAnsi="仿宋"/>
                <w:color w:val="000000"/>
                <w:sz w:val="20"/>
                <w:szCs w:val="20"/>
                <w:lang w:val="en-US" w:eastAsia="zh-CN"/>
              </w:rPr>
            </w:pPr>
            <w:r>
              <w:rPr>
                <w:rFonts w:hint="eastAsia" w:ascii="仿宋" w:hAnsi="仿宋"/>
                <w:color w:val="000000"/>
                <w:sz w:val="20"/>
                <w:szCs w:val="20"/>
              </w:rPr>
              <w:t>636.93</w:t>
            </w:r>
          </w:p>
        </w:tc>
      </w:tr>
      <w:tr w14:paraId="20BB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vAlign w:val="center"/>
          </w:tcPr>
          <w:p w14:paraId="655BE8F5">
            <w:pPr>
              <w:pStyle w:val="72"/>
              <w:rPr>
                <w:rFonts w:hint="eastAsia" w:ascii="仿宋" w:hAnsi="仿宋"/>
                <w:b/>
                <w:bCs w:val="0"/>
                <w:color w:val="000000"/>
                <w:sz w:val="20"/>
                <w:szCs w:val="20"/>
              </w:rPr>
            </w:pPr>
            <w:r>
              <w:rPr>
                <w:rFonts w:hint="eastAsia" w:ascii="仿宋" w:hAnsi="仿宋"/>
                <w:b/>
                <w:bCs w:val="0"/>
                <w:color w:val="000000"/>
                <w:sz w:val="20"/>
                <w:szCs w:val="20"/>
              </w:rPr>
              <w:t>三</w:t>
            </w:r>
          </w:p>
        </w:tc>
        <w:tc>
          <w:tcPr>
            <w:tcW w:w="389" w:type="pct"/>
            <w:vAlign w:val="center"/>
          </w:tcPr>
          <w:p w14:paraId="1204E13D">
            <w:pPr>
              <w:pStyle w:val="72"/>
              <w:rPr>
                <w:rFonts w:hint="eastAsia" w:ascii="仿宋" w:hAnsi="仿宋"/>
                <w:b/>
                <w:bCs w:val="0"/>
                <w:color w:val="000000"/>
                <w:sz w:val="20"/>
                <w:szCs w:val="20"/>
              </w:rPr>
            </w:pPr>
          </w:p>
        </w:tc>
        <w:tc>
          <w:tcPr>
            <w:tcW w:w="980" w:type="pct"/>
            <w:vAlign w:val="bottom"/>
          </w:tcPr>
          <w:p w14:paraId="604199A8">
            <w:pPr>
              <w:pStyle w:val="72"/>
              <w:rPr>
                <w:rFonts w:hint="eastAsia" w:ascii="仿宋" w:hAnsi="仿宋"/>
                <w:b/>
                <w:bCs w:val="0"/>
                <w:sz w:val="20"/>
                <w:szCs w:val="20"/>
              </w:rPr>
            </w:pPr>
            <w:r>
              <w:rPr>
                <w:rFonts w:hint="eastAsia" w:ascii="仿宋" w:hAnsi="仿宋"/>
                <w:b/>
                <w:bCs w:val="0"/>
                <w:sz w:val="20"/>
                <w:szCs w:val="20"/>
              </w:rPr>
              <w:t>监测工程</w:t>
            </w:r>
          </w:p>
        </w:tc>
        <w:tc>
          <w:tcPr>
            <w:tcW w:w="312" w:type="pct"/>
            <w:vAlign w:val="center"/>
          </w:tcPr>
          <w:p w14:paraId="4FB09A39">
            <w:pPr>
              <w:pStyle w:val="72"/>
              <w:rPr>
                <w:rFonts w:hint="eastAsia" w:ascii="仿宋" w:hAnsi="仿宋"/>
                <w:color w:val="000000"/>
                <w:sz w:val="20"/>
                <w:szCs w:val="20"/>
              </w:rPr>
            </w:pPr>
          </w:p>
        </w:tc>
        <w:tc>
          <w:tcPr>
            <w:tcW w:w="490" w:type="pct"/>
            <w:noWrap/>
            <w:vAlign w:val="bottom"/>
          </w:tcPr>
          <w:p w14:paraId="45194E87">
            <w:pPr>
              <w:pStyle w:val="72"/>
              <w:rPr>
                <w:rFonts w:hint="default" w:ascii="仿宋" w:hAnsi="仿宋" w:eastAsia="仿宋"/>
                <w:sz w:val="20"/>
                <w:szCs w:val="20"/>
                <w:lang w:val="en-US" w:eastAsia="zh-CN"/>
              </w:rPr>
            </w:pPr>
          </w:p>
        </w:tc>
        <w:tc>
          <w:tcPr>
            <w:tcW w:w="490" w:type="pct"/>
            <w:noWrap/>
            <w:vAlign w:val="bottom"/>
          </w:tcPr>
          <w:p w14:paraId="76E6785E">
            <w:pPr>
              <w:pStyle w:val="72"/>
              <w:rPr>
                <w:rFonts w:hint="default" w:ascii="仿宋" w:hAnsi="仿宋" w:eastAsia="仿宋"/>
                <w:sz w:val="20"/>
                <w:szCs w:val="20"/>
                <w:lang w:val="en-US" w:eastAsia="zh-CN"/>
              </w:rPr>
            </w:pPr>
          </w:p>
        </w:tc>
        <w:tc>
          <w:tcPr>
            <w:tcW w:w="491" w:type="pct"/>
            <w:noWrap/>
            <w:vAlign w:val="bottom"/>
          </w:tcPr>
          <w:p w14:paraId="02A49A80">
            <w:pPr>
              <w:pStyle w:val="72"/>
              <w:rPr>
                <w:rFonts w:hint="default" w:ascii="仿宋" w:hAnsi="仿宋" w:eastAsia="仿宋"/>
                <w:sz w:val="20"/>
                <w:szCs w:val="20"/>
                <w:lang w:val="en-US" w:eastAsia="zh-CN"/>
              </w:rPr>
            </w:pPr>
          </w:p>
        </w:tc>
        <w:tc>
          <w:tcPr>
            <w:tcW w:w="582" w:type="pct"/>
            <w:noWrap/>
            <w:vAlign w:val="bottom"/>
          </w:tcPr>
          <w:p w14:paraId="7FC7C6C9">
            <w:pPr>
              <w:pStyle w:val="72"/>
              <w:rPr>
                <w:rFonts w:hint="eastAsia" w:ascii="仿宋" w:hAnsi="仿宋"/>
                <w:sz w:val="20"/>
                <w:szCs w:val="20"/>
              </w:rPr>
            </w:pPr>
          </w:p>
        </w:tc>
        <w:tc>
          <w:tcPr>
            <w:tcW w:w="423" w:type="pct"/>
            <w:noWrap/>
            <w:vAlign w:val="bottom"/>
          </w:tcPr>
          <w:p w14:paraId="2E220642">
            <w:pPr>
              <w:pStyle w:val="72"/>
              <w:rPr>
                <w:rFonts w:hint="default" w:ascii="仿宋" w:hAnsi="仿宋" w:eastAsia="仿宋"/>
                <w:sz w:val="20"/>
                <w:szCs w:val="20"/>
                <w:lang w:val="en-US" w:eastAsia="zh-CN"/>
              </w:rPr>
            </w:pPr>
          </w:p>
        </w:tc>
        <w:tc>
          <w:tcPr>
            <w:tcW w:w="562" w:type="pct"/>
            <w:vAlign w:val="bottom"/>
          </w:tcPr>
          <w:p w14:paraId="6A56D87B">
            <w:pPr>
              <w:pStyle w:val="72"/>
              <w:rPr>
                <w:rFonts w:hint="default" w:ascii="仿宋" w:hAnsi="仿宋" w:eastAsia="仿宋"/>
                <w:sz w:val="20"/>
                <w:szCs w:val="20"/>
                <w:lang w:val="en-US" w:eastAsia="zh-CN"/>
              </w:rPr>
            </w:pPr>
          </w:p>
        </w:tc>
      </w:tr>
      <w:tr w14:paraId="182D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vAlign w:val="center"/>
          </w:tcPr>
          <w:p w14:paraId="13E91951">
            <w:pPr>
              <w:pStyle w:val="72"/>
              <w:rPr>
                <w:rFonts w:hint="eastAsia" w:ascii="仿宋" w:hAnsi="仿宋"/>
                <w:color w:val="000000"/>
                <w:sz w:val="20"/>
                <w:szCs w:val="20"/>
              </w:rPr>
            </w:pPr>
            <w:r>
              <w:rPr>
                <w:rFonts w:hint="eastAsia" w:ascii="仿宋" w:hAnsi="仿宋"/>
                <w:color w:val="000000"/>
                <w:sz w:val="20"/>
                <w:szCs w:val="20"/>
              </w:rPr>
              <w:t>14</w:t>
            </w:r>
          </w:p>
        </w:tc>
        <w:tc>
          <w:tcPr>
            <w:tcW w:w="389" w:type="pct"/>
          </w:tcPr>
          <w:p w14:paraId="707D0021">
            <w:pPr>
              <w:pStyle w:val="72"/>
              <w:rPr>
                <w:rFonts w:hint="eastAsia" w:ascii="仿宋" w:hAnsi="仿宋"/>
                <w:color w:val="000000"/>
                <w:sz w:val="20"/>
                <w:szCs w:val="20"/>
              </w:rPr>
            </w:pPr>
            <w:r>
              <w:rPr>
                <w:rFonts w:hint="eastAsia" w:ascii="仿宋" w:hAnsi="仿宋"/>
                <w:color w:val="000000"/>
                <w:sz w:val="20"/>
                <w:szCs w:val="20"/>
              </w:rPr>
              <w:t>市价4</w:t>
            </w:r>
          </w:p>
        </w:tc>
        <w:tc>
          <w:tcPr>
            <w:tcW w:w="980" w:type="pct"/>
            <w:vAlign w:val="center"/>
          </w:tcPr>
          <w:p w14:paraId="067AEBAD">
            <w:pPr>
              <w:pStyle w:val="72"/>
              <w:rPr>
                <w:rFonts w:hint="eastAsia" w:ascii="仿宋" w:hAnsi="仿宋"/>
                <w:sz w:val="20"/>
                <w:szCs w:val="20"/>
              </w:rPr>
            </w:pPr>
            <w:r>
              <w:rPr>
                <w:rFonts w:hint="eastAsia" w:ascii="仿宋" w:hAnsi="仿宋"/>
                <w:sz w:val="20"/>
                <w:szCs w:val="20"/>
              </w:rPr>
              <w:t>矿山地质环境监测</w:t>
            </w:r>
          </w:p>
        </w:tc>
        <w:tc>
          <w:tcPr>
            <w:tcW w:w="312" w:type="pct"/>
            <w:vAlign w:val="center"/>
          </w:tcPr>
          <w:p w14:paraId="34AFFEBA">
            <w:pPr>
              <w:pStyle w:val="72"/>
              <w:rPr>
                <w:rFonts w:hint="eastAsia" w:ascii="仿宋" w:hAnsi="仿宋"/>
                <w:color w:val="000000"/>
                <w:sz w:val="20"/>
                <w:szCs w:val="20"/>
              </w:rPr>
            </w:pPr>
            <w:r>
              <w:rPr>
                <w:rFonts w:hint="eastAsia" w:ascii="仿宋" w:hAnsi="仿宋"/>
                <w:color w:val="000000"/>
                <w:sz w:val="20"/>
                <w:szCs w:val="20"/>
              </w:rPr>
              <w:t>次</w:t>
            </w:r>
          </w:p>
        </w:tc>
        <w:tc>
          <w:tcPr>
            <w:tcW w:w="490" w:type="pct"/>
            <w:noWrap/>
            <w:vAlign w:val="bottom"/>
          </w:tcPr>
          <w:p w14:paraId="5ECBE5DB">
            <w:pPr>
              <w:pStyle w:val="72"/>
              <w:rPr>
                <w:rFonts w:hint="eastAsia" w:ascii="仿宋" w:hAnsi="仿宋"/>
                <w:sz w:val="20"/>
                <w:szCs w:val="20"/>
              </w:rPr>
            </w:pPr>
          </w:p>
        </w:tc>
        <w:tc>
          <w:tcPr>
            <w:tcW w:w="490" w:type="pct"/>
            <w:noWrap/>
            <w:vAlign w:val="bottom"/>
          </w:tcPr>
          <w:p w14:paraId="4F3DFCEA">
            <w:pPr>
              <w:pStyle w:val="72"/>
              <w:rPr>
                <w:rFonts w:hint="eastAsia" w:ascii="仿宋" w:hAnsi="仿宋"/>
                <w:sz w:val="20"/>
                <w:szCs w:val="20"/>
              </w:rPr>
            </w:pPr>
          </w:p>
        </w:tc>
        <w:tc>
          <w:tcPr>
            <w:tcW w:w="491" w:type="pct"/>
            <w:noWrap/>
            <w:vAlign w:val="bottom"/>
          </w:tcPr>
          <w:p w14:paraId="181C8E9A">
            <w:pPr>
              <w:pStyle w:val="72"/>
              <w:rPr>
                <w:rFonts w:hint="eastAsia" w:ascii="仿宋" w:hAnsi="仿宋"/>
                <w:sz w:val="20"/>
                <w:szCs w:val="20"/>
              </w:rPr>
            </w:pPr>
          </w:p>
        </w:tc>
        <w:tc>
          <w:tcPr>
            <w:tcW w:w="582" w:type="pct"/>
            <w:noWrap/>
            <w:vAlign w:val="bottom"/>
          </w:tcPr>
          <w:p w14:paraId="1A976B83">
            <w:pPr>
              <w:pStyle w:val="72"/>
              <w:rPr>
                <w:rFonts w:hint="eastAsia" w:ascii="仿宋" w:hAnsi="仿宋"/>
                <w:sz w:val="20"/>
                <w:szCs w:val="20"/>
              </w:rPr>
            </w:pPr>
          </w:p>
        </w:tc>
        <w:tc>
          <w:tcPr>
            <w:tcW w:w="423" w:type="pct"/>
            <w:noWrap/>
            <w:vAlign w:val="bottom"/>
          </w:tcPr>
          <w:p w14:paraId="3E043198">
            <w:pPr>
              <w:pStyle w:val="72"/>
              <w:rPr>
                <w:rFonts w:hint="eastAsia" w:ascii="仿宋" w:hAnsi="仿宋"/>
                <w:sz w:val="20"/>
                <w:szCs w:val="20"/>
              </w:rPr>
            </w:pPr>
          </w:p>
        </w:tc>
        <w:tc>
          <w:tcPr>
            <w:tcW w:w="562" w:type="pct"/>
            <w:vAlign w:val="bottom"/>
          </w:tcPr>
          <w:p w14:paraId="41EF661E">
            <w:pPr>
              <w:pStyle w:val="72"/>
              <w:rPr>
                <w:rFonts w:hint="eastAsia" w:ascii="仿宋" w:hAnsi="仿宋"/>
                <w:sz w:val="20"/>
                <w:szCs w:val="20"/>
              </w:rPr>
            </w:pPr>
            <w:r>
              <w:rPr>
                <w:rFonts w:hint="eastAsia" w:ascii="仿宋" w:hAnsi="仿宋"/>
                <w:sz w:val="20"/>
                <w:szCs w:val="20"/>
              </w:rPr>
              <w:t>200</w:t>
            </w:r>
          </w:p>
        </w:tc>
      </w:tr>
      <w:tr w14:paraId="7ADA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vAlign w:val="center"/>
          </w:tcPr>
          <w:p w14:paraId="3F4220F3">
            <w:pPr>
              <w:pStyle w:val="72"/>
              <w:rPr>
                <w:rFonts w:hint="eastAsia" w:ascii="仿宋" w:hAnsi="仿宋"/>
                <w:color w:val="000000"/>
                <w:sz w:val="20"/>
                <w:szCs w:val="20"/>
              </w:rPr>
            </w:pPr>
            <w:r>
              <w:rPr>
                <w:rFonts w:hint="eastAsia" w:ascii="仿宋" w:hAnsi="仿宋"/>
                <w:color w:val="000000"/>
                <w:sz w:val="20"/>
                <w:szCs w:val="20"/>
              </w:rPr>
              <w:t>15</w:t>
            </w:r>
          </w:p>
        </w:tc>
        <w:tc>
          <w:tcPr>
            <w:tcW w:w="389" w:type="pct"/>
          </w:tcPr>
          <w:p w14:paraId="66F6D2A8">
            <w:pPr>
              <w:pStyle w:val="72"/>
              <w:rPr>
                <w:rFonts w:hint="eastAsia" w:ascii="仿宋" w:hAnsi="仿宋"/>
                <w:color w:val="000000"/>
                <w:sz w:val="20"/>
                <w:szCs w:val="20"/>
              </w:rPr>
            </w:pPr>
            <w:r>
              <w:rPr>
                <w:rFonts w:hint="eastAsia" w:ascii="仿宋" w:hAnsi="仿宋"/>
                <w:color w:val="000000"/>
                <w:sz w:val="20"/>
                <w:szCs w:val="20"/>
              </w:rPr>
              <w:t>市价5</w:t>
            </w:r>
          </w:p>
        </w:tc>
        <w:tc>
          <w:tcPr>
            <w:tcW w:w="980" w:type="pct"/>
            <w:vAlign w:val="center"/>
          </w:tcPr>
          <w:p w14:paraId="25FC62B5">
            <w:pPr>
              <w:pStyle w:val="72"/>
              <w:rPr>
                <w:rFonts w:hint="eastAsia" w:ascii="仿宋" w:hAnsi="仿宋"/>
                <w:sz w:val="20"/>
                <w:szCs w:val="20"/>
              </w:rPr>
            </w:pPr>
            <w:r>
              <w:rPr>
                <w:rFonts w:hint="eastAsia" w:ascii="仿宋" w:hAnsi="仿宋"/>
                <w:sz w:val="20"/>
                <w:szCs w:val="20"/>
              </w:rPr>
              <w:t>土地资源生态监测</w:t>
            </w:r>
          </w:p>
        </w:tc>
        <w:tc>
          <w:tcPr>
            <w:tcW w:w="312" w:type="pct"/>
          </w:tcPr>
          <w:p w14:paraId="5E636DE7">
            <w:pPr>
              <w:pStyle w:val="72"/>
              <w:rPr>
                <w:rFonts w:hint="eastAsia" w:ascii="仿宋" w:hAnsi="仿宋"/>
                <w:color w:val="000000"/>
                <w:sz w:val="20"/>
                <w:szCs w:val="20"/>
              </w:rPr>
            </w:pPr>
            <w:r>
              <w:rPr>
                <w:rFonts w:hint="eastAsia" w:ascii="仿宋" w:hAnsi="仿宋"/>
                <w:color w:val="000000"/>
                <w:sz w:val="20"/>
                <w:szCs w:val="20"/>
              </w:rPr>
              <w:t>次</w:t>
            </w:r>
          </w:p>
        </w:tc>
        <w:tc>
          <w:tcPr>
            <w:tcW w:w="490" w:type="pct"/>
            <w:noWrap/>
            <w:vAlign w:val="bottom"/>
          </w:tcPr>
          <w:p w14:paraId="277C20F1">
            <w:pPr>
              <w:pStyle w:val="72"/>
              <w:rPr>
                <w:rFonts w:hint="eastAsia" w:ascii="仿宋" w:hAnsi="仿宋"/>
                <w:sz w:val="20"/>
                <w:szCs w:val="20"/>
              </w:rPr>
            </w:pPr>
          </w:p>
        </w:tc>
        <w:tc>
          <w:tcPr>
            <w:tcW w:w="490" w:type="pct"/>
            <w:noWrap/>
            <w:vAlign w:val="bottom"/>
          </w:tcPr>
          <w:p w14:paraId="60089836">
            <w:pPr>
              <w:pStyle w:val="72"/>
              <w:rPr>
                <w:rFonts w:hint="eastAsia" w:ascii="仿宋" w:hAnsi="仿宋"/>
                <w:sz w:val="20"/>
                <w:szCs w:val="20"/>
              </w:rPr>
            </w:pPr>
          </w:p>
        </w:tc>
        <w:tc>
          <w:tcPr>
            <w:tcW w:w="491" w:type="pct"/>
            <w:noWrap/>
            <w:vAlign w:val="bottom"/>
          </w:tcPr>
          <w:p w14:paraId="44C44794">
            <w:pPr>
              <w:pStyle w:val="72"/>
              <w:rPr>
                <w:rFonts w:hint="eastAsia" w:ascii="仿宋" w:hAnsi="仿宋"/>
                <w:sz w:val="20"/>
                <w:szCs w:val="20"/>
              </w:rPr>
            </w:pPr>
          </w:p>
        </w:tc>
        <w:tc>
          <w:tcPr>
            <w:tcW w:w="582" w:type="pct"/>
            <w:noWrap/>
            <w:vAlign w:val="bottom"/>
          </w:tcPr>
          <w:p w14:paraId="38FACB30">
            <w:pPr>
              <w:pStyle w:val="72"/>
              <w:rPr>
                <w:rFonts w:hint="eastAsia" w:ascii="仿宋" w:hAnsi="仿宋"/>
                <w:sz w:val="20"/>
                <w:szCs w:val="20"/>
              </w:rPr>
            </w:pPr>
          </w:p>
        </w:tc>
        <w:tc>
          <w:tcPr>
            <w:tcW w:w="423" w:type="pct"/>
            <w:noWrap/>
            <w:vAlign w:val="bottom"/>
          </w:tcPr>
          <w:p w14:paraId="0851C2CA">
            <w:pPr>
              <w:pStyle w:val="72"/>
              <w:rPr>
                <w:rFonts w:hint="eastAsia" w:ascii="仿宋" w:hAnsi="仿宋"/>
                <w:sz w:val="20"/>
                <w:szCs w:val="20"/>
              </w:rPr>
            </w:pPr>
          </w:p>
        </w:tc>
        <w:tc>
          <w:tcPr>
            <w:tcW w:w="562" w:type="pct"/>
            <w:vAlign w:val="bottom"/>
          </w:tcPr>
          <w:p w14:paraId="43AA6466">
            <w:pPr>
              <w:pStyle w:val="72"/>
              <w:rPr>
                <w:rFonts w:hint="eastAsia" w:ascii="仿宋" w:hAnsi="仿宋"/>
                <w:sz w:val="20"/>
                <w:szCs w:val="20"/>
              </w:rPr>
            </w:pPr>
            <w:r>
              <w:rPr>
                <w:rFonts w:hint="eastAsia" w:ascii="仿宋" w:hAnsi="仿宋"/>
                <w:sz w:val="20"/>
                <w:szCs w:val="20"/>
              </w:rPr>
              <w:t>200</w:t>
            </w:r>
          </w:p>
        </w:tc>
      </w:tr>
      <w:tr w14:paraId="0887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vAlign w:val="center"/>
          </w:tcPr>
          <w:p w14:paraId="141A890C">
            <w:pPr>
              <w:pStyle w:val="72"/>
              <w:rPr>
                <w:rFonts w:hint="eastAsia" w:ascii="仿宋" w:hAnsi="仿宋"/>
                <w:color w:val="000000"/>
                <w:sz w:val="20"/>
                <w:szCs w:val="20"/>
              </w:rPr>
            </w:pPr>
            <w:r>
              <w:rPr>
                <w:rFonts w:hint="eastAsia" w:ascii="仿宋" w:hAnsi="仿宋"/>
                <w:color w:val="000000"/>
                <w:sz w:val="20"/>
                <w:szCs w:val="20"/>
              </w:rPr>
              <w:t>16</w:t>
            </w:r>
          </w:p>
        </w:tc>
        <w:tc>
          <w:tcPr>
            <w:tcW w:w="389" w:type="pct"/>
          </w:tcPr>
          <w:p w14:paraId="59084249">
            <w:pPr>
              <w:pStyle w:val="72"/>
              <w:rPr>
                <w:rFonts w:hint="eastAsia" w:ascii="仿宋" w:hAnsi="仿宋"/>
                <w:color w:val="000000"/>
                <w:sz w:val="20"/>
                <w:szCs w:val="20"/>
              </w:rPr>
            </w:pPr>
            <w:r>
              <w:rPr>
                <w:rFonts w:hint="eastAsia" w:ascii="仿宋" w:hAnsi="仿宋"/>
                <w:color w:val="000000"/>
                <w:sz w:val="20"/>
                <w:szCs w:val="20"/>
              </w:rPr>
              <w:t>市价6</w:t>
            </w:r>
          </w:p>
        </w:tc>
        <w:tc>
          <w:tcPr>
            <w:tcW w:w="980" w:type="pct"/>
            <w:vAlign w:val="center"/>
          </w:tcPr>
          <w:p w14:paraId="2CE3DBD0">
            <w:pPr>
              <w:pStyle w:val="72"/>
              <w:rPr>
                <w:rFonts w:hint="eastAsia" w:ascii="仿宋" w:hAnsi="仿宋"/>
                <w:sz w:val="20"/>
                <w:szCs w:val="20"/>
              </w:rPr>
            </w:pPr>
            <w:r>
              <w:rPr>
                <w:rFonts w:hint="eastAsia" w:ascii="仿宋" w:hAnsi="仿宋"/>
                <w:sz w:val="20"/>
                <w:szCs w:val="20"/>
              </w:rPr>
              <w:t>地下水水质监测</w:t>
            </w:r>
          </w:p>
        </w:tc>
        <w:tc>
          <w:tcPr>
            <w:tcW w:w="312" w:type="pct"/>
          </w:tcPr>
          <w:p w14:paraId="3C74869E">
            <w:pPr>
              <w:pStyle w:val="72"/>
              <w:rPr>
                <w:rFonts w:hint="eastAsia" w:ascii="仿宋" w:hAnsi="仿宋"/>
                <w:color w:val="000000"/>
                <w:sz w:val="20"/>
                <w:szCs w:val="20"/>
              </w:rPr>
            </w:pPr>
            <w:r>
              <w:rPr>
                <w:rFonts w:hint="eastAsia" w:ascii="仿宋" w:hAnsi="仿宋"/>
                <w:color w:val="000000"/>
                <w:sz w:val="20"/>
                <w:szCs w:val="20"/>
              </w:rPr>
              <w:t>次</w:t>
            </w:r>
          </w:p>
        </w:tc>
        <w:tc>
          <w:tcPr>
            <w:tcW w:w="490" w:type="pct"/>
            <w:noWrap/>
            <w:vAlign w:val="bottom"/>
          </w:tcPr>
          <w:p w14:paraId="5D5D1CE2">
            <w:pPr>
              <w:pStyle w:val="72"/>
              <w:rPr>
                <w:rFonts w:hint="eastAsia" w:ascii="仿宋" w:hAnsi="仿宋"/>
                <w:sz w:val="20"/>
                <w:szCs w:val="20"/>
              </w:rPr>
            </w:pPr>
          </w:p>
        </w:tc>
        <w:tc>
          <w:tcPr>
            <w:tcW w:w="490" w:type="pct"/>
            <w:noWrap/>
            <w:vAlign w:val="bottom"/>
          </w:tcPr>
          <w:p w14:paraId="582A00DD">
            <w:pPr>
              <w:pStyle w:val="72"/>
              <w:rPr>
                <w:rFonts w:hint="eastAsia" w:ascii="仿宋" w:hAnsi="仿宋"/>
                <w:sz w:val="20"/>
                <w:szCs w:val="20"/>
              </w:rPr>
            </w:pPr>
          </w:p>
        </w:tc>
        <w:tc>
          <w:tcPr>
            <w:tcW w:w="491" w:type="pct"/>
            <w:noWrap/>
            <w:vAlign w:val="bottom"/>
          </w:tcPr>
          <w:p w14:paraId="5E6FF44D">
            <w:pPr>
              <w:pStyle w:val="72"/>
              <w:rPr>
                <w:rFonts w:hint="eastAsia" w:ascii="仿宋" w:hAnsi="仿宋"/>
                <w:sz w:val="20"/>
                <w:szCs w:val="20"/>
              </w:rPr>
            </w:pPr>
          </w:p>
        </w:tc>
        <w:tc>
          <w:tcPr>
            <w:tcW w:w="582" w:type="pct"/>
            <w:noWrap/>
            <w:vAlign w:val="bottom"/>
          </w:tcPr>
          <w:p w14:paraId="07FC1BE5">
            <w:pPr>
              <w:pStyle w:val="72"/>
              <w:rPr>
                <w:rFonts w:hint="eastAsia" w:ascii="仿宋" w:hAnsi="仿宋"/>
                <w:sz w:val="20"/>
                <w:szCs w:val="20"/>
              </w:rPr>
            </w:pPr>
          </w:p>
        </w:tc>
        <w:tc>
          <w:tcPr>
            <w:tcW w:w="423" w:type="pct"/>
            <w:noWrap/>
            <w:vAlign w:val="bottom"/>
          </w:tcPr>
          <w:p w14:paraId="6DC6E593">
            <w:pPr>
              <w:pStyle w:val="72"/>
              <w:rPr>
                <w:rFonts w:hint="eastAsia" w:ascii="仿宋" w:hAnsi="仿宋"/>
                <w:sz w:val="20"/>
                <w:szCs w:val="20"/>
              </w:rPr>
            </w:pPr>
          </w:p>
        </w:tc>
        <w:tc>
          <w:tcPr>
            <w:tcW w:w="562" w:type="pct"/>
            <w:vAlign w:val="bottom"/>
          </w:tcPr>
          <w:p w14:paraId="026219E3">
            <w:pPr>
              <w:pStyle w:val="72"/>
              <w:rPr>
                <w:rFonts w:hint="eastAsia" w:ascii="仿宋" w:hAnsi="仿宋"/>
                <w:sz w:val="20"/>
                <w:szCs w:val="20"/>
              </w:rPr>
            </w:pPr>
            <w:r>
              <w:rPr>
                <w:rFonts w:hint="eastAsia" w:ascii="仿宋" w:hAnsi="仿宋"/>
                <w:sz w:val="20"/>
                <w:szCs w:val="20"/>
              </w:rPr>
              <w:t>2000</w:t>
            </w:r>
          </w:p>
        </w:tc>
      </w:tr>
      <w:tr w14:paraId="5D62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vAlign w:val="center"/>
          </w:tcPr>
          <w:p w14:paraId="0A75D915">
            <w:pPr>
              <w:pStyle w:val="72"/>
              <w:rPr>
                <w:rFonts w:hint="eastAsia" w:ascii="仿宋" w:hAnsi="仿宋"/>
                <w:color w:val="000000"/>
                <w:sz w:val="20"/>
                <w:szCs w:val="20"/>
              </w:rPr>
            </w:pPr>
            <w:r>
              <w:rPr>
                <w:rFonts w:hint="eastAsia" w:ascii="仿宋" w:hAnsi="仿宋"/>
                <w:color w:val="000000"/>
                <w:sz w:val="20"/>
                <w:szCs w:val="20"/>
              </w:rPr>
              <w:t>17</w:t>
            </w:r>
          </w:p>
        </w:tc>
        <w:tc>
          <w:tcPr>
            <w:tcW w:w="389" w:type="pct"/>
          </w:tcPr>
          <w:p w14:paraId="6615AF60">
            <w:pPr>
              <w:pStyle w:val="72"/>
              <w:rPr>
                <w:rFonts w:hint="eastAsia" w:ascii="仿宋" w:hAnsi="仿宋"/>
                <w:color w:val="000000"/>
                <w:sz w:val="20"/>
                <w:szCs w:val="20"/>
              </w:rPr>
            </w:pPr>
            <w:r>
              <w:rPr>
                <w:rFonts w:hint="eastAsia" w:ascii="仿宋" w:hAnsi="仿宋"/>
                <w:color w:val="000000"/>
                <w:sz w:val="20"/>
                <w:szCs w:val="20"/>
              </w:rPr>
              <w:t>市价7</w:t>
            </w:r>
          </w:p>
        </w:tc>
        <w:tc>
          <w:tcPr>
            <w:tcW w:w="980" w:type="pct"/>
            <w:vAlign w:val="center"/>
          </w:tcPr>
          <w:p w14:paraId="68F5F148">
            <w:pPr>
              <w:pStyle w:val="72"/>
              <w:rPr>
                <w:rFonts w:hint="eastAsia" w:ascii="仿宋" w:hAnsi="仿宋"/>
                <w:sz w:val="20"/>
                <w:szCs w:val="20"/>
              </w:rPr>
            </w:pPr>
            <w:r>
              <w:rPr>
                <w:rFonts w:hint="eastAsia" w:ascii="仿宋" w:hAnsi="仿宋"/>
                <w:sz w:val="20"/>
                <w:szCs w:val="20"/>
              </w:rPr>
              <w:t>地下水水量监测</w:t>
            </w:r>
          </w:p>
        </w:tc>
        <w:tc>
          <w:tcPr>
            <w:tcW w:w="312" w:type="pct"/>
          </w:tcPr>
          <w:p w14:paraId="3E363737">
            <w:pPr>
              <w:pStyle w:val="72"/>
              <w:rPr>
                <w:rFonts w:hint="eastAsia" w:ascii="仿宋" w:hAnsi="仿宋"/>
                <w:color w:val="000000"/>
                <w:sz w:val="20"/>
                <w:szCs w:val="20"/>
              </w:rPr>
            </w:pPr>
            <w:r>
              <w:rPr>
                <w:rFonts w:hint="eastAsia" w:ascii="仿宋" w:hAnsi="仿宋"/>
                <w:color w:val="000000"/>
                <w:sz w:val="20"/>
                <w:szCs w:val="20"/>
              </w:rPr>
              <w:t>次</w:t>
            </w:r>
          </w:p>
        </w:tc>
        <w:tc>
          <w:tcPr>
            <w:tcW w:w="490" w:type="pct"/>
            <w:noWrap/>
            <w:vAlign w:val="bottom"/>
          </w:tcPr>
          <w:p w14:paraId="40F10D93">
            <w:pPr>
              <w:pStyle w:val="72"/>
              <w:rPr>
                <w:rFonts w:hint="eastAsia" w:ascii="仿宋" w:hAnsi="仿宋"/>
                <w:sz w:val="20"/>
                <w:szCs w:val="20"/>
              </w:rPr>
            </w:pPr>
          </w:p>
        </w:tc>
        <w:tc>
          <w:tcPr>
            <w:tcW w:w="490" w:type="pct"/>
            <w:noWrap/>
            <w:vAlign w:val="bottom"/>
          </w:tcPr>
          <w:p w14:paraId="7AA29D03">
            <w:pPr>
              <w:pStyle w:val="72"/>
              <w:rPr>
                <w:rFonts w:hint="eastAsia" w:ascii="仿宋" w:hAnsi="仿宋"/>
                <w:sz w:val="20"/>
                <w:szCs w:val="20"/>
              </w:rPr>
            </w:pPr>
          </w:p>
        </w:tc>
        <w:tc>
          <w:tcPr>
            <w:tcW w:w="491" w:type="pct"/>
            <w:noWrap/>
            <w:vAlign w:val="bottom"/>
          </w:tcPr>
          <w:p w14:paraId="4B6E6969">
            <w:pPr>
              <w:pStyle w:val="72"/>
              <w:rPr>
                <w:rFonts w:hint="eastAsia" w:ascii="仿宋" w:hAnsi="仿宋"/>
                <w:sz w:val="20"/>
                <w:szCs w:val="20"/>
              </w:rPr>
            </w:pPr>
          </w:p>
        </w:tc>
        <w:tc>
          <w:tcPr>
            <w:tcW w:w="582" w:type="pct"/>
            <w:noWrap/>
            <w:vAlign w:val="bottom"/>
          </w:tcPr>
          <w:p w14:paraId="65CEBB95">
            <w:pPr>
              <w:pStyle w:val="72"/>
              <w:rPr>
                <w:rFonts w:hint="eastAsia" w:ascii="仿宋" w:hAnsi="仿宋"/>
                <w:sz w:val="20"/>
                <w:szCs w:val="20"/>
              </w:rPr>
            </w:pPr>
          </w:p>
        </w:tc>
        <w:tc>
          <w:tcPr>
            <w:tcW w:w="423" w:type="pct"/>
            <w:noWrap/>
            <w:vAlign w:val="bottom"/>
          </w:tcPr>
          <w:p w14:paraId="46FF262F">
            <w:pPr>
              <w:pStyle w:val="72"/>
              <w:rPr>
                <w:rFonts w:hint="eastAsia" w:ascii="仿宋" w:hAnsi="仿宋"/>
                <w:sz w:val="20"/>
                <w:szCs w:val="20"/>
              </w:rPr>
            </w:pPr>
          </w:p>
        </w:tc>
        <w:tc>
          <w:tcPr>
            <w:tcW w:w="562" w:type="pct"/>
            <w:vAlign w:val="bottom"/>
          </w:tcPr>
          <w:p w14:paraId="4568B7DC">
            <w:pPr>
              <w:pStyle w:val="72"/>
              <w:rPr>
                <w:rFonts w:hint="eastAsia" w:ascii="仿宋" w:hAnsi="仿宋"/>
                <w:sz w:val="20"/>
                <w:szCs w:val="20"/>
              </w:rPr>
            </w:pPr>
            <w:r>
              <w:rPr>
                <w:rFonts w:hint="eastAsia" w:ascii="仿宋" w:hAnsi="仿宋"/>
                <w:sz w:val="20"/>
                <w:szCs w:val="20"/>
              </w:rPr>
              <w:t>200</w:t>
            </w:r>
          </w:p>
        </w:tc>
      </w:tr>
      <w:tr w14:paraId="45DE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vAlign w:val="center"/>
          </w:tcPr>
          <w:p w14:paraId="329ABEFD">
            <w:pPr>
              <w:pStyle w:val="72"/>
              <w:rPr>
                <w:rFonts w:hint="eastAsia" w:ascii="仿宋" w:hAnsi="仿宋"/>
                <w:b/>
                <w:bCs w:val="0"/>
                <w:color w:val="000000"/>
                <w:sz w:val="20"/>
                <w:szCs w:val="20"/>
              </w:rPr>
            </w:pPr>
            <w:r>
              <w:rPr>
                <w:rFonts w:hint="eastAsia" w:ascii="仿宋" w:hAnsi="仿宋"/>
                <w:b/>
                <w:bCs w:val="0"/>
                <w:color w:val="000000"/>
                <w:sz w:val="20"/>
                <w:szCs w:val="20"/>
              </w:rPr>
              <w:t>四</w:t>
            </w:r>
          </w:p>
        </w:tc>
        <w:tc>
          <w:tcPr>
            <w:tcW w:w="389" w:type="pct"/>
            <w:vAlign w:val="center"/>
          </w:tcPr>
          <w:p w14:paraId="759DCEB1">
            <w:pPr>
              <w:pStyle w:val="72"/>
              <w:rPr>
                <w:rFonts w:hint="eastAsia" w:ascii="仿宋" w:hAnsi="仿宋"/>
                <w:b/>
                <w:bCs w:val="0"/>
                <w:color w:val="000000"/>
                <w:sz w:val="20"/>
                <w:szCs w:val="20"/>
              </w:rPr>
            </w:pPr>
          </w:p>
        </w:tc>
        <w:tc>
          <w:tcPr>
            <w:tcW w:w="980" w:type="pct"/>
            <w:vAlign w:val="bottom"/>
          </w:tcPr>
          <w:p w14:paraId="420F53E3">
            <w:pPr>
              <w:pStyle w:val="72"/>
              <w:rPr>
                <w:rFonts w:hint="eastAsia" w:ascii="仿宋" w:hAnsi="仿宋"/>
                <w:b/>
                <w:bCs w:val="0"/>
                <w:sz w:val="20"/>
                <w:szCs w:val="20"/>
              </w:rPr>
            </w:pPr>
            <w:r>
              <w:rPr>
                <w:rFonts w:hint="eastAsia" w:ascii="仿宋" w:hAnsi="仿宋"/>
                <w:b/>
                <w:bCs w:val="0"/>
                <w:sz w:val="20"/>
                <w:szCs w:val="20"/>
              </w:rPr>
              <w:t>管护工程</w:t>
            </w:r>
          </w:p>
        </w:tc>
        <w:tc>
          <w:tcPr>
            <w:tcW w:w="312" w:type="pct"/>
            <w:vAlign w:val="center"/>
          </w:tcPr>
          <w:p w14:paraId="61120168">
            <w:pPr>
              <w:pStyle w:val="72"/>
              <w:rPr>
                <w:rFonts w:hint="eastAsia" w:ascii="仿宋" w:hAnsi="仿宋"/>
                <w:color w:val="000000"/>
                <w:sz w:val="20"/>
                <w:szCs w:val="20"/>
              </w:rPr>
            </w:pPr>
          </w:p>
        </w:tc>
        <w:tc>
          <w:tcPr>
            <w:tcW w:w="490" w:type="pct"/>
            <w:noWrap/>
            <w:vAlign w:val="bottom"/>
          </w:tcPr>
          <w:p w14:paraId="0ACCD9BC">
            <w:pPr>
              <w:pStyle w:val="72"/>
              <w:rPr>
                <w:rFonts w:hint="eastAsia" w:ascii="仿宋" w:hAnsi="仿宋"/>
                <w:sz w:val="20"/>
                <w:szCs w:val="20"/>
              </w:rPr>
            </w:pPr>
          </w:p>
        </w:tc>
        <w:tc>
          <w:tcPr>
            <w:tcW w:w="490" w:type="pct"/>
            <w:noWrap/>
            <w:vAlign w:val="bottom"/>
          </w:tcPr>
          <w:p w14:paraId="6FC9CACD">
            <w:pPr>
              <w:pStyle w:val="72"/>
              <w:rPr>
                <w:rFonts w:hint="eastAsia" w:ascii="仿宋" w:hAnsi="仿宋"/>
                <w:sz w:val="20"/>
                <w:szCs w:val="20"/>
              </w:rPr>
            </w:pPr>
          </w:p>
        </w:tc>
        <w:tc>
          <w:tcPr>
            <w:tcW w:w="491" w:type="pct"/>
            <w:noWrap/>
            <w:vAlign w:val="bottom"/>
          </w:tcPr>
          <w:p w14:paraId="2B75FB95">
            <w:pPr>
              <w:pStyle w:val="72"/>
              <w:rPr>
                <w:rFonts w:hint="eastAsia" w:ascii="仿宋" w:hAnsi="仿宋"/>
                <w:sz w:val="20"/>
                <w:szCs w:val="20"/>
              </w:rPr>
            </w:pPr>
          </w:p>
        </w:tc>
        <w:tc>
          <w:tcPr>
            <w:tcW w:w="582" w:type="pct"/>
            <w:noWrap/>
            <w:vAlign w:val="bottom"/>
          </w:tcPr>
          <w:p w14:paraId="68414630">
            <w:pPr>
              <w:pStyle w:val="72"/>
              <w:rPr>
                <w:rFonts w:hint="eastAsia" w:ascii="仿宋" w:hAnsi="仿宋"/>
                <w:sz w:val="20"/>
                <w:szCs w:val="20"/>
              </w:rPr>
            </w:pPr>
          </w:p>
        </w:tc>
        <w:tc>
          <w:tcPr>
            <w:tcW w:w="423" w:type="pct"/>
            <w:noWrap/>
            <w:vAlign w:val="bottom"/>
          </w:tcPr>
          <w:p w14:paraId="2B2E8F15">
            <w:pPr>
              <w:pStyle w:val="72"/>
              <w:rPr>
                <w:rFonts w:hint="eastAsia" w:ascii="仿宋" w:hAnsi="仿宋"/>
                <w:sz w:val="20"/>
                <w:szCs w:val="20"/>
              </w:rPr>
            </w:pPr>
          </w:p>
        </w:tc>
        <w:tc>
          <w:tcPr>
            <w:tcW w:w="562" w:type="pct"/>
            <w:vAlign w:val="bottom"/>
          </w:tcPr>
          <w:p w14:paraId="3433E4D5">
            <w:pPr>
              <w:pStyle w:val="72"/>
              <w:rPr>
                <w:rFonts w:hint="eastAsia" w:ascii="仿宋" w:hAnsi="仿宋"/>
                <w:sz w:val="20"/>
                <w:szCs w:val="20"/>
              </w:rPr>
            </w:pPr>
          </w:p>
        </w:tc>
      </w:tr>
      <w:tr w14:paraId="3650D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77" w:type="pct"/>
            <w:vAlign w:val="center"/>
          </w:tcPr>
          <w:p w14:paraId="2114D06D">
            <w:pPr>
              <w:pStyle w:val="72"/>
              <w:rPr>
                <w:rFonts w:hint="eastAsia" w:ascii="仿宋" w:hAnsi="仿宋"/>
                <w:color w:val="000000"/>
                <w:sz w:val="20"/>
                <w:szCs w:val="20"/>
              </w:rPr>
            </w:pPr>
            <w:r>
              <w:rPr>
                <w:rFonts w:hint="eastAsia" w:ascii="仿宋" w:hAnsi="仿宋"/>
                <w:color w:val="000000"/>
                <w:sz w:val="20"/>
                <w:szCs w:val="20"/>
              </w:rPr>
              <w:t>18</w:t>
            </w:r>
          </w:p>
        </w:tc>
        <w:tc>
          <w:tcPr>
            <w:tcW w:w="389" w:type="pct"/>
            <w:vAlign w:val="center"/>
          </w:tcPr>
          <w:p w14:paraId="368C9AA6">
            <w:pPr>
              <w:pStyle w:val="72"/>
              <w:rPr>
                <w:rFonts w:hint="eastAsia" w:ascii="仿宋" w:hAnsi="仿宋"/>
                <w:color w:val="000000"/>
                <w:sz w:val="20"/>
                <w:szCs w:val="20"/>
              </w:rPr>
            </w:pPr>
            <w:r>
              <w:rPr>
                <w:rFonts w:hint="eastAsia" w:ascii="仿宋" w:hAnsi="仿宋"/>
                <w:color w:val="000000"/>
                <w:sz w:val="20"/>
                <w:szCs w:val="20"/>
              </w:rPr>
              <w:t>市价8</w:t>
            </w:r>
          </w:p>
        </w:tc>
        <w:tc>
          <w:tcPr>
            <w:tcW w:w="980" w:type="pct"/>
            <w:vAlign w:val="bottom"/>
          </w:tcPr>
          <w:p w14:paraId="4B159CDC">
            <w:pPr>
              <w:pStyle w:val="72"/>
              <w:rPr>
                <w:rFonts w:hint="eastAsia" w:ascii="仿宋" w:hAnsi="仿宋"/>
                <w:sz w:val="20"/>
                <w:szCs w:val="20"/>
              </w:rPr>
            </w:pPr>
            <w:r>
              <w:rPr>
                <w:rFonts w:hint="eastAsia" w:ascii="仿宋" w:hAnsi="仿宋"/>
                <w:sz w:val="20"/>
                <w:szCs w:val="20"/>
              </w:rPr>
              <w:t>林地管护</w:t>
            </w:r>
          </w:p>
        </w:tc>
        <w:tc>
          <w:tcPr>
            <w:tcW w:w="312" w:type="pct"/>
            <w:vAlign w:val="center"/>
          </w:tcPr>
          <w:p w14:paraId="172F7380">
            <w:pPr>
              <w:pStyle w:val="72"/>
              <w:rPr>
                <w:rFonts w:hint="eastAsia" w:ascii="仿宋" w:hAnsi="仿宋"/>
                <w:color w:val="000000"/>
                <w:sz w:val="20"/>
                <w:szCs w:val="20"/>
              </w:rPr>
            </w:pPr>
            <w:r>
              <w:rPr>
                <w:rFonts w:hint="eastAsia" w:ascii="仿宋" w:hAnsi="仿宋"/>
                <w:color w:val="000000"/>
                <w:sz w:val="20"/>
                <w:szCs w:val="20"/>
              </w:rPr>
              <w:t>hm</w:t>
            </w:r>
            <w:r>
              <w:rPr>
                <w:rFonts w:hint="eastAsia" w:ascii="仿宋" w:hAnsi="仿宋"/>
                <w:color w:val="000000"/>
                <w:sz w:val="20"/>
                <w:szCs w:val="20"/>
                <w:vertAlign w:val="superscript"/>
              </w:rPr>
              <w:t>2</w:t>
            </w:r>
          </w:p>
        </w:tc>
        <w:tc>
          <w:tcPr>
            <w:tcW w:w="490" w:type="pct"/>
            <w:noWrap/>
            <w:vAlign w:val="bottom"/>
          </w:tcPr>
          <w:p w14:paraId="126EA53C">
            <w:pPr>
              <w:pStyle w:val="72"/>
              <w:rPr>
                <w:rFonts w:hint="eastAsia" w:ascii="仿宋" w:hAnsi="仿宋"/>
                <w:sz w:val="20"/>
                <w:szCs w:val="20"/>
              </w:rPr>
            </w:pPr>
          </w:p>
        </w:tc>
        <w:tc>
          <w:tcPr>
            <w:tcW w:w="490" w:type="pct"/>
            <w:noWrap/>
            <w:vAlign w:val="bottom"/>
          </w:tcPr>
          <w:p w14:paraId="39C596F6">
            <w:pPr>
              <w:pStyle w:val="72"/>
              <w:rPr>
                <w:rFonts w:hint="eastAsia" w:ascii="仿宋" w:hAnsi="仿宋"/>
                <w:sz w:val="20"/>
                <w:szCs w:val="20"/>
              </w:rPr>
            </w:pPr>
          </w:p>
        </w:tc>
        <w:tc>
          <w:tcPr>
            <w:tcW w:w="491" w:type="pct"/>
            <w:noWrap/>
            <w:vAlign w:val="bottom"/>
          </w:tcPr>
          <w:p w14:paraId="6C3D1CA1">
            <w:pPr>
              <w:pStyle w:val="72"/>
              <w:rPr>
                <w:rFonts w:hint="eastAsia" w:ascii="仿宋" w:hAnsi="仿宋"/>
                <w:sz w:val="20"/>
                <w:szCs w:val="20"/>
              </w:rPr>
            </w:pPr>
          </w:p>
        </w:tc>
        <w:tc>
          <w:tcPr>
            <w:tcW w:w="582" w:type="pct"/>
            <w:noWrap/>
            <w:vAlign w:val="bottom"/>
          </w:tcPr>
          <w:p w14:paraId="7F802E57">
            <w:pPr>
              <w:pStyle w:val="72"/>
              <w:rPr>
                <w:rFonts w:hint="eastAsia" w:ascii="仿宋" w:hAnsi="仿宋"/>
                <w:sz w:val="20"/>
                <w:szCs w:val="20"/>
              </w:rPr>
            </w:pPr>
          </w:p>
        </w:tc>
        <w:tc>
          <w:tcPr>
            <w:tcW w:w="423" w:type="pct"/>
            <w:noWrap/>
            <w:vAlign w:val="bottom"/>
          </w:tcPr>
          <w:p w14:paraId="737EC87F">
            <w:pPr>
              <w:pStyle w:val="72"/>
              <w:rPr>
                <w:rFonts w:hint="eastAsia" w:ascii="仿宋" w:hAnsi="仿宋"/>
                <w:sz w:val="20"/>
                <w:szCs w:val="20"/>
              </w:rPr>
            </w:pPr>
          </w:p>
        </w:tc>
        <w:tc>
          <w:tcPr>
            <w:tcW w:w="562" w:type="pct"/>
            <w:vAlign w:val="bottom"/>
          </w:tcPr>
          <w:p w14:paraId="61DEAAF1">
            <w:pPr>
              <w:pStyle w:val="72"/>
              <w:rPr>
                <w:rFonts w:hint="eastAsia" w:ascii="仿宋" w:hAnsi="仿宋"/>
                <w:sz w:val="20"/>
                <w:szCs w:val="20"/>
              </w:rPr>
            </w:pPr>
            <w:r>
              <w:rPr>
                <w:rFonts w:hint="eastAsia" w:ascii="仿宋" w:hAnsi="仿宋"/>
                <w:sz w:val="20"/>
                <w:szCs w:val="20"/>
              </w:rPr>
              <w:t>4000</w:t>
            </w:r>
          </w:p>
        </w:tc>
      </w:tr>
    </w:tbl>
    <w:p w14:paraId="38FED43A">
      <w:pPr>
        <w:spacing w:line="240" w:lineRule="auto"/>
        <w:ind w:firstLine="0" w:firstLineChars="0"/>
        <w:jc w:val="center"/>
        <w:rPr>
          <w:b/>
          <w:sz w:val="21"/>
          <w:szCs w:val="21"/>
        </w:rPr>
      </w:pPr>
    </w:p>
    <w:p w14:paraId="4A70846E">
      <w:pPr>
        <w:spacing w:line="240" w:lineRule="auto"/>
        <w:ind w:firstLine="0" w:firstLineChars="0"/>
        <w:jc w:val="center"/>
        <w:rPr>
          <w:b/>
          <w:sz w:val="21"/>
          <w:szCs w:val="21"/>
        </w:rPr>
      </w:pPr>
    </w:p>
    <w:p w14:paraId="599549F3">
      <w:pPr>
        <w:spacing w:line="240" w:lineRule="auto"/>
        <w:ind w:firstLine="0" w:firstLineChars="0"/>
        <w:jc w:val="center"/>
        <w:rPr>
          <w:b/>
          <w:sz w:val="21"/>
          <w:szCs w:val="21"/>
        </w:rPr>
        <w:sectPr>
          <w:pgSz w:w="16838" w:h="11906" w:orient="landscape"/>
          <w:pgMar w:top="1134" w:right="1134" w:bottom="1134" w:left="1418" w:header="851" w:footer="992" w:gutter="0"/>
          <w:pgNumType w:fmt="decimal"/>
          <w:cols w:space="720" w:num="1"/>
          <w:docGrid w:type="linesAndChars" w:linePitch="312" w:charSpace="0"/>
        </w:sectPr>
      </w:pPr>
    </w:p>
    <w:p w14:paraId="4F42CEE3">
      <w:pPr>
        <w:pStyle w:val="57"/>
        <w:rPr>
          <w:rFonts w:ascii="Times New Roman" w:hAnsi="Times New Roman"/>
        </w:rPr>
      </w:pPr>
      <w:r>
        <w:rPr>
          <w:rFonts w:ascii="Times New Roman" w:hAnsi="Times New Roman"/>
        </w:rPr>
        <w:t>表6-11-1甲类工人工预算单价计算表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168"/>
        <w:gridCol w:w="4803"/>
        <w:gridCol w:w="1396"/>
      </w:tblGrid>
      <w:tr w14:paraId="6108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107AB9D">
            <w:pPr>
              <w:pStyle w:val="72"/>
              <w:rPr>
                <w:rFonts w:ascii="Times New Roman" w:hAnsi="Times New Roman"/>
              </w:rPr>
            </w:pPr>
            <w:r>
              <w:rPr>
                <w:rFonts w:ascii="Times New Roman" w:hAnsi="Times New Roman"/>
              </w:rPr>
              <w:t>地区类别</w:t>
            </w:r>
          </w:p>
        </w:tc>
        <w:tc>
          <w:tcPr>
            <w:tcW w:w="1132" w:type="pct"/>
            <w:shd w:val="clear" w:color="000000" w:fill="FFFFFF"/>
            <w:vAlign w:val="center"/>
          </w:tcPr>
          <w:p w14:paraId="2E4F7503">
            <w:pPr>
              <w:pStyle w:val="72"/>
              <w:rPr>
                <w:rFonts w:ascii="Times New Roman" w:hAnsi="Times New Roman"/>
              </w:rPr>
            </w:pPr>
            <w:r>
              <w:rPr>
                <w:rFonts w:ascii="Times New Roman" w:hAnsi="Times New Roman"/>
              </w:rPr>
              <w:t>六类工资区</w:t>
            </w:r>
          </w:p>
        </w:tc>
        <w:tc>
          <w:tcPr>
            <w:tcW w:w="2508" w:type="pct"/>
            <w:shd w:val="clear" w:color="000000" w:fill="FFFFFF"/>
            <w:vAlign w:val="center"/>
          </w:tcPr>
          <w:p w14:paraId="3948B8CD">
            <w:pPr>
              <w:pStyle w:val="72"/>
              <w:rPr>
                <w:rFonts w:ascii="Times New Roman" w:hAnsi="Times New Roman"/>
              </w:rPr>
            </w:pPr>
            <w:r>
              <w:rPr>
                <w:rFonts w:ascii="Times New Roman" w:hAnsi="Times New Roman"/>
              </w:rPr>
              <w:t>定额人工等级</w:t>
            </w:r>
          </w:p>
        </w:tc>
        <w:tc>
          <w:tcPr>
            <w:tcW w:w="729" w:type="pct"/>
            <w:shd w:val="clear" w:color="000000" w:fill="FFFFFF"/>
            <w:vAlign w:val="center"/>
          </w:tcPr>
          <w:p w14:paraId="35E6599B">
            <w:pPr>
              <w:pStyle w:val="72"/>
              <w:rPr>
                <w:rFonts w:ascii="Times New Roman" w:hAnsi="Times New Roman"/>
              </w:rPr>
            </w:pPr>
            <w:r>
              <w:rPr>
                <w:rFonts w:ascii="Times New Roman" w:hAnsi="Times New Roman"/>
              </w:rPr>
              <w:t>甲类工</w:t>
            </w:r>
          </w:p>
        </w:tc>
      </w:tr>
      <w:tr w14:paraId="6A31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694D812">
            <w:pPr>
              <w:pStyle w:val="72"/>
              <w:rPr>
                <w:rFonts w:ascii="Times New Roman" w:hAnsi="Times New Roman"/>
              </w:rPr>
            </w:pPr>
            <w:r>
              <w:rPr>
                <w:rFonts w:ascii="Times New Roman" w:hAnsi="Times New Roman"/>
              </w:rPr>
              <w:t>编号</w:t>
            </w:r>
          </w:p>
        </w:tc>
        <w:tc>
          <w:tcPr>
            <w:tcW w:w="1132" w:type="pct"/>
            <w:shd w:val="clear" w:color="000000" w:fill="FFFFFF"/>
            <w:vAlign w:val="center"/>
          </w:tcPr>
          <w:p w14:paraId="6731F1F2">
            <w:pPr>
              <w:pStyle w:val="72"/>
              <w:rPr>
                <w:rFonts w:ascii="Times New Roman" w:hAnsi="Times New Roman"/>
              </w:rPr>
            </w:pPr>
            <w:r>
              <w:rPr>
                <w:rFonts w:ascii="Times New Roman" w:hAnsi="Times New Roman"/>
              </w:rPr>
              <w:t>名称</w:t>
            </w:r>
          </w:p>
        </w:tc>
        <w:tc>
          <w:tcPr>
            <w:tcW w:w="2508" w:type="pct"/>
            <w:shd w:val="clear" w:color="000000" w:fill="FFFFFF"/>
            <w:vAlign w:val="center"/>
          </w:tcPr>
          <w:p w14:paraId="021BAEBA">
            <w:pPr>
              <w:pStyle w:val="72"/>
              <w:rPr>
                <w:rFonts w:ascii="Times New Roman" w:hAnsi="Times New Roman"/>
              </w:rPr>
            </w:pPr>
            <w:r>
              <w:rPr>
                <w:rFonts w:ascii="Times New Roman" w:hAnsi="Times New Roman"/>
              </w:rPr>
              <w:t>计算式</w:t>
            </w:r>
          </w:p>
        </w:tc>
        <w:tc>
          <w:tcPr>
            <w:tcW w:w="729" w:type="pct"/>
            <w:shd w:val="clear" w:color="000000" w:fill="FFFFFF"/>
            <w:vAlign w:val="center"/>
          </w:tcPr>
          <w:p w14:paraId="7B0AD8ED">
            <w:pPr>
              <w:pStyle w:val="72"/>
              <w:rPr>
                <w:rFonts w:ascii="Times New Roman" w:hAnsi="Times New Roman"/>
              </w:rPr>
            </w:pPr>
            <w:r>
              <w:rPr>
                <w:rFonts w:ascii="Times New Roman" w:hAnsi="Times New Roman"/>
              </w:rPr>
              <w:t>单价（元）</w:t>
            </w:r>
          </w:p>
        </w:tc>
      </w:tr>
      <w:tr w14:paraId="5D28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5FE0B31">
            <w:pPr>
              <w:pStyle w:val="72"/>
              <w:rPr>
                <w:rFonts w:ascii="Times New Roman" w:hAnsi="Times New Roman"/>
              </w:rPr>
            </w:pPr>
            <w:r>
              <w:rPr>
                <w:rFonts w:ascii="Times New Roman" w:hAnsi="Times New Roman"/>
              </w:rPr>
              <w:t>1</w:t>
            </w:r>
          </w:p>
        </w:tc>
        <w:tc>
          <w:tcPr>
            <w:tcW w:w="1132" w:type="pct"/>
            <w:shd w:val="clear" w:color="000000" w:fill="FFFFFF"/>
            <w:vAlign w:val="center"/>
          </w:tcPr>
          <w:p w14:paraId="2E004BFD">
            <w:pPr>
              <w:pStyle w:val="72"/>
              <w:rPr>
                <w:rFonts w:ascii="Times New Roman" w:hAnsi="Times New Roman"/>
              </w:rPr>
            </w:pPr>
            <w:r>
              <w:rPr>
                <w:rFonts w:ascii="Times New Roman" w:hAnsi="Times New Roman"/>
              </w:rPr>
              <w:t>基本工资</w:t>
            </w:r>
          </w:p>
        </w:tc>
        <w:tc>
          <w:tcPr>
            <w:tcW w:w="2508" w:type="pct"/>
            <w:shd w:val="clear" w:color="000000" w:fill="FFFFFF"/>
            <w:vAlign w:val="center"/>
          </w:tcPr>
          <w:p w14:paraId="5C70060B">
            <w:pPr>
              <w:pStyle w:val="72"/>
              <w:rPr>
                <w:rFonts w:ascii="Times New Roman" w:hAnsi="Times New Roman"/>
              </w:rPr>
            </w:pPr>
            <w:r>
              <w:rPr>
                <w:rFonts w:ascii="Times New Roman" w:hAnsi="Times New Roman"/>
              </w:rPr>
              <w:t>540×1.00×12/(250-10)</w:t>
            </w:r>
          </w:p>
        </w:tc>
        <w:tc>
          <w:tcPr>
            <w:tcW w:w="729" w:type="pct"/>
            <w:shd w:val="clear" w:color="000000" w:fill="FFFFFF"/>
            <w:vAlign w:val="center"/>
          </w:tcPr>
          <w:p w14:paraId="50A4CBBB">
            <w:pPr>
              <w:pStyle w:val="72"/>
              <w:rPr>
                <w:rFonts w:ascii="Times New Roman" w:hAnsi="Times New Roman"/>
              </w:rPr>
            </w:pPr>
            <w:r>
              <w:rPr>
                <w:rFonts w:ascii="Times New Roman" w:hAnsi="Times New Roman"/>
              </w:rPr>
              <w:t>27.000</w:t>
            </w:r>
          </w:p>
        </w:tc>
      </w:tr>
      <w:tr w14:paraId="74F1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BE11245">
            <w:pPr>
              <w:pStyle w:val="72"/>
              <w:rPr>
                <w:rFonts w:ascii="Times New Roman" w:hAnsi="Times New Roman"/>
              </w:rPr>
            </w:pPr>
            <w:r>
              <w:rPr>
                <w:rFonts w:ascii="Times New Roman" w:hAnsi="Times New Roman"/>
              </w:rPr>
              <w:t>2</w:t>
            </w:r>
          </w:p>
        </w:tc>
        <w:tc>
          <w:tcPr>
            <w:tcW w:w="1132" w:type="pct"/>
            <w:shd w:val="clear" w:color="000000" w:fill="FFFFFF"/>
            <w:vAlign w:val="center"/>
          </w:tcPr>
          <w:p w14:paraId="0486D1B0">
            <w:pPr>
              <w:pStyle w:val="72"/>
              <w:rPr>
                <w:rFonts w:ascii="Times New Roman" w:hAnsi="Times New Roman"/>
              </w:rPr>
            </w:pPr>
            <w:r>
              <w:rPr>
                <w:rFonts w:ascii="Times New Roman" w:hAnsi="Times New Roman"/>
              </w:rPr>
              <w:t>辅助工资</w:t>
            </w:r>
          </w:p>
        </w:tc>
        <w:tc>
          <w:tcPr>
            <w:tcW w:w="2508" w:type="pct"/>
            <w:shd w:val="clear" w:color="000000" w:fill="FFFFFF"/>
            <w:vAlign w:val="center"/>
          </w:tcPr>
          <w:p w14:paraId="432700B7">
            <w:pPr>
              <w:pStyle w:val="72"/>
              <w:rPr>
                <w:rFonts w:ascii="Times New Roman" w:hAnsi="Times New Roman"/>
              </w:rPr>
            </w:pPr>
            <w:r>
              <w:rPr>
                <w:rFonts w:ascii="Times New Roman" w:hAnsi="Times New Roman"/>
              </w:rPr>
              <w:t>0+5.057+0.8+0.832</w:t>
            </w:r>
          </w:p>
        </w:tc>
        <w:tc>
          <w:tcPr>
            <w:tcW w:w="729" w:type="pct"/>
            <w:shd w:val="clear" w:color="000000" w:fill="FFFFFF"/>
            <w:vAlign w:val="center"/>
          </w:tcPr>
          <w:p w14:paraId="4A5333A9">
            <w:pPr>
              <w:pStyle w:val="72"/>
              <w:rPr>
                <w:rFonts w:ascii="Times New Roman" w:hAnsi="Times New Roman"/>
              </w:rPr>
            </w:pPr>
            <w:r>
              <w:rPr>
                <w:rFonts w:ascii="Times New Roman" w:hAnsi="Times New Roman"/>
              </w:rPr>
              <w:t>6.689</w:t>
            </w:r>
          </w:p>
        </w:tc>
      </w:tr>
      <w:tr w14:paraId="2ECB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AD24E7A">
            <w:pPr>
              <w:pStyle w:val="72"/>
              <w:rPr>
                <w:rFonts w:ascii="Times New Roman" w:hAnsi="Times New Roman"/>
              </w:rPr>
            </w:pPr>
            <w:r>
              <w:rPr>
                <w:rFonts w:ascii="Times New Roman" w:hAnsi="Times New Roman"/>
              </w:rPr>
              <w:t>(1)</w:t>
            </w:r>
          </w:p>
        </w:tc>
        <w:tc>
          <w:tcPr>
            <w:tcW w:w="1132" w:type="pct"/>
            <w:shd w:val="clear" w:color="000000" w:fill="FFFFFF"/>
            <w:vAlign w:val="center"/>
          </w:tcPr>
          <w:p w14:paraId="7119A8B6">
            <w:pPr>
              <w:pStyle w:val="72"/>
              <w:rPr>
                <w:rFonts w:ascii="Times New Roman" w:hAnsi="Times New Roman"/>
              </w:rPr>
            </w:pPr>
            <w:r>
              <w:rPr>
                <w:rFonts w:ascii="Times New Roman" w:hAnsi="Times New Roman"/>
              </w:rPr>
              <w:t>地区津贴</w:t>
            </w:r>
          </w:p>
        </w:tc>
        <w:tc>
          <w:tcPr>
            <w:tcW w:w="2508" w:type="pct"/>
            <w:shd w:val="clear" w:color="000000" w:fill="FFFFFF"/>
            <w:vAlign w:val="center"/>
          </w:tcPr>
          <w:p w14:paraId="006A3AD8">
            <w:pPr>
              <w:pStyle w:val="72"/>
              <w:rPr>
                <w:rFonts w:ascii="Times New Roman" w:hAnsi="Times New Roman"/>
              </w:rPr>
            </w:pPr>
          </w:p>
        </w:tc>
        <w:tc>
          <w:tcPr>
            <w:tcW w:w="729" w:type="pct"/>
            <w:shd w:val="clear" w:color="000000" w:fill="FFFFFF"/>
            <w:vAlign w:val="center"/>
          </w:tcPr>
          <w:p w14:paraId="0660132A">
            <w:pPr>
              <w:pStyle w:val="72"/>
              <w:rPr>
                <w:rFonts w:ascii="Times New Roman" w:hAnsi="Times New Roman"/>
              </w:rPr>
            </w:pPr>
          </w:p>
        </w:tc>
      </w:tr>
      <w:tr w14:paraId="1442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FCBD3DE">
            <w:pPr>
              <w:pStyle w:val="72"/>
              <w:rPr>
                <w:rFonts w:ascii="Times New Roman" w:hAnsi="Times New Roman"/>
              </w:rPr>
            </w:pPr>
            <w:r>
              <w:rPr>
                <w:rFonts w:ascii="Times New Roman" w:hAnsi="Times New Roman"/>
              </w:rPr>
              <w:t>(2)</w:t>
            </w:r>
          </w:p>
        </w:tc>
        <w:tc>
          <w:tcPr>
            <w:tcW w:w="1132" w:type="pct"/>
            <w:shd w:val="clear" w:color="000000" w:fill="FFFFFF"/>
            <w:vAlign w:val="center"/>
          </w:tcPr>
          <w:p w14:paraId="298BE00D">
            <w:pPr>
              <w:pStyle w:val="72"/>
              <w:rPr>
                <w:rFonts w:ascii="Times New Roman" w:hAnsi="Times New Roman"/>
              </w:rPr>
            </w:pPr>
            <w:r>
              <w:rPr>
                <w:rFonts w:ascii="Times New Roman" w:hAnsi="Times New Roman"/>
              </w:rPr>
              <w:t>施工津贴</w:t>
            </w:r>
          </w:p>
        </w:tc>
        <w:tc>
          <w:tcPr>
            <w:tcW w:w="2508" w:type="pct"/>
            <w:shd w:val="clear" w:color="000000" w:fill="FFFFFF"/>
            <w:vAlign w:val="center"/>
          </w:tcPr>
          <w:p w14:paraId="761F2032">
            <w:pPr>
              <w:pStyle w:val="72"/>
              <w:rPr>
                <w:rFonts w:ascii="Times New Roman" w:hAnsi="Times New Roman"/>
              </w:rPr>
            </w:pPr>
            <w:r>
              <w:rPr>
                <w:rFonts w:ascii="Times New Roman" w:hAnsi="Times New Roman"/>
              </w:rPr>
              <w:t>3.5×365×0.95/(250-10)</w:t>
            </w:r>
          </w:p>
        </w:tc>
        <w:tc>
          <w:tcPr>
            <w:tcW w:w="729" w:type="pct"/>
            <w:shd w:val="clear" w:color="000000" w:fill="FFFFFF"/>
            <w:vAlign w:val="center"/>
          </w:tcPr>
          <w:p w14:paraId="23231753">
            <w:pPr>
              <w:pStyle w:val="72"/>
              <w:rPr>
                <w:rFonts w:ascii="Times New Roman" w:hAnsi="Times New Roman"/>
              </w:rPr>
            </w:pPr>
            <w:r>
              <w:rPr>
                <w:rFonts w:ascii="Times New Roman" w:hAnsi="Times New Roman"/>
              </w:rPr>
              <w:t>5.057</w:t>
            </w:r>
          </w:p>
        </w:tc>
      </w:tr>
      <w:tr w14:paraId="688B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A1CC8D3">
            <w:pPr>
              <w:pStyle w:val="72"/>
              <w:rPr>
                <w:rFonts w:ascii="Times New Roman" w:hAnsi="Times New Roman"/>
              </w:rPr>
            </w:pPr>
            <w:r>
              <w:rPr>
                <w:rFonts w:ascii="Times New Roman" w:hAnsi="Times New Roman"/>
              </w:rPr>
              <w:t>(3)</w:t>
            </w:r>
          </w:p>
        </w:tc>
        <w:tc>
          <w:tcPr>
            <w:tcW w:w="1132" w:type="pct"/>
            <w:shd w:val="clear" w:color="000000" w:fill="FFFFFF"/>
            <w:vAlign w:val="center"/>
          </w:tcPr>
          <w:p w14:paraId="1D513A45">
            <w:pPr>
              <w:pStyle w:val="72"/>
              <w:rPr>
                <w:rFonts w:ascii="Times New Roman" w:hAnsi="Times New Roman"/>
              </w:rPr>
            </w:pPr>
            <w:r>
              <w:rPr>
                <w:rFonts w:ascii="Times New Roman" w:hAnsi="Times New Roman"/>
              </w:rPr>
              <w:t>夜餐津贴</w:t>
            </w:r>
          </w:p>
        </w:tc>
        <w:tc>
          <w:tcPr>
            <w:tcW w:w="2508" w:type="pct"/>
            <w:shd w:val="clear" w:color="000000" w:fill="FFFFFF"/>
            <w:vAlign w:val="center"/>
          </w:tcPr>
          <w:p w14:paraId="503526F5">
            <w:pPr>
              <w:pStyle w:val="72"/>
              <w:rPr>
                <w:rFonts w:ascii="Times New Roman" w:hAnsi="Times New Roman"/>
              </w:rPr>
            </w:pPr>
            <w:r>
              <w:rPr>
                <w:rFonts w:ascii="Times New Roman" w:hAnsi="Times New Roman"/>
              </w:rPr>
              <w:t>(4.5+3.5)/2×0.2</w:t>
            </w:r>
          </w:p>
        </w:tc>
        <w:tc>
          <w:tcPr>
            <w:tcW w:w="729" w:type="pct"/>
            <w:shd w:val="clear" w:color="000000" w:fill="FFFFFF"/>
            <w:vAlign w:val="center"/>
          </w:tcPr>
          <w:p w14:paraId="22246032">
            <w:pPr>
              <w:pStyle w:val="72"/>
              <w:rPr>
                <w:rFonts w:ascii="Times New Roman" w:hAnsi="Times New Roman"/>
              </w:rPr>
            </w:pPr>
            <w:r>
              <w:rPr>
                <w:rFonts w:ascii="Times New Roman" w:hAnsi="Times New Roman"/>
              </w:rPr>
              <w:t>0.800</w:t>
            </w:r>
          </w:p>
        </w:tc>
      </w:tr>
      <w:tr w14:paraId="1C20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A83EE80">
            <w:pPr>
              <w:pStyle w:val="72"/>
              <w:rPr>
                <w:rFonts w:ascii="Times New Roman" w:hAnsi="Times New Roman"/>
              </w:rPr>
            </w:pPr>
            <w:r>
              <w:rPr>
                <w:rFonts w:ascii="Times New Roman" w:hAnsi="Times New Roman"/>
              </w:rPr>
              <w:t>(4)</w:t>
            </w:r>
          </w:p>
        </w:tc>
        <w:tc>
          <w:tcPr>
            <w:tcW w:w="1132" w:type="pct"/>
            <w:shd w:val="clear" w:color="000000" w:fill="FFFFFF"/>
            <w:vAlign w:val="center"/>
          </w:tcPr>
          <w:p w14:paraId="72617977">
            <w:pPr>
              <w:pStyle w:val="72"/>
              <w:rPr>
                <w:rFonts w:ascii="Times New Roman" w:hAnsi="Times New Roman"/>
              </w:rPr>
            </w:pPr>
            <w:r>
              <w:rPr>
                <w:rFonts w:ascii="Times New Roman" w:hAnsi="Times New Roman"/>
              </w:rPr>
              <w:t>节日加班津贴</w:t>
            </w:r>
          </w:p>
        </w:tc>
        <w:tc>
          <w:tcPr>
            <w:tcW w:w="2508" w:type="pct"/>
            <w:shd w:val="clear" w:color="000000" w:fill="FFFFFF"/>
            <w:vAlign w:val="center"/>
          </w:tcPr>
          <w:p w14:paraId="207DC9B0">
            <w:pPr>
              <w:pStyle w:val="72"/>
              <w:rPr>
                <w:rFonts w:ascii="Times New Roman" w:hAnsi="Times New Roman"/>
              </w:rPr>
            </w:pPr>
            <w:r>
              <w:rPr>
                <w:rFonts w:ascii="Times New Roman" w:hAnsi="Times New Roman"/>
              </w:rPr>
              <w:t>27×(3-1)×11/250×0.35</w:t>
            </w:r>
          </w:p>
        </w:tc>
        <w:tc>
          <w:tcPr>
            <w:tcW w:w="729" w:type="pct"/>
            <w:shd w:val="clear" w:color="000000" w:fill="FFFFFF"/>
            <w:vAlign w:val="center"/>
          </w:tcPr>
          <w:p w14:paraId="14AF175E">
            <w:pPr>
              <w:pStyle w:val="72"/>
              <w:rPr>
                <w:rFonts w:ascii="Times New Roman" w:hAnsi="Times New Roman"/>
              </w:rPr>
            </w:pPr>
            <w:r>
              <w:rPr>
                <w:rFonts w:ascii="Times New Roman" w:hAnsi="Times New Roman"/>
              </w:rPr>
              <w:t>0.832</w:t>
            </w:r>
          </w:p>
        </w:tc>
      </w:tr>
      <w:tr w14:paraId="60B4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9912FA2">
            <w:pPr>
              <w:pStyle w:val="72"/>
              <w:rPr>
                <w:rFonts w:ascii="Times New Roman" w:hAnsi="Times New Roman"/>
              </w:rPr>
            </w:pPr>
            <w:r>
              <w:rPr>
                <w:rFonts w:ascii="Times New Roman" w:hAnsi="Times New Roman"/>
              </w:rPr>
              <w:t>3</w:t>
            </w:r>
          </w:p>
        </w:tc>
        <w:tc>
          <w:tcPr>
            <w:tcW w:w="1132" w:type="pct"/>
            <w:shd w:val="clear" w:color="000000" w:fill="FFFFFF"/>
            <w:vAlign w:val="center"/>
          </w:tcPr>
          <w:p w14:paraId="71DD22D4">
            <w:pPr>
              <w:pStyle w:val="72"/>
              <w:rPr>
                <w:rFonts w:ascii="Times New Roman" w:hAnsi="Times New Roman"/>
              </w:rPr>
            </w:pPr>
            <w:r>
              <w:rPr>
                <w:rFonts w:ascii="Times New Roman" w:hAnsi="Times New Roman"/>
              </w:rPr>
              <w:t>工资附加费</w:t>
            </w:r>
          </w:p>
        </w:tc>
        <w:tc>
          <w:tcPr>
            <w:tcW w:w="2508" w:type="pct"/>
            <w:shd w:val="clear" w:color="000000" w:fill="FFFFFF"/>
            <w:vAlign w:val="center"/>
          </w:tcPr>
          <w:p w14:paraId="4B8E1C12">
            <w:pPr>
              <w:pStyle w:val="72"/>
              <w:rPr>
                <w:rFonts w:ascii="Times New Roman" w:hAnsi="Times New Roman"/>
              </w:rPr>
            </w:pPr>
            <w:r>
              <w:rPr>
                <w:rFonts w:ascii="Times New Roman" w:hAnsi="Times New Roman"/>
              </w:rPr>
              <w:t>4.716+0.674+6.738+1.348+0.505+0.674+2.695</w:t>
            </w:r>
          </w:p>
        </w:tc>
        <w:tc>
          <w:tcPr>
            <w:tcW w:w="729" w:type="pct"/>
            <w:shd w:val="clear" w:color="000000" w:fill="FFFFFF"/>
            <w:vAlign w:val="center"/>
          </w:tcPr>
          <w:p w14:paraId="25D7BE86">
            <w:pPr>
              <w:pStyle w:val="72"/>
              <w:rPr>
                <w:rFonts w:ascii="Times New Roman" w:hAnsi="Times New Roman"/>
              </w:rPr>
            </w:pPr>
            <w:r>
              <w:rPr>
                <w:rFonts w:ascii="Times New Roman" w:hAnsi="Times New Roman"/>
              </w:rPr>
              <w:t>17.350</w:t>
            </w:r>
          </w:p>
        </w:tc>
      </w:tr>
      <w:tr w14:paraId="26BD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740D912">
            <w:pPr>
              <w:pStyle w:val="72"/>
              <w:rPr>
                <w:rFonts w:ascii="Times New Roman" w:hAnsi="Times New Roman"/>
              </w:rPr>
            </w:pPr>
            <w:r>
              <w:rPr>
                <w:rFonts w:ascii="Times New Roman" w:hAnsi="Times New Roman"/>
              </w:rPr>
              <w:t>(1)</w:t>
            </w:r>
          </w:p>
        </w:tc>
        <w:tc>
          <w:tcPr>
            <w:tcW w:w="1132" w:type="pct"/>
            <w:shd w:val="clear" w:color="000000" w:fill="FFFFFF"/>
            <w:vAlign w:val="center"/>
          </w:tcPr>
          <w:p w14:paraId="2DD44E1F">
            <w:pPr>
              <w:pStyle w:val="72"/>
              <w:rPr>
                <w:rFonts w:ascii="Times New Roman" w:hAnsi="Times New Roman"/>
              </w:rPr>
            </w:pPr>
            <w:r>
              <w:rPr>
                <w:rFonts w:ascii="Times New Roman" w:hAnsi="Times New Roman"/>
              </w:rPr>
              <w:t>职工福利基金</w:t>
            </w:r>
          </w:p>
        </w:tc>
        <w:tc>
          <w:tcPr>
            <w:tcW w:w="2508" w:type="pct"/>
            <w:shd w:val="clear" w:color="000000" w:fill="FFFFFF"/>
            <w:vAlign w:val="center"/>
          </w:tcPr>
          <w:p w14:paraId="44C5D926">
            <w:pPr>
              <w:pStyle w:val="72"/>
              <w:rPr>
                <w:rFonts w:ascii="Times New Roman" w:hAnsi="Times New Roman"/>
              </w:rPr>
            </w:pPr>
            <w:r>
              <w:rPr>
                <w:rFonts w:ascii="Times New Roman" w:hAnsi="Times New Roman"/>
              </w:rPr>
              <w:t>(27+6.689)×14%</w:t>
            </w:r>
          </w:p>
        </w:tc>
        <w:tc>
          <w:tcPr>
            <w:tcW w:w="729" w:type="pct"/>
            <w:shd w:val="clear" w:color="000000" w:fill="FFFFFF"/>
            <w:vAlign w:val="center"/>
          </w:tcPr>
          <w:p w14:paraId="75285121">
            <w:pPr>
              <w:pStyle w:val="72"/>
              <w:rPr>
                <w:rFonts w:ascii="Times New Roman" w:hAnsi="Times New Roman"/>
              </w:rPr>
            </w:pPr>
            <w:r>
              <w:rPr>
                <w:rFonts w:ascii="Times New Roman" w:hAnsi="Times New Roman"/>
              </w:rPr>
              <w:t>4.716</w:t>
            </w:r>
          </w:p>
        </w:tc>
      </w:tr>
      <w:tr w14:paraId="1DDC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B0DA022">
            <w:pPr>
              <w:pStyle w:val="72"/>
              <w:rPr>
                <w:rFonts w:ascii="Times New Roman" w:hAnsi="Times New Roman"/>
              </w:rPr>
            </w:pPr>
            <w:r>
              <w:rPr>
                <w:rFonts w:ascii="Times New Roman" w:hAnsi="Times New Roman"/>
              </w:rPr>
              <w:t>(2)</w:t>
            </w:r>
          </w:p>
        </w:tc>
        <w:tc>
          <w:tcPr>
            <w:tcW w:w="1132" w:type="pct"/>
            <w:shd w:val="clear" w:color="000000" w:fill="FFFFFF"/>
            <w:vAlign w:val="center"/>
          </w:tcPr>
          <w:p w14:paraId="64C50CB8">
            <w:pPr>
              <w:pStyle w:val="72"/>
              <w:rPr>
                <w:rFonts w:ascii="Times New Roman" w:hAnsi="Times New Roman"/>
              </w:rPr>
            </w:pPr>
            <w:r>
              <w:rPr>
                <w:rFonts w:ascii="Times New Roman" w:hAnsi="Times New Roman"/>
              </w:rPr>
              <w:t>工会经费</w:t>
            </w:r>
          </w:p>
        </w:tc>
        <w:tc>
          <w:tcPr>
            <w:tcW w:w="2508" w:type="pct"/>
            <w:shd w:val="clear" w:color="000000" w:fill="FFFFFF"/>
            <w:vAlign w:val="center"/>
          </w:tcPr>
          <w:p w14:paraId="7685DCE9">
            <w:pPr>
              <w:pStyle w:val="72"/>
              <w:rPr>
                <w:rFonts w:ascii="Times New Roman" w:hAnsi="Times New Roman"/>
              </w:rPr>
            </w:pPr>
            <w:r>
              <w:rPr>
                <w:rFonts w:ascii="Times New Roman" w:hAnsi="Times New Roman"/>
              </w:rPr>
              <w:t>(27+6.689)×2%</w:t>
            </w:r>
          </w:p>
        </w:tc>
        <w:tc>
          <w:tcPr>
            <w:tcW w:w="729" w:type="pct"/>
            <w:shd w:val="clear" w:color="000000" w:fill="FFFFFF"/>
            <w:vAlign w:val="center"/>
          </w:tcPr>
          <w:p w14:paraId="0878D055">
            <w:pPr>
              <w:pStyle w:val="72"/>
              <w:rPr>
                <w:rFonts w:ascii="Times New Roman" w:hAnsi="Times New Roman"/>
              </w:rPr>
            </w:pPr>
            <w:r>
              <w:rPr>
                <w:rFonts w:ascii="Times New Roman" w:hAnsi="Times New Roman"/>
              </w:rPr>
              <w:t>0.674</w:t>
            </w:r>
          </w:p>
        </w:tc>
      </w:tr>
      <w:tr w14:paraId="64E0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24C75C4">
            <w:pPr>
              <w:pStyle w:val="72"/>
              <w:rPr>
                <w:rFonts w:ascii="Times New Roman" w:hAnsi="Times New Roman"/>
              </w:rPr>
            </w:pPr>
            <w:r>
              <w:rPr>
                <w:rFonts w:ascii="Times New Roman" w:hAnsi="Times New Roman"/>
              </w:rPr>
              <w:t>(3)</w:t>
            </w:r>
          </w:p>
        </w:tc>
        <w:tc>
          <w:tcPr>
            <w:tcW w:w="1132" w:type="pct"/>
            <w:shd w:val="clear" w:color="000000" w:fill="FFFFFF"/>
            <w:vAlign w:val="center"/>
          </w:tcPr>
          <w:p w14:paraId="0A4EB434">
            <w:pPr>
              <w:pStyle w:val="72"/>
              <w:rPr>
                <w:rFonts w:ascii="Times New Roman" w:hAnsi="Times New Roman"/>
              </w:rPr>
            </w:pPr>
            <w:r>
              <w:rPr>
                <w:rFonts w:ascii="Times New Roman" w:hAnsi="Times New Roman"/>
              </w:rPr>
              <w:t>养老保险</w:t>
            </w:r>
          </w:p>
        </w:tc>
        <w:tc>
          <w:tcPr>
            <w:tcW w:w="2508" w:type="pct"/>
            <w:shd w:val="clear" w:color="000000" w:fill="FFFFFF"/>
            <w:vAlign w:val="center"/>
          </w:tcPr>
          <w:p w14:paraId="0863D3C2">
            <w:pPr>
              <w:pStyle w:val="72"/>
              <w:rPr>
                <w:rFonts w:ascii="Times New Roman" w:hAnsi="Times New Roman"/>
              </w:rPr>
            </w:pPr>
            <w:r>
              <w:rPr>
                <w:rFonts w:ascii="Times New Roman" w:hAnsi="Times New Roman"/>
              </w:rPr>
              <w:t>(27+6.689)×20%</w:t>
            </w:r>
          </w:p>
        </w:tc>
        <w:tc>
          <w:tcPr>
            <w:tcW w:w="729" w:type="pct"/>
            <w:shd w:val="clear" w:color="000000" w:fill="FFFFFF"/>
            <w:vAlign w:val="center"/>
          </w:tcPr>
          <w:p w14:paraId="78BF7B09">
            <w:pPr>
              <w:pStyle w:val="72"/>
              <w:rPr>
                <w:rFonts w:ascii="Times New Roman" w:hAnsi="Times New Roman"/>
              </w:rPr>
            </w:pPr>
            <w:r>
              <w:rPr>
                <w:rFonts w:ascii="Times New Roman" w:hAnsi="Times New Roman"/>
              </w:rPr>
              <w:t>6.738</w:t>
            </w:r>
          </w:p>
        </w:tc>
      </w:tr>
      <w:tr w14:paraId="7C05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153000D">
            <w:pPr>
              <w:pStyle w:val="72"/>
              <w:rPr>
                <w:rFonts w:ascii="Times New Roman" w:hAnsi="Times New Roman"/>
              </w:rPr>
            </w:pPr>
            <w:r>
              <w:rPr>
                <w:rFonts w:ascii="Times New Roman" w:hAnsi="Times New Roman"/>
              </w:rPr>
              <w:t>(4)</w:t>
            </w:r>
          </w:p>
        </w:tc>
        <w:tc>
          <w:tcPr>
            <w:tcW w:w="1132" w:type="pct"/>
            <w:shd w:val="clear" w:color="000000" w:fill="FFFFFF"/>
            <w:vAlign w:val="center"/>
          </w:tcPr>
          <w:p w14:paraId="6835A23A">
            <w:pPr>
              <w:pStyle w:val="72"/>
              <w:rPr>
                <w:rFonts w:ascii="Times New Roman" w:hAnsi="Times New Roman"/>
              </w:rPr>
            </w:pPr>
            <w:r>
              <w:rPr>
                <w:rFonts w:ascii="Times New Roman" w:hAnsi="Times New Roman"/>
              </w:rPr>
              <w:t>医疗保险</w:t>
            </w:r>
          </w:p>
        </w:tc>
        <w:tc>
          <w:tcPr>
            <w:tcW w:w="2508" w:type="pct"/>
            <w:shd w:val="clear" w:color="000000" w:fill="FFFFFF"/>
            <w:vAlign w:val="center"/>
          </w:tcPr>
          <w:p w14:paraId="6C9D6B0D">
            <w:pPr>
              <w:pStyle w:val="72"/>
              <w:rPr>
                <w:rFonts w:ascii="Times New Roman" w:hAnsi="Times New Roman"/>
              </w:rPr>
            </w:pPr>
            <w:r>
              <w:rPr>
                <w:rFonts w:ascii="Times New Roman" w:hAnsi="Times New Roman"/>
              </w:rPr>
              <w:t>(27+6.689)×4%</w:t>
            </w:r>
          </w:p>
        </w:tc>
        <w:tc>
          <w:tcPr>
            <w:tcW w:w="729" w:type="pct"/>
            <w:shd w:val="clear" w:color="000000" w:fill="FFFFFF"/>
            <w:vAlign w:val="center"/>
          </w:tcPr>
          <w:p w14:paraId="6E20D12C">
            <w:pPr>
              <w:pStyle w:val="72"/>
              <w:rPr>
                <w:rFonts w:ascii="Times New Roman" w:hAnsi="Times New Roman"/>
              </w:rPr>
            </w:pPr>
            <w:r>
              <w:rPr>
                <w:rFonts w:ascii="Times New Roman" w:hAnsi="Times New Roman"/>
              </w:rPr>
              <w:t>1.348</w:t>
            </w:r>
          </w:p>
        </w:tc>
      </w:tr>
      <w:tr w14:paraId="7583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AAB15FE">
            <w:pPr>
              <w:pStyle w:val="72"/>
              <w:rPr>
                <w:rFonts w:ascii="Times New Roman" w:hAnsi="Times New Roman"/>
              </w:rPr>
            </w:pPr>
            <w:r>
              <w:rPr>
                <w:rFonts w:ascii="Times New Roman" w:hAnsi="Times New Roman"/>
              </w:rPr>
              <w:t>(5)</w:t>
            </w:r>
          </w:p>
        </w:tc>
        <w:tc>
          <w:tcPr>
            <w:tcW w:w="1132" w:type="pct"/>
            <w:shd w:val="clear" w:color="000000" w:fill="FFFFFF"/>
            <w:vAlign w:val="center"/>
          </w:tcPr>
          <w:p w14:paraId="1077A50A">
            <w:pPr>
              <w:pStyle w:val="72"/>
              <w:rPr>
                <w:rFonts w:ascii="Times New Roman" w:hAnsi="Times New Roman"/>
              </w:rPr>
            </w:pPr>
            <w:r>
              <w:rPr>
                <w:rFonts w:ascii="Times New Roman" w:hAnsi="Times New Roman"/>
              </w:rPr>
              <w:t>工伤保险费</w:t>
            </w:r>
          </w:p>
        </w:tc>
        <w:tc>
          <w:tcPr>
            <w:tcW w:w="2508" w:type="pct"/>
            <w:shd w:val="clear" w:color="000000" w:fill="FFFFFF"/>
            <w:vAlign w:val="center"/>
          </w:tcPr>
          <w:p w14:paraId="59033C89">
            <w:pPr>
              <w:pStyle w:val="72"/>
              <w:rPr>
                <w:rFonts w:ascii="Times New Roman" w:hAnsi="Times New Roman"/>
              </w:rPr>
            </w:pPr>
            <w:r>
              <w:rPr>
                <w:rFonts w:ascii="Times New Roman" w:hAnsi="Times New Roman"/>
              </w:rPr>
              <w:t>(27+6.689)×1.5%</w:t>
            </w:r>
          </w:p>
        </w:tc>
        <w:tc>
          <w:tcPr>
            <w:tcW w:w="729" w:type="pct"/>
            <w:shd w:val="clear" w:color="000000" w:fill="FFFFFF"/>
            <w:vAlign w:val="center"/>
          </w:tcPr>
          <w:p w14:paraId="6C362DAE">
            <w:pPr>
              <w:pStyle w:val="72"/>
              <w:rPr>
                <w:rFonts w:ascii="Times New Roman" w:hAnsi="Times New Roman"/>
              </w:rPr>
            </w:pPr>
            <w:r>
              <w:rPr>
                <w:rFonts w:ascii="Times New Roman" w:hAnsi="Times New Roman"/>
              </w:rPr>
              <w:t>0.505</w:t>
            </w:r>
          </w:p>
        </w:tc>
      </w:tr>
      <w:tr w14:paraId="493A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DB4F253">
            <w:pPr>
              <w:pStyle w:val="72"/>
              <w:rPr>
                <w:rFonts w:ascii="Times New Roman" w:hAnsi="Times New Roman"/>
              </w:rPr>
            </w:pPr>
            <w:r>
              <w:rPr>
                <w:rFonts w:ascii="Times New Roman" w:hAnsi="Times New Roman"/>
              </w:rPr>
              <w:t>(6)</w:t>
            </w:r>
          </w:p>
        </w:tc>
        <w:tc>
          <w:tcPr>
            <w:tcW w:w="1132" w:type="pct"/>
            <w:shd w:val="clear" w:color="000000" w:fill="FFFFFF"/>
            <w:vAlign w:val="center"/>
          </w:tcPr>
          <w:p w14:paraId="31C12FCC">
            <w:pPr>
              <w:pStyle w:val="72"/>
              <w:rPr>
                <w:rFonts w:ascii="Times New Roman" w:hAnsi="Times New Roman"/>
              </w:rPr>
            </w:pPr>
            <w:r>
              <w:rPr>
                <w:rFonts w:ascii="Times New Roman" w:hAnsi="Times New Roman"/>
              </w:rPr>
              <w:t>职工失业保险基金</w:t>
            </w:r>
          </w:p>
        </w:tc>
        <w:tc>
          <w:tcPr>
            <w:tcW w:w="2508" w:type="pct"/>
            <w:shd w:val="clear" w:color="000000" w:fill="FFFFFF"/>
            <w:vAlign w:val="center"/>
          </w:tcPr>
          <w:p w14:paraId="5B537030">
            <w:pPr>
              <w:pStyle w:val="72"/>
              <w:rPr>
                <w:rFonts w:ascii="Times New Roman" w:hAnsi="Times New Roman"/>
              </w:rPr>
            </w:pPr>
            <w:r>
              <w:rPr>
                <w:rFonts w:ascii="Times New Roman" w:hAnsi="Times New Roman"/>
              </w:rPr>
              <w:t>(27+6.689)×2%</w:t>
            </w:r>
          </w:p>
        </w:tc>
        <w:tc>
          <w:tcPr>
            <w:tcW w:w="729" w:type="pct"/>
            <w:shd w:val="clear" w:color="000000" w:fill="FFFFFF"/>
            <w:vAlign w:val="center"/>
          </w:tcPr>
          <w:p w14:paraId="2B03BB6E">
            <w:pPr>
              <w:pStyle w:val="72"/>
              <w:rPr>
                <w:rFonts w:ascii="Times New Roman" w:hAnsi="Times New Roman"/>
              </w:rPr>
            </w:pPr>
            <w:r>
              <w:rPr>
                <w:rFonts w:ascii="Times New Roman" w:hAnsi="Times New Roman"/>
              </w:rPr>
              <w:t>0.674</w:t>
            </w:r>
          </w:p>
        </w:tc>
      </w:tr>
      <w:tr w14:paraId="3D66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68BD666">
            <w:pPr>
              <w:pStyle w:val="72"/>
              <w:rPr>
                <w:rFonts w:ascii="Times New Roman" w:hAnsi="Times New Roman"/>
              </w:rPr>
            </w:pPr>
            <w:r>
              <w:rPr>
                <w:rFonts w:ascii="Times New Roman" w:hAnsi="Times New Roman"/>
              </w:rPr>
              <w:t>(7)</w:t>
            </w:r>
          </w:p>
        </w:tc>
        <w:tc>
          <w:tcPr>
            <w:tcW w:w="1132" w:type="pct"/>
            <w:shd w:val="clear" w:color="000000" w:fill="FFFFFF"/>
            <w:vAlign w:val="center"/>
          </w:tcPr>
          <w:p w14:paraId="4DACFC64">
            <w:pPr>
              <w:pStyle w:val="72"/>
              <w:rPr>
                <w:rFonts w:ascii="Times New Roman" w:hAnsi="Times New Roman"/>
              </w:rPr>
            </w:pPr>
            <w:r>
              <w:rPr>
                <w:rFonts w:ascii="Times New Roman" w:hAnsi="Times New Roman"/>
              </w:rPr>
              <w:t>住房公积金</w:t>
            </w:r>
          </w:p>
        </w:tc>
        <w:tc>
          <w:tcPr>
            <w:tcW w:w="2508" w:type="pct"/>
            <w:shd w:val="clear" w:color="000000" w:fill="FFFFFF"/>
            <w:vAlign w:val="center"/>
          </w:tcPr>
          <w:p w14:paraId="005B7368">
            <w:pPr>
              <w:pStyle w:val="72"/>
              <w:rPr>
                <w:rFonts w:ascii="Times New Roman" w:hAnsi="Times New Roman"/>
              </w:rPr>
            </w:pPr>
            <w:r>
              <w:rPr>
                <w:rFonts w:ascii="Times New Roman" w:hAnsi="Times New Roman"/>
              </w:rPr>
              <w:t>(27+6.689)×8%</w:t>
            </w:r>
          </w:p>
        </w:tc>
        <w:tc>
          <w:tcPr>
            <w:tcW w:w="729" w:type="pct"/>
            <w:shd w:val="clear" w:color="000000" w:fill="FFFFFF"/>
            <w:vAlign w:val="center"/>
          </w:tcPr>
          <w:p w14:paraId="4F66FF8C">
            <w:pPr>
              <w:pStyle w:val="72"/>
              <w:rPr>
                <w:rFonts w:ascii="Times New Roman" w:hAnsi="Times New Roman"/>
              </w:rPr>
            </w:pPr>
            <w:r>
              <w:rPr>
                <w:rFonts w:ascii="Times New Roman" w:hAnsi="Times New Roman"/>
              </w:rPr>
              <w:t>2.695</w:t>
            </w:r>
          </w:p>
        </w:tc>
      </w:tr>
      <w:tr w14:paraId="75F1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0A8DB77">
            <w:pPr>
              <w:pStyle w:val="72"/>
              <w:rPr>
                <w:rFonts w:ascii="Times New Roman" w:hAnsi="Times New Roman"/>
              </w:rPr>
            </w:pPr>
            <w:r>
              <w:rPr>
                <w:rFonts w:ascii="Times New Roman" w:hAnsi="Times New Roman"/>
              </w:rPr>
              <w:t>4</w:t>
            </w:r>
          </w:p>
        </w:tc>
        <w:tc>
          <w:tcPr>
            <w:tcW w:w="1132" w:type="pct"/>
            <w:shd w:val="clear" w:color="000000" w:fill="FFFFFF"/>
            <w:vAlign w:val="center"/>
          </w:tcPr>
          <w:p w14:paraId="08F826D8">
            <w:pPr>
              <w:pStyle w:val="72"/>
              <w:rPr>
                <w:rFonts w:ascii="Times New Roman" w:hAnsi="Times New Roman"/>
              </w:rPr>
            </w:pPr>
            <w:r>
              <w:rPr>
                <w:rFonts w:ascii="Times New Roman" w:hAnsi="Times New Roman"/>
              </w:rPr>
              <w:t>人工工日预算单价</w:t>
            </w:r>
          </w:p>
        </w:tc>
        <w:tc>
          <w:tcPr>
            <w:tcW w:w="2508" w:type="pct"/>
            <w:shd w:val="clear" w:color="000000" w:fill="FFFFFF"/>
            <w:vAlign w:val="center"/>
          </w:tcPr>
          <w:p w14:paraId="32F6F24E">
            <w:pPr>
              <w:pStyle w:val="72"/>
              <w:rPr>
                <w:rFonts w:ascii="Times New Roman" w:hAnsi="Times New Roman"/>
              </w:rPr>
            </w:pPr>
            <w:r>
              <w:rPr>
                <w:rFonts w:ascii="Times New Roman" w:hAnsi="Times New Roman"/>
              </w:rPr>
              <w:t>27+6.689+17.35</w:t>
            </w:r>
          </w:p>
        </w:tc>
        <w:tc>
          <w:tcPr>
            <w:tcW w:w="729" w:type="pct"/>
            <w:shd w:val="clear" w:color="000000" w:fill="FFFFFF"/>
            <w:vAlign w:val="center"/>
          </w:tcPr>
          <w:p w14:paraId="46BA58E7">
            <w:pPr>
              <w:pStyle w:val="72"/>
              <w:rPr>
                <w:rFonts w:ascii="Times New Roman" w:hAnsi="Times New Roman"/>
              </w:rPr>
            </w:pPr>
            <w:r>
              <w:rPr>
                <w:rFonts w:ascii="Times New Roman" w:hAnsi="Times New Roman"/>
              </w:rPr>
              <w:t>51.04</w:t>
            </w:r>
          </w:p>
        </w:tc>
      </w:tr>
    </w:tbl>
    <w:p w14:paraId="48736D01">
      <w:pPr>
        <w:spacing w:line="240" w:lineRule="auto"/>
        <w:ind w:firstLine="0" w:firstLineChars="0"/>
        <w:jc w:val="center"/>
        <w:rPr>
          <w:b/>
          <w:sz w:val="21"/>
          <w:szCs w:val="21"/>
        </w:rPr>
      </w:pPr>
    </w:p>
    <w:p w14:paraId="0F299EC0">
      <w:pPr>
        <w:pStyle w:val="57"/>
        <w:rPr>
          <w:rFonts w:ascii="Times New Roman" w:hAnsi="Times New Roman"/>
        </w:rPr>
      </w:pPr>
      <w:r>
        <w:rPr>
          <w:rFonts w:ascii="Times New Roman" w:hAnsi="Times New Roman"/>
        </w:rPr>
        <w:t>表6-11-2乙类工人工预算单价计算表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168"/>
        <w:gridCol w:w="4803"/>
        <w:gridCol w:w="1396"/>
      </w:tblGrid>
      <w:tr w14:paraId="3648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ABBE7FE">
            <w:pPr>
              <w:pStyle w:val="72"/>
              <w:rPr>
                <w:rFonts w:ascii="Times New Roman" w:hAnsi="Times New Roman"/>
              </w:rPr>
            </w:pPr>
            <w:r>
              <w:rPr>
                <w:rFonts w:ascii="Times New Roman" w:hAnsi="Times New Roman"/>
              </w:rPr>
              <w:t>地区类别</w:t>
            </w:r>
          </w:p>
        </w:tc>
        <w:tc>
          <w:tcPr>
            <w:tcW w:w="1132" w:type="pct"/>
            <w:shd w:val="clear" w:color="000000" w:fill="FFFFFF"/>
            <w:vAlign w:val="center"/>
          </w:tcPr>
          <w:p w14:paraId="25BFD69D">
            <w:pPr>
              <w:pStyle w:val="72"/>
              <w:rPr>
                <w:rFonts w:ascii="Times New Roman" w:hAnsi="Times New Roman"/>
              </w:rPr>
            </w:pPr>
            <w:r>
              <w:rPr>
                <w:rFonts w:ascii="Times New Roman" w:hAnsi="Times New Roman"/>
              </w:rPr>
              <w:t>六类工资区</w:t>
            </w:r>
          </w:p>
        </w:tc>
        <w:tc>
          <w:tcPr>
            <w:tcW w:w="2508" w:type="pct"/>
            <w:shd w:val="clear" w:color="000000" w:fill="FFFFFF"/>
            <w:vAlign w:val="center"/>
          </w:tcPr>
          <w:p w14:paraId="4B99089F">
            <w:pPr>
              <w:pStyle w:val="72"/>
              <w:rPr>
                <w:rFonts w:ascii="Times New Roman" w:hAnsi="Times New Roman"/>
              </w:rPr>
            </w:pPr>
            <w:r>
              <w:rPr>
                <w:rFonts w:ascii="Times New Roman" w:hAnsi="Times New Roman"/>
              </w:rPr>
              <w:t>定额人工等级</w:t>
            </w:r>
          </w:p>
        </w:tc>
        <w:tc>
          <w:tcPr>
            <w:tcW w:w="729" w:type="pct"/>
            <w:shd w:val="clear" w:color="000000" w:fill="FFFFFF"/>
            <w:vAlign w:val="center"/>
          </w:tcPr>
          <w:p w14:paraId="48EC8F75">
            <w:pPr>
              <w:pStyle w:val="72"/>
              <w:rPr>
                <w:rFonts w:ascii="Times New Roman" w:hAnsi="Times New Roman"/>
              </w:rPr>
            </w:pPr>
            <w:r>
              <w:rPr>
                <w:rFonts w:ascii="Times New Roman" w:hAnsi="Times New Roman"/>
              </w:rPr>
              <w:t>乙类工</w:t>
            </w:r>
          </w:p>
        </w:tc>
      </w:tr>
      <w:tr w14:paraId="08D73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F60C9C2">
            <w:pPr>
              <w:pStyle w:val="72"/>
              <w:rPr>
                <w:rFonts w:ascii="Times New Roman" w:hAnsi="Times New Roman"/>
              </w:rPr>
            </w:pPr>
            <w:r>
              <w:rPr>
                <w:rFonts w:ascii="Times New Roman" w:hAnsi="Times New Roman"/>
              </w:rPr>
              <w:t>编号</w:t>
            </w:r>
          </w:p>
        </w:tc>
        <w:tc>
          <w:tcPr>
            <w:tcW w:w="1132" w:type="pct"/>
            <w:shd w:val="clear" w:color="000000" w:fill="FFFFFF"/>
            <w:vAlign w:val="center"/>
          </w:tcPr>
          <w:p w14:paraId="0F28C6FC">
            <w:pPr>
              <w:pStyle w:val="72"/>
              <w:rPr>
                <w:rFonts w:ascii="Times New Roman" w:hAnsi="Times New Roman"/>
              </w:rPr>
            </w:pPr>
            <w:r>
              <w:rPr>
                <w:rFonts w:ascii="Times New Roman" w:hAnsi="Times New Roman"/>
              </w:rPr>
              <w:t>名称</w:t>
            </w:r>
          </w:p>
        </w:tc>
        <w:tc>
          <w:tcPr>
            <w:tcW w:w="2508" w:type="pct"/>
            <w:shd w:val="clear" w:color="000000" w:fill="FFFFFF"/>
            <w:vAlign w:val="center"/>
          </w:tcPr>
          <w:p w14:paraId="2A666B2B">
            <w:pPr>
              <w:pStyle w:val="72"/>
              <w:rPr>
                <w:rFonts w:ascii="Times New Roman" w:hAnsi="Times New Roman"/>
              </w:rPr>
            </w:pPr>
            <w:r>
              <w:rPr>
                <w:rFonts w:ascii="Times New Roman" w:hAnsi="Times New Roman"/>
              </w:rPr>
              <w:t>计算式</w:t>
            </w:r>
          </w:p>
        </w:tc>
        <w:tc>
          <w:tcPr>
            <w:tcW w:w="729" w:type="pct"/>
            <w:shd w:val="clear" w:color="000000" w:fill="FFFFFF"/>
            <w:vAlign w:val="center"/>
          </w:tcPr>
          <w:p w14:paraId="362A1E3F">
            <w:pPr>
              <w:pStyle w:val="72"/>
              <w:rPr>
                <w:rFonts w:ascii="Times New Roman" w:hAnsi="Times New Roman"/>
              </w:rPr>
            </w:pPr>
            <w:r>
              <w:rPr>
                <w:rFonts w:ascii="Times New Roman" w:hAnsi="Times New Roman"/>
              </w:rPr>
              <w:t>单价（元）</w:t>
            </w:r>
          </w:p>
        </w:tc>
      </w:tr>
      <w:tr w14:paraId="7188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37D9558">
            <w:pPr>
              <w:pStyle w:val="72"/>
              <w:rPr>
                <w:rFonts w:ascii="Times New Roman" w:hAnsi="Times New Roman"/>
              </w:rPr>
            </w:pPr>
            <w:r>
              <w:rPr>
                <w:rFonts w:ascii="Times New Roman" w:hAnsi="Times New Roman"/>
              </w:rPr>
              <w:t>1</w:t>
            </w:r>
          </w:p>
        </w:tc>
        <w:tc>
          <w:tcPr>
            <w:tcW w:w="1132" w:type="pct"/>
            <w:shd w:val="clear" w:color="000000" w:fill="FFFFFF"/>
            <w:vAlign w:val="center"/>
          </w:tcPr>
          <w:p w14:paraId="43D72EDB">
            <w:pPr>
              <w:pStyle w:val="72"/>
              <w:rPr>
                <w:rFonts w:ascii="Times New Roman" w:hAnsi="Times New Roman"/>
              </w:rPr>
            </w:pPr>
            <w:r>
              <w:rPr>
                <w:rFonts w:ascii="Times New Roman" w:hAnsi="Times New Roman"/>
              </w:rPr>
              <w:t>基本工资</w:t>
            </w:r>
          </w:p>
        </w:tc>
        <w:tc>
          <w:tcPr>
            <w:tcW w:w="2508" w:type="pct"/>
            <w:shd w:val="clear" w:color="000000" w:fill="FFFFFF"/>
            <w:vAlign w:val="center"/>
          </w:tcPr>
          <w:p w14:paraId="312D51E4">
            <w:pPr>
              <w:pStyle w:val="72"/>
              <w:rPr>
                <w:rFonts w:ascii="Times New Roman" w:hAnsi="Times New Roman"/>
              </w:rPr>
            </w:pPr>
            <w:r>
              <w:rPr>
                <w:rFonts w:ascii="Times New Roman" w:hAnsi="Times New Roman"/>
              </w:rPr>
              <w:t>445×1.00×12/(250-10)</w:t>
            </w:r>
          </w:p>
        </w:tc>
        <w:tc>
          <w:tcPr>
            <w:tcW w:w="729" w:type="pct"/>
            <w:shd w:val="clear" w:color="000000" w:fill="FFFFFF"/>
            <w:vAlign w:val="center"/>
          </w:tcPr>
          <w:p w14:paraId="32AB5280">
            <w:pPr>
              <w:pStyle w:val="72"/>
              <w:rPr>
                <w:rFonts w:ascii="Times New Roman" w:hAnsi="Times New Roman"/>
              </w:rPr>
            </w:pPr>
            <w:r>
              <w:rPr>
                <w:rFonts w:ascii="Times New Roman" w:hAnsi="Times New Roman"/>
              </w:rPr>
              <w:t>22.250</w:t>
            </w:r>
          </w:p>
        </w:tc>
      </w:tr>
      <w:tr w14:paraId="3E57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484F89F">
            <w:pPr>
              <w:pStyle w:val="72"/>
              <w:rPr>
                <w:rFonts w:ascii="Times New Roman" w:hAnsi="Times New Roman"/>
              </w:rPr>
            </w:pPr>
            <w:r>
              <w:rPr>
                <w:rFonts w:ascii="Times New Roman" w:hAnsi="Times New Roman"/>
              </w:rPr>
              <w:t>2</w:t>
            </w:r>
          </w:p>
        </w:tc>
        <w:tc>
          <w:tcPr>
            <w:tcW w:w="1132" w:type="pct"/>
            <w:shd w:val="clear" w:color="000000" w:fill="FFFFFF"/>
            <w:vAlign w:val="center"/>
          </w:tcPr>
          <w:p w14:paraId="1C42B7AB">
            <w:pPr>
              <w:pStyle w:val="72"/>
              <w:rPr>
                <w:rFonts w:ascii="Times New Roman" w:hAnsi="Times New Roman"/>
              </w:rPr>
            </w:pPr>
            <w:r>
              <w:rPr>
                <w:rFonts w:ascii="Times New Roman" w:hAnsi="Times New Roman"/>
              </w:rPr>
              <w:t>辅助工资</w:t>
            </w:r>
          </w:p>
        </w:tc>
        <w:tc>
          <w:tcPr>
            <w:tcW w:w="2508" w:type="pct"/>
            <w:shd w:val="clear" w:color="000000" w:fill="FFFFFF"/>
            <w:vAlign w:val="center"/>
          </w:tcPr>
          <w:p w14:paraId="468CCEAC">
            <w:pPr>
              <w:pStyle w:val="72"/>
              <w:rPr>
                <w:rFonts w:ascii="Times New Roman" w:hAnsi="Times New Roman"/>
              </w:rPr>
            </w:pPr>
            <w:r>
              <w:rPr>
                <w:rFonts w:ascii="Times New Roman" w:hAnsi="Times New Roman"/>
              </w:rPr>
              <w:t>0+2.89+0.2+0.294</w:t>
            </w:r>
          </w:p>
        </w:tc>
        <w:tc>
          <w:tcPr>
            <w:tcW w:w="729" w:type="pct"/>
            <w:shd w:val="clear" w:color="000000" w:fill="FFFFFF"/>
            <w:vAlign w:val="center"/>
          </w:tcPr>
          <w:p w14:paraId="22E17520">
            <w:pPr>
              <w:pStyle w:val="72"/>
              <w:rPr>
                <w:rFonts w:ascii="Times New Roman" w:hAnsi="Times New Roman"/>
              </w:rPr>
            </w:pPr>
            <w:r>
              <w:rPr>
                <w:rFonts w:ascii="Times New Roman" w:hAnsi="Times New Roman"/>
              </w:rPr>
              <w:t>3.384</w:t>
            </w:r>
          </w:p>
        </w:tc>
      </w:tr>
      <w:tr w14:paraId="2FCE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FBC1CCB">
            <w:pPr>
              <w:pStyle w:val="72"/>
              <w:rPr>
                <w:rFonts w:ascii="Times New Roman" w:hAnsi="Times New Roman"/>
              </w:rPr>
            </w:pPr>
            <w:r>
              <w:rPr>
                <w:rFonts w:ascii="Times New Roman" w:hAnsi="Times New Roman"/>
              </w:rPr>
              <w:t>(1)</w:t>
            </w:r>
          </w:p>
        </w:tc>
        <w:tc>
          <w:tcPr>
            <w:tcW w:w="1132" w:type="pct"/>
            <w:shd w:val="clear" w:color="000000" w:fill="FFFFFF"/>
            <w:vAlign w:val="center"/>
          </w:tcPr>
          <w:p w14:paraId="5EA95FFA">
            <w:pPr>
              <w:pStyle w:val="72"/>
              <w:rPr>
                <w:rFonts w:ascii="Times New Roman" w:hAnsi="Times New Roman"/>
              </w:rPr>
            </w:pPr>
            <w:r>
              <w:rPr>
                <w:rFonts w:ascii="Times New Roman" w:hAnsi="Times New Roman"/>
              </w:rPr>
              <w:t>地区津贴</w:t>
            </w:r>
          </w:p>
        </w:tc>
        <w:tc>
          <w:tcPr>
            <w:tcW w:w="2508" w:type="pct"/>
            <w:shd w:val="clear" w:color="000000" w:fill="FFFFFF"/>
            <w:vAlign w:val="center"/>
          </w:tcPr>
          <w:p w14:paraId="22D3D78F">
            <w:pPr>
              <w:pStyle w:val="72"/>
              <w:rPr>
                <w:rFonts w:ascii="Times New Roman" w:hAnsi="Times New Roman"/>
              </w:rPr>
            </w:pPr>
          </w:p>
        </w:tc>
        <w:tc>
          <w:tcPr>
            <w:tcW w:w="729" w:type="pct"/>
            <w:shd w:val="clear" w:color="000000" w:fill="FFFFFF"/>
            <w:vAlign w:val="center"/>
          </w:tcPr>
          <w:p w14:paraId="34014558">
            <w:pPr>
              <w:pStyle w:val="72"/>
              <w:rPr>
                <w:rFonts w:ascii="Times New Roman" w:hAnsi="Times New Roman"/>
              </w:rPr>
            </w:pPr>
          </w:p>
        </w:tc>
      </w:tr>
      <w:tr w14:paraId="3850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D77B073">
            <w:pPr>
              <w:pStyle w:val="72"/>
              <w:rPr>
                <w:rFonts w:ascii="Times New Roman" w:hAnsi="Times New Roman"/>
              </w:rPr>
            </w:pPr>
            <w:r>
              <w:rPr>
                <w:rFonts w:ascii="Times New Roman" w:hAnsi="Times New Roman"/>
              </w:rPr>
              <w:t>(2)</w:t>
            </w:r>
          </w:p>
        </w:tc>
        <w:tc>
          <w:tcPr>
            <w:tcW w:w="1132" w:type="pct"/>
            <w:shd w:val="clear" w:color="000000" w:fill="FFFFFF"/>
            <w:vAlign w:val="center"/>
          </w:tcPr>
          <w:p w14:paraId="43B8D9DC">
            <w:pPr>
              <w:pStyle w:val="72"/>
              <w:rPr>
                <w:rFonts w:ascii="Times New Roman" w:hAnsi="Times New Roman"/>
              </w:rPr>
            </w:pPr>
            <w:r>
              <w:rPr>
                <w:rFonts w:ascii="Times New Roman" w:hAnsi="Times New Roman"/>
              </w:rPr>
              <w:t>施工津贴</w:t>
            </w:r>
          </w:p>
        </w:tc>
        <w:tc>
          <w:tcPr>
            <w:tcW w:w="2508" w:type="pct"/>
            <w:shd w:val="clear" w:color="000000" w:fill="FFFFFF"/>
            <w:vAlign w:val="center"/>
          </w:tcPr>
          <w:p w14:paraId="258A9B99">
            <w:pPr>
              <w:pStyle w:val="72"/>
              <w:rPr>
                <w:rFonts w:ascii="Times New Roman" w:hAnsi="Times New Roman"/>
              </w:rPr>
            </w:pPr>
            <w:r>
              <w:rPr>
                <w:rFonts w:ascii="Times New Roman" w:hAnsi="Times New Roman"/>
              </w:rPr>
              <w:t>2×365×0.95/(250-10)</w:t>
            </w:r>
          </w:p>
        </w:tc>
        <w:tc>
          <w:tcPr>
            <w:tcW w:w="729" w:type="pct"/>
            <w:shd w:val="clear" w:color="000000" w:fill="FFFFFF"/>
            <w:vAlign w:val="center"/>
          </w:tcPr>
          <w:p w14:paraId="51800BC8">
            <w:pPr>
              <w:pStyle w:val="72"/>
              <w:rPr>
                <w:rFonts w:ascii="Times New Roman" w:hAnsi="Times New Roman"/>
              </w:rPr>
            </w:pPr>
            <w:r>
              <w:rPr>
                <w:rFonts w:ascii="Times New Roman" w:hAnsi="Times New Roman"/>
              </w:rPr>
              <w:t>2.890</w:t>
            </w:r>
          </w:p>
        </w:tc>
      </w:tr>
      <w:tr w14:paraId="2426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F792733">
            <w:pPr>
              <w:pStyle w:val="72"/>
              <w:rPr>
                <w:rFonts w:ascii="Times New Roman" w:hAnsi="Times New Roman"/>
              </w:rPr>
            </w:pPr>
            <w:r>
              <w:rPr>
                <w:rFonts w:ascii="Times New Roman" w:hAnsi="Times New Roman"/>
              </w:rPr>
              <w:t>(3)</w:t>
            </w:r>
          </w:p>
        </w:tc>
        <w:tc>
          <w:tcPr>
            <w:tcW w:w="1132" w:type="pct"/>
            <w:shd w:val="clear" w:color="000000" w:fill="FFFFFF"/>
            <w:vAlign w:val="center"/>
          </w:tcPr>
          <w:p w14:paraId="35E18EEB">
            <w:pPr>
              <w:pStyle w:val="72"/>
              <w:rPr>
                <w:rFonts w:ascii="Times New Roman" w:hAnsi="Times New Roman"/>
              </w:rPr>
            </w:pPr>
            <w:r>
              <w:rPr>
                <w:rFonts w:ascii="Times New Roman" w:hAnsi="Times New Roman"/>
              </w:rPr>
              <w:t>夜餐津贴</w:t>
            </w:r>
          </w:p>
        </w:tc>
        <w:tc>
          <w:tcPr>
            <w:tcW w:w="2508" w:type="pct"/>
            <w:shd w:val="clear" w:color="000000" w:fill="FFFFFF"/>
            <w:vAlign w:val="center"/>
          </w:tcPr>
          <w:p w14:paraId="29349A79">
            <w:pPr>
              <w:pStyle w:val="72"/>
              <w:rPr>
                <w:rFonts w:ascii="Times New Roman" w:hAnsi="Times New Roman"/>
              </w:rPr>
            </w:pPr>
            <w:r>
              <w:rPr>
                <w:rFonts w:ascii="Times New Roman" w:hAnsi="Times New Roman"/>
              </w:rPr>
              <w:t>(4.5+3.5)/2×0.05</w:t>
            </w:r>
          </w:p>
        </w:tc>
        <w:tc>
          <w:tcPr>
            <w:tcW w:w="729" w:type="pct"/>
            <w:shd w:val="clear" w:color="000000" w:fill="FFFFFF"/>
            <w:vAlign w:val="center"/>
          </w:tcPr>
          <w:p w14:paraId="6216EA46">
            <w:pPr>
              <w:pStyle w:val="72"/>
              <w:rPr>
                <w:rFonts w:ascii="Times New Roman" w:hAnsi="Times New Roman"/>
              </w:rPr>
            </w:pPr>
            <w:r>
              <w:rPr>
                <w:rFonts w:ascii="Times New Roman" w:hAnsi="Times New Roman"/>
              </w:rPr>
              <w:t>0.200</w:t>
            </w:r>
          </w:p>
        </w:tc>
      </w:tr>
      <w:tr w14:paraId="51B9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6FAB6D2F">
            <w:pPr>
              <w:pStyle w:val="72"/>
              <w:rPr>
                <w:rFonts w:ascii="Times New Roman" w:hAnsi="Times New Roman"/>
              </w:rPr>
            </w:pPr>
            <w:r>
              <w:rPr>
                <w:rFonts w:ascii="Times New Roman" w:hAnsi="Times New Roman"/>
              </w:rPr>
              <w:t>(4)</w:t>
            </w:r>
          </w:p>
        </w:tc>
        <w:tc>
          <w:tcPr>
            <w:tcW w:w="1132" w:type="pct"/>
            <w:shd w:val="clear" w:color="000000" w:fill="FFFFFF"/>
            <w:vAlign w:val="center"/>
          </w:tcPr>
          <w:p w14:paraId="1E88870F">
            <w:pPr>
              <w:pStyle w:val="72"/>
              <w:rPr>
                <w:rFonts w:ascii="Times New Roman" w:hAnsi="Times New Roman"/>
              </w:rPr>
            </w:pPr>
            <w:r>
              <w:rPr>
                <w:rFonts w:ascii="Times New Roman" w:hAnsi="Times New Roman"/>
              </w:rPr>
              <w:t>节日加班津贴</w:t>
            </w:r>
          </w:p>
        </w:tc>
        <w:tc>
          <w:tcPr>
            <w:tcW w:w="2508" w:type="pct"/>
            <w:shd w:val="clear" w:color="000000" w:fill="FFFFFF"/>
            <w:vAlign w:val="center"/>
          </w:tcPr>
          <w:p w14:paraId="76B1FBF9">
            <w:pPr>
              <w:pStyle w:val="72"/>
              <w:rPr>
                <w:rFonts w:ascii="Times New Roman" w:hAnsi="Times New Roman"/>
              </w:rPr>
            </w:pPr>
            <w:r>
              <w:rPr>
                <w:rFonts w:ascii="Times New Roman" w:hAnsi="Times New Roman"/>
              </w:rPr>
              <w:t>22.25×(3-1)×11/250×0.15</w:t>
            </w:r>
          </w:p>
        </w:tc>
        <w:tc>
          <w:tcPr>
            <w:tcW w:w="729" w:type="pct"/>
            <w:shd w:val="clear" w:color="000000" w:fill="FFFFFF"/>
            <w:vAlign w:val="center"/>
          </w:tcPr>
          <w:p w14:paraId="251C8222">
            <w:pPr>
              <w:pStyle w:val="72"/>
              <w:rPr>
                <w:rFonts w:ascii="Times New Roman" w:hAnsi="Times New Roman"/>
              </w:rPr>
            </w:pPr>
            <w:r>
              <w:rPr>
                <w:rFonts w:ascii="Times New Roman" w:hAnsi="Times New Roman"/>
              </w:rPr>
              <w:t>0.294</w:t>
            </w:r>
          </w:p>
        </w:tc>
      </w:tr>
      <w:tr w14:paraId="4FCE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69F33F5">
            <w:pPr>
              <w:pStyle w:val="72"/>
              <w:rPr>
                <w:rFonts w:ascii="Times New Roman" w:hAnsi="Times New Roman"/>
              </w:rPr>
            </w:pPr>
            <w:r>
              <w:rPr>
                <w:rFonts w:ascii="Times New Roman" w:hAnsi="Times New Roman"/>
              </w:rPr>
              <w:t>3</w:t>
            </w:r>
          </w:p>
        </w:tc>
        <w:tc>
          <w:tcPr>
            <w:tcW w:w="1132" w:type="pct"/>
            <w:shd w:val="clear" w:color="000000" w:fill="FFFFFF"/>
            <w:vAlign w:val="center"/>
          </w:tcPr>
          <w:p w14:paraId="64991897">
            <w:pPr>
              <w:pStyle w:val="72"/>
              <w:rPr>
                <w:rFonts w:ascii="Times New Roman" w:hAnsi="Times New Roman"/>
              </w:rPr>
            </w:pPr>
            <w:r>
              <w:rPr>
                <w:rFonts w:ascii="Times New Roman" w:hAnsi="Times New Roman"/>
              </w:rPr>
              <w:t>工资附加费</w:t>
            </w:r>
          </w:p>
        </w:tc>
        <w:tc>
          <w:tcPr>
            <w:tcW w:w="2508" w:type="pct"/>
            <w:shd w:val="clear" w:color="000000" w:fill="FFFFFF"/>
            <w:vAlign w:val="center"/>
          </w:tcPr>
          <w:p w14:paraId="605149D8">
            <w:pPr>
              <w:pStyle w:val="72"/>
              <w:rPr>
                <w:rFonts w:ascii="Times New Roman" w:hAnsi="Times New Roman"/>
              </w:rPr>
            </w:pPr>
            <w:r>
              <w:rPr>
                <w:rFonts w:ascii="Times New Roman" w:hAnsi="Times New Roman"/>
              </w:rPr>
              <w:t>3.589+0.513+5.127+1.025+0.385+0.513+2.051</w:t>
            </w:r>
          </w:p>
        </w:tc>
        <w:tc>
          <w:tcPr>
            <w:tcW w:w="729" w:type="pct"/>
            <w:shd w:val="clear" w:color="000000" w:fill="FFFFFF"/>
            <w:vAlign w:val="center"/>
          </w:tcPr>
          <w:p w14:paraId="298AE060">
            <w:pPr>
              <w:pStyle w:val="72"/>
              <w:rPr>
                <w:rFonts w:ascii="Times New Roman" w:hAnsi="Times New Roman"/>
              </w:rPr>
            </w:pPr>
            <w:r>
              <w:rPr>
                <w:rFonts w:ascii="Times New Roman" w:hAnsi="Times New Roman"/>
              </w:rPr>
              <w:t>13.203</w:t>
            </w:r>
          </w:p>
        </w:tc>
      </w:tr>
      <w:tr w14:paraId="4429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33117BB">
            <w:pPr>
              <w:pStyle w:val="72"/>
              <w:rPr>
                <w:rFonts w:ascii="Times New Roman" w:hAnsi="Times New Roman"/>
              </w:rPr>
            </w:pPr>
            <w:r>
              <w:rPr>
                <w:rFonts w:ascii="Times New Roman" w:hAnsi="Times New Roman"/>
              </w:rPr>
              <w:t>(1)</w:t>
            </w:r>
          </w:p>
        </w:tc>
        <w:tc>
          <w:tcPr>
            <w:tcW w:w="1132" w:type="pct"/>
            <w:shd w:val="clear" w:color="000000" w:fill="FFFFFF"/>
            <w:vAlign w:val="center"/>
          </w:tcPr>
          <w:p w14:paraId="4D68450A">
            <w:pPr>
              <w:pStyle w:val="72"/>
              <w:rPr>
                <w:rFonts w:ascii="Times New Roman" w:hAnsi="Times New Roman"/>
              </w:rPr>
            </w:pPr>
            <w:r>
              <w:rPr>
                <w:rFonts w:ascii="Times New Roman" w:hAnsi="Times New Roman"/>
              </w:rPr>
              <w:t>职工福利基金</w:t>
            </w:r>
          </w:p>
        </w:tc>
        <w:tc>
          <w:tcPr>
            <w:tcW w:w="2508" w:type="pct"/>
            <w:shd w:val="clear" w:color="000000" w:fill="FFFFFF"/>
            <w:vAlign w:val="center"/>
          </w:tcPr>
          <w:p w14:paraId="342D5DE3">
            <w:pPr>
              <w:pStyle w:val="72"/>
              <w:rPr>
                <w:rFonts w:ascii="Times New Roman" w:hAnsi="Times New Roman"/>
              </w:rPr>
            </w:pPr>
            <w:r>
              <w:rPr>
                <w:rFonts w:ascii="Times New Roman" w:hAnsi="Times New Roman"/>
              </w:rPr>
              <w:t>(22.25+3.384)×14%</w:t>
            </w:r>
          </w:p>
        </w:tc>
        <w:tc>
          <w:tcPr>
            <w:tcW w:w="729" w:type="pct"/>
            <w:shd w:val="clear" w:color="000000" w:fill="FFFFFF"/>
            <w:vAlign w:val="center"/>
          </w:tcPr>
          <w:p w14:paraId="4B778B5B">
            <w:pPr>
              <w:pStyle w:val="72"/>
              <w:rPr>
                <w:rFonts w:ascii="Times New Roman" w:hAnsi="Times New Roman"/>
              </w:rPr>
            </w:pPr>
            <w:r>
              <w:rPr>
                <w:rFonts w:ascii="Times New Roman" w:hAnsi="Times New Roman"/>
              </w:rPr>
              <w:t>3.589</w:t>
            </w:r>
          </w:p>
        </w:tc>
      </w:tr>
      <w:tr w14:paraId="00BB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9E535E7">
            <w:pPr>
              <w:pStyle w:val="72"/>
              <w:rPr>
                <w:rFonts w:ascii="Times New Roman" w:hAnsi="Times New Roman"/>
              </w:rPr>
            </w:pPr>
            <w:r>
              <w:rPr>
                <w:rFonts w:ascii="Times New Roman" w:hAnsi="Times New Roman"/>
              </w:rPr>
              <w:t>(2)</w:t>
            </w:r>
          </w:p>
        </w:tc>
        <w:tc>
          <w:tcPr>
            <w:tcW w:w="1132" w:type="pct"/>
            <w:shd w:val="clear" w:color="000000" w:fill="FFFFFF"/>
            <w:vAlign w:val="center"/>
          </w:tcPr>
          <w:p w14:paraId="0951947F">
            <w:pPr>
              <w:pStyle w:val="72"/>
              <w:rPr>
                <w:rFonts w:ascii="Times New Roman" w:hAnsi="Times New Roman"/>
              </w:rPr>
            </w:pPr>
            <w:r>
              <w:rPr>
                <w:rFonts w:ascii="Times New Roman" w:hAnsi="Times New Roman"/>
              </w:rPr>
              <w:t>工会经费</w:t>
            </w:r>
          </w:p>
        </w:tc>
        <w:tc>
          <w:tcPr>
            <w:tcW w:w="2508" w:type="pct"/>
            <w:shd w:val="clear" w:color="000000" w:fill="FFFFFF"/>
            <w:vAlign w:val="center"/>
          </w:tcPr>
          <w:p w14:paraId="19BA7ABF">
            <w:pPr>
              <w:pStyle w:val="72"/>
              <w:rPr>
                <w:rFonts w:ascii="Times New Roman" w:hAnsi="Times New Roman"/>
              </w:rPr>
            </w:pPr>
            <w:r>
              <w:rPr>
                <w:rFonts w:ascii="Times New Roman" w:hAnsi="Times New Roman"/>
              </w:rPr>
              <w:t>(22.25+3.384)×2%</w:t>
            </w:r>
          </w:p>
        </w:tc>
        <w:tc>
          <w:tcPr>
            <w:tcW w:w="729" w:type="pct"/>
            <w:shd w:val="clear" w:color="000000" w:fill="FFFFFF"/>
            <w:vAlign w:val="center"/>
          </w:tcPr>
          <w:p w14:paraId="2203A41E">
            <w:pPr>
              <w:pStyle w:val="72"/>
              <w:rPr>
                <w:rFonts w:ascii="Times New Roman" w:hAnsi="Times New Roman"/>
              </w:rPr>
            </w:pPr>
            <w:r>
              <w:rPr>
                <w:rFonts w:ascii="Times New Roman" w:hAnsi="Times New Roman"/>
              </w:rPr>
              <w:t>0.513</w:t>
            </w:r>
          </w:p>
        </w:tc>
      </w:tr>
      <w:tr w14:paraId="503E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E8B047D">
            <w:pPr>
              <w:pStyle w:val="72"/>
              <w:rPr>
                <w:rFonts w:ascii="Times New Roman" w:hAnsi="Times New Roman"/>
              </w:rPr>
            </w:pPr>
            <w:r>
              <w:rPr>
                <w:rFonts w:ascii="Times New Roman" w:hAnsi="Times New Roman"/>
              </w:rPr>
              <w:t>(3)</w:t>
            </w:r>
          </w:p>
        </w:tc>
        <w:tc>
          <w:tcPr>
            <w:tcW w:w="1132" w:type="pct"/>
            <w:shd w:val="clear" w:color="000000" w:fill="FFFFFF"/>
            <w:vAlign w:val="center"/>
          </w:tcPr>
          <w:p w14:paraId="7637F9E3">
            <w:pPr>
              <w:pStyle w:val="72"/>
              <w:rPr>
                <w:rFonts w:ascii="Times New Roman" w:hAnsi="Times New Roman"/>
              </w:rPr>
            </w:pPr>
            <w:r>
              <w:rPr>
                <w:rFonts w:ascii="Times New Roman" w:hAnsi="Times New Roman"/>
              </w:rPr>
              <w:t>养老保险</w:t>
            </w:r>
          </w:p>
        </w:tc>
        <w:tc>
          <w:tcPr>
            <w:tcW w:w="2508" w:type="pct"/>
            <w:shd w:val="clear" w:color="000000" w:fill="FFFFFF"/>
            <w:vAlign w:val="center"/>
          </w:tcPr>
          <w:p w14:paraId="5C7A73E5">
            <w:pPr>
              <w:pStyle w:val="72"/>
              <w:rPr>
                <w:rFonts w:ascii="Times New Roman" w:hAnsi="Times New Roman"/>
              </w:rPr>
            </w:pPr>
            <w:r>
              <w:rPr>
                <w:rFonts w:ascii="Times New Roman" w:hAnsi="Times New Roman"/>
              </w:rPr>
              <w:t>(22.25+3.384)×20%</w:t>
            </w:r>
          </w:p>
        </w:tc>
        <w:tc>
          <w:tcPr>
            <w:tcW w:w="729" w:type="pct"/>
            <w:shd w:val="clear" w:color="000000" w:fill="FFFFFF"/>
            <w:vAlign w:val="center"/>
          </w:tcPr>
          <w:p w14:paraId="60BD10E6">
            <w:pPr>
              <w:pStyle w:val="72"/>
              <w:rPr>
                <w:rFonts w:ascii="Times New Roman" w:hAnsi="Times New Roman"/>
              </w:rPr>
            </w:pPr>
            <w:r>
              <w:rPr>
                <w:rFonts w:ascii="Times New Roman" w:hAnsi="Times New Roman"/>
              </w:rPr>
              <w:t>5.127</w:t>
            </w:r>
          </w:p>
        </w:tc>
      </w:tr>
      <w:tr w14:paraId="567A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E28E81B">
            <w:pPr>
              <w:pStyle w:val="72"/>
              <w:rPr>
                <w:rFonts w:ascii="Times New Roman" w:hAnsi="Times New Roman"/>
              </w:rPr>
            </w:pPr>
            <w:r>
              <w:rPr>
                <w:rFonts w:ascii="Times New Roman" w:hAnsi="Times New Roman"/>
              </w:rPr>
              <w:t>(4)</w:t>
            </w:r>
          </w:p>
        </w:tc>
        <w:tc>
          <w:tcPr>
            <w:tcW w:w="1132" w:type="pct"/>
            <w:shd w:val="clear" w:color="000000" w:fill="FFFFFF"/>
            <w:vAlign w:val="center"/>
          </w:tcPr>
          <w:p w14:paraId="025D494D">
            <w:pPr>
              <w:pStyle w:val="72"/>
              <w:rPr>
                <w:rFonts w:ascii="Times New Roman" w:hAnsi="Times New Roman"/>
              </w:rPr>
            </w:pPr>
            <w:r>
              <w:rPr>
                <w:rFonts w:ascii="Times New Roman" w:hAnsi="Times New Roman"/>
              </w:rPr>
              <w:t>医疗保险</w:t>
            </w:r>
          </w:p>
        </w:tc>
        <w:tc>
          <w:tcPr>
            <w:tcW w:w="2508" w:type="pct"/>
            <w:shd w:val="clear" w:color="000000" w:fill="FFFFFF"/>
            <w:vAlign w:val="center"/>
          </w:tcPr>
          <w:p w14:paraId="4FD1BB41">
            <w:pPr>
              <w:pStyle w:val="72"/>
              <w:rPr>
                <w:rFonts w:ascii="Times New Roman" w:hAnsi="Times New Roman"/>
              </w:rPr>
            </w:pPr>
            <w:r>
              <w:rPr>
                <w:rFonts w:ascii="Times New Roman" w:hAnsi="Times New Roman"/>
              </w:rPr>
              <w:t>(22.25+3.384)×4%</w:t>
            </w:r>
          </w:p>
        </w:tc>
        <w:tc>
          <w:tcPr>
            <w:tcW w:w="729" w:type="pct"/>
            <w:shd w:val="clear" w:color="000000" w:fill="FFFFFF"/>
            <w:vAlign w:val="center"/>
          </w:tcPr>
          <w:p w14:paraId="3C0993DE">
            <w:pPr>
              <w:pStyle w:val="72"/>
              <w:rPr>
                <w:rFonts w:ascii="Times New Roman" w:hAnsi="Times New Roman"/>
              </w:rPr>
            </w:pPr>
            <w:r>
              <w:rPr>
                <w:rFonts w:ascii="Times New Roman" w:hAnsi="Times New Roman"/>
              </w:rPr>
              <w:t>1.025</w:t>
            </w:r>
          </w:p>
        </w:tc>
      </w:tr>
      <w:tr w14:paraId="7268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4CD44AE">
            <w:pPr>
              <w:pStyle w:val="72"/>
              <w:rPr>
                <w:rFonts w:ascii="Times New Roman" w:hAnsi="Times New Roman"/>
              </w:rPr>
            </w:pPr>
            <w:r>
              <w:rPr>
                <w:rFonts w:ascii="Times New Roman" w:hAnsi="Times New Roman"/>
              </w:rPr>
              <w:t>(5)</w:t>
            </w:r>
          </w:p>
        </w:tc>
        <w:tc>
          <w:tcPr>
            <w:tcW w:w="1132" w:type="pct"/>
            <w:shd w:val="clear" w:color="000000" w:fill="FFFFFF"/>
            <w:vAlign w:val="center"/>
          </w:tcPr>
          <w:p w14:paraId="41D08C98">
            <w:pPr>
              <w:pStyle w:val="72"/>
              <w:rPr>
                <w:rFonts w:ascii="Times New Roman" w:hAnsi="Times New Roman"/>
              </w:rPr>
            </w:pPr>
            <w:r>
              <w:rPr>
                <w:rFonts w:ascii="Times New Roman" w:hAnsi="Times New Roman"/>
              </w:rPr>
              <w:t>工伤保险费</w:t>
            </w:r>
          </w:p>
        </w:tc>
        <w:tc>
          <w:tcPr>
            <w:tcW w:w="2508" w:type="pct"/>
            <w:shd w:val="clear" w:color="000000" w:fill="FFFFFF"/>
            <w:vAlign w:val="center"/>
          </w:tcPr>
          <w:p w14:paraId="78AE84B3">
            <w:pPr>
              <w:pStyle w:val="72"/>
              <w:rPr>
                <w:rFonts w:ascii="Times New Roman" w:hAnsi="Times New Roman"/>
              </w:rPr>
            </w:pPr>
            <w:r>
              <w:rPr>
                <w:rFonts w:ascii="Times New Roman" w:hAnsi="Times New Roman"/>
              </w:rPr>
              <w:t>(22.25+3.384)×1.5%</w:t>
            </w:r>
          </w:p>
        </w:tc>
        <w:tc>
          <w:tcPr>
            <w:tcW w:w="729" w:type="pct"/>
            <w:shd w:val="clear" w:color="000000" w:fill="FFFFFF"/>
            <w:vAlign w:val="center"/>
          </w:tcPr>
          <w:p w14:paraId="5A25ACEE">
            <w:pPr>
              <w:pStyle w:val="72"/>
              <w:rPr>
                <w:rFonts w:ascii="Times New Roman" w:hAnsi="Times New Roman"/>
              </w:rPr>
            </w:pPr>
            <w:r>
              <w:rPr>
                <w:rFonts w:ascii="Times New Roman" w:hAnsi="Times New Roman"/>
              </w:rPr>
              <w:t>0.385</w:t>
            </w:r>
          </w:p>
        </w:tc>
      </w:tr>
      <w:tr w14:paraId="762F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B0E5994">
            <w:pPr>
              <w:pStyle w:val="72"/>
              <w:rPr>
                <w:rFonts w:ascii="Times New Roman" w:hAnsi="Times New Roman"/>
              </w:rPr>
            </w:pPr>
            <w:r>
              <w:rPr>
                <w:rFonts w:ascii="Times New Roman" w:hAnsi="Times New Roman"/>
              </w:rPr>
              <w:t>(6)</w:t>
            </w:r>
          </w:p>
        </w:tc>
        <w:tc>
          <w:tcPr>
            <w:tcW w:w="1132" w:type="pct"/>
            <w:shd w:val="clear" w:color="000000" w:fill="FFFFFF"/>
            <w:vAlign w:val="center"/>
          </w:tcPr>
          <w:p w14:paraId="108F40BC">
            <w:pPr>
              <w:pStyle w:val="72"/>
              <w:rPr>
                <w:rFonts w:ascii="Times New Roman" w:hAnsi="Times New Roman"/>
              </w:rPr>
            </w:pPr>
            <w:r>
              <w:rPr>
                <w:rFonts w:ascii="Times New Roman" w:hAnsi="Times New Roman"/>
              </w:rPr>
              <w:t>职工失业保险基金</w:t>
            </w:r>
          </w:p>
        </w:tc>
        <w:tc>
          <w:tcPr>
            <w:tcW w:w="2508" w:type="pct"/>
            <w:shd w:val="clear" w:color="000000" w:fill="FFFFFF"/>
            <w:vAlign w:val="center"/>
          </w:tcPr>
          <w:p w14:paraId="62B32816">
            <w:pPr>
              <w:pStyle w:val="72"/>
              <w:rPr>
                <w:rFonts w:ascii="Times New Roman" w:hAnsi="Times New Roman"/>
              </w:rPr>
            </w:pPr>
            <w:r>
              <w:rPr>
                <w:rFonts w:ascii="Times New Roman" w:hAnsi="Times New Roman"/>
              </w:rPr>
              <w:t>(22.25+3.384)×2%</w:t>
            </w:r>
          </w:p>
        </w:tc>
        <w:tc>
          <w:tcPr>
            <w:tcW w:w="729" w:type="pct"/>
            <w:shd w:val="clear" w:color="000000" w:fill="FFFFFF"/>
            <w:vAlign w:val="center"/>
          </w:tcPr>
          <w:p w14:paraId="0E15D240">
            <w:pPr>
              <w:pStyle w:val="72"/>
              <w:rPr>
                <w:rFonts w:ascii="Times New Roman" w:hAnsi="Times New Roman"/>
              </w:rPr>
            </w:pPr>
            <w:r>
              <w:rPr>
                <w:rFonts w:ascii="Times New Roman" w:hAnsi="Times New Roman"/>
              </w:rPr>
              <w:t>0.513</w:t>
            </w:r>
          </w:p>
        </w:tc>
      </w:tr>
      <w:tr w14:paraId="6188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AC850FA">
            <w:pPr>
              <w:pStyle w:val="72"/>
              <w:rPr>
                <w:rFonts w:ascii="Times New Roman" w:hAnsi="Times New Roman"/>
              </w:rPr>
            </w:pPr>
            <w:r>
              <w:rPr>
                <w:rFonts w:ascii="Times New Roman" w:hAnsi="Times New Roman"/>
              </w:rPr>
              <w:t>(7)</w:t>
            </w:r>
          </w:p>
        </w:tc>
        <w:tc>
          <w:tcPr>
            <w:tcW w:w="1132" w:type="pct"/>
            <w:shd w:val="clear" w:color="000000" w:fill="FFFFFF"/>
            <w:vAlign w:val="center"/>
          </w:tcPr>
          <w:p w14:paraId="11D74B62">
            <w:pPr>
              <w:pStyle w:val="72"/>
              <w:rPr>
                <w:rFonts w:ascii="Times New Roman" w:hAnsi="Times New Roman"/>
              </w:rPr>
            </w:pPr>
            <w:r>
              <w:rPr>
                <w:rFonts w:ascii="Times New Roman" w:hAnsi="Times New Roman"/>
              </w:rPr>
              <w:t>住房公积金</w:t>
            </w:r>
          </w:p>
        </w:tc>
        <w:tc>
          <w:tcPr>
            <w:tcW w:w="2508" w:type="pct"/>
            <w:shd w:val="clear" w:color="000000" w:fill="FFFFFF"/>
            <w:vAlign w:val="center"/>
          </w:tcPr>
          <w:p w14:paraId="0B73A9CC">
            <w:pPr>
              <w:pStyle w:val="72"/>
              <w:rPr>
                <w:rFonts w:ascii="Times New Roman" w:hAnsi="Times New Roman"/>
              </w:rPr>
            </w:pPr>
            <w:r>
              <w:rPr>
                <w:rFonts w:ascii="Times New Roman" w:hAnsi="Times New Roman"/>
              </w:rPr>
              <w:t>(22.25+3.384)×8%</w:t>
            </w:r>
          </w:p>
        </w:tc>
        <w:tc>
          <w:tcPr>
            <w:tcW w:w="729" w:type="pct"/>
            <w:shd w:val="clear" w:color="000000" w:fill="FFFFFF"/>
            <w:vAlign w:val="center"/>
          </w:tcPr>
          <w:p w14:paraId="6F45BD9D">
            <w:pPr>
              <w:pStyle w:val="72"/>
              <w:rPr>
                <w:rFonts w:ascii="Times New Roman" w:hAnsi="Times New Roman"/>
              </w:rPr>
            </w:pPr>
            <w:r>
              <w:rPr>
                <w:rFonts w:ascii="Times New Roman" w:hAnsi="Times New Roman"/>
              </w:rPr>
              <w:t>2.051</w:t>
            </w:r>
          </w:p>
        </w:tc>
      </w:tr>
      <w:tr w14:paraId="6ABF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03F4AE0">
            <w:pPr>
              <w:pStyle w:val="72"/>
              <w:rPr>
                <w:rFonts w:ascii="Times New Roman" w:hAnsi="Times New Roman"/>
              </w:rPr>
            </w:pPr>
            <w:r>
              <w:rPr>
                <w:rFonts w:ascii="Times New Roman" w:hAnsi="Times New Roman"/>
              </w:rPr>
              <w:t>4</w:t>
            </w:r>
          </w:p>
        </w:tc>
        <w:tc>
          <w:tcPr>
            <w:tcW w:w="1132" w:type="pct"/>
            <w:shd w:val="clear" w:color="000000" w:fill="FFFFFF"/>
            <w:vAlign w:val="center"/>
          </w:tcPr>
          <w:p w14:paraId="57285408">
            <w:pPr>
              <w:pStyle w:val="72"/>
              <w:rPr>
                <w:rFonts w:ascii="Times New Roman" w:hAnsi="Times New Roman"/>
              </w:rPr>
            </w:pPr>
            <w:r>
              <w:rPr>
                <w:rFonts w:ascii="Times New Roman" w:hAnsi="Times New Roman"/>
              </w:rPr>
              <w:t>人工工日预算单价</w:t>
            </w:r>
          </w:p>
        </w:tc>
        <w:tc>
          <w:tcPr>
            <w:tcW w:w="2508" w:type="pct"/>
            <w:shd w:val="clear" w:color="000000" w:fill="FFFFFF"/>
            <w:vAlign w:val="center"/>
          </w:tcPr>
          <w:p w14:paraId="412C9CE2">
            <w:pPr>
              <w:pStyle w:val="72"/>
              <w:rPr>
                <w:rFonts w:ascii="Times New Roman" w:hAnsi="Times New Roman"/>
              </w:rPr>
            </w:pPr>
            <w:r>
              <w:rPr>
                <w:rFonts w:ascii="Times New Roman" w:hAnsi="Times New Roman"/>
              </w:rPr>
              <w:t>22.25+3.384+13.203</w:t>
            </w:r>
          </w:p>
        </w:tc>
        <w:tc>
          <w:tcPr>
            <w:tcW w:w="729" w:type="pct"/>
            <w:shd w:val="clear" w:color="000000" w:fill="FFFFFF"/>
            <w:vAlign w:val="center"/>
          </w:tcPr>
          <w:p w14:paraId="678B6C1B">
            <w:pPr>
              <w:pStyle w:val="72"/>
              <w:rPr>
                <w:rFonts w:ascii="Times New Roman" w:hAnsi="Times New Roman"/>
              </w:rPr>
            </w:pPr>
            <w:r>
              <w:rPr>
                <w:rFonts w:ascii="Times New Roman" w:hAnsi="Times New Roman"/>
              </w:rPr>
              <w:t>38.84</w:t>
            </w:r>
          </w:p>
        </w:tc>
      </w:tr>
    </w:tbl>
    <w:p w14:paraId="44D9082E">
      <w:pPr>
        <w:ind w:firstLine="562"/>
        <w:rPr>
          <w:b/>
          <w:color w:val="FF0000"/>
        </w:rPr>
      </w:pPr>
    </w:p>
    <w:p w14:paraId="551B9D68">
      <w:pPr>
        <w:ind w:firstLine="562"/>
        <w:rPr>
          <w:b/>
          <w:color w:val="FF0000"/>
        </w:rPr>
      </w:pPr>
    </w:p>
    <w:p w14:paraId="1F7290AD">
      <w:pPr>
        <w:ind w:firstLine="0" w:firstLineChars="0"/>
        <w:jc w:val="right"/>
        <w:rPr>
          <w:b/>
          <w:sz w:val="21"/>
          <w:szCs w:val="21"/>
        </w:rPr>
      </w:pPr>
    </w:p>
    <w:p w14:paraId="0924F3EC">
      <w:pPr>
        <w:spacing w:line="240" w:lineRule="auto"/>
        <w:ind w:firstLine="0" w:firstLineChars="0"/>
        <w:jc w:val="right"/>
        <w:rPr>
          <w:b/>
          <w:sz w:val="21"/>
          <w:szCs w:val="21"/>
        </w:rPr>
      </w:pPr>
    </w:p>
    <w:p w14:paraId="69AE6B9D">
      <w:pPr>
        <w:spacing w:line="240" w:lineRule="auto"/>
        <w:ind w:firstLine="0" w:firstLineChars="0"/>
        <w:jc w:val="right"/>
        <w:rPr>
          <w:b/>
        </w:rPr>
      </w:pPr>
      <w:r>
        <w:rPr>
          <w:rStyle w:val="73"/>
          <w:rFonts w:ascii="Times New Roman" w:hAnsi="Times New Roman"/>
        </w:rPr>
        <w:t>表6-12材料预算价格计算表</w:t>
      </w:r>
      <w:r>
        <w:rPr>
          <w:kern w:val="0"/>
          <w:sz w:val="21"/>
          <w:szCs w:val="21"/>
        </w:rPr>
        <w:t>金额：元</w:t>
      </w:r>
    </w:p>
    <w:tbl>
      <w:tblPr>
        <w:tblStyle w:val="42"/>
        <w:tblW w:w="51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3046"/>
        <w:gridCol w:w="974"/>
        <w:gridCol w:w="1577"/>
        <w:gridCol w:w="1848"/>
        <w:gridCol w:w="1377"/>
      </w:tblGrid>
      <w:tr w14:paraId="07A4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shd w:val="clear" w:color="000000" w:fill="FFFFFF"/>
          </w:tcPr>
          <w:p w14:paraId="63635FCB">
            <w:pPr>
              <w:pStyle w:val="72"/>
              <w:rPr>
                <w:rFonts w:hint="eastAsia"/>
              </w:rPr>
            </w:pPr>
            <w:r>
              <w:t>序号</w:t>
            </w:r>
          </w:p>
        </w:tc>
        <w:tc>
          <w:tcPr>
            <w:tcW w:w="1545" w:type="pct"/>
            <w:shd w:val="clear" w:color="000000" w:fill="FFFFFF"/>
          </w:tcPr>
          <w:p w14:paraId="765ECEF3">
            <w:pPr>
              <w:pStyle w:val="72"/>
              <w:rPr>
                <w:rFonts w:hint="eastAsia"/>
              </w:rPr>
            </w:pPr>
            <w:r>
              <w:t>名称及规格</w:t>
            </w:r>
          </w:p>
        </w:tc>
        <w:tc>
          <w:tcPr>
            <w:tcW w:w="494" w:type="pct"/>
            <w:shd w:val="clear" w:color="000000" w:fill="FFFFFF"/>
          </w:tcPr>
          <w:p w14:paraId="2E36492C">
            <w:pPr>
              <w:pStyle w:val="72"/>
              <w:rPr>
                <w:rFonts w:hint="eastAsia"/>
              </w:rPr>
            </w:pPr>
            <w:r>
              <w:t>单位</w:t>
            </w:r>
          </w:p>
        </w:tc>
        <w:tc>
          <w:tcPr>
            <w:tcW w:w="800" w:type="pct"/>
            <w:shd w:val="clear" w:color="000000" w:fill="FFFFFF"/>
          </w:tcPr>
          <w:p w14:paraId="73A1F16D">
            <w:pPr>
              <w:pStyle w:val="72"/>
              <w:rPr>
                <w:rFonts w:hint="eastAsia"/>
              </w:rPr>
            </w:pPr>
            <w:r>
              <w:t>限价</w:t>
            </w:r>
          </w:p>
        </w:tc>
        <w:tc>
          <w:tcPr>
            <w:tcW w:w="937" w:type="pct"/>
            <w:shd w:val="clear" w:color="000000" w:fill="FFFFFF"/>
          </w:tcPr>
          <w:p w14:paraId="26B7D7A3">
            <w:pPr>
              <w:pStyle w:val="72"/>
              <w:rPr>
                <w:rFonts w:hint="eastAsia"/>
              </w:rPr>
            </w:pPr>
            <w:r>
              <w:t>预算价格</w:t>
            </w:r>
          </w:p>
        </w:tc>
        <w:tc>
          <w:tcPr>
            <w:tcW w:w="698" w:type="pct"/>
            <w:shd w:val="clear" w:color="000000" w:fill="FFFFFF"/>
          </w:tcPr>
          <w:p w14:paraId="75D85790">
            <w:pPr>
              <w:pStyle w:val="72"/>
              <w:rPr>
                <w:rFonts w:hint="eastAsia"/>
              </w:rPr>
            </w:pPr>
            <w:r>
              <w:t>材料价差</w:t>
            </w:r>
          </w:p>
        </w:tc>
      </w:tr>
      <w:tr w14:paraId="0A16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shd w:val="clear" w:color="000000" w:fill="FFFFFF"/>
            <w:vAlign w:val="center"/>
          </w:tcPr>
          <w:p w14:paraId="3D0DF753">
            <w:pPr>
              <w:pStyle w:val="72"/>
              <w:rPr>
                <w:rFonts w:hint="eastAsia"/>
              </w:rPr>
            </w:pPr>
            <w:r>
              <w:t>1</w:t>
            </w:r>
          </w:p>
        </w:tc>
        <w:tc>
          <w:tcPr>
            <w:tcW w:w="1545" w:type="pct"/>
            <w:shd w:val="clear" w:color="000000" w:fill="FFFFFF"/>
            <w:vAlign w:val="bottom"/>
          </w:tcPr>
          <w:p w14:paraId="5BD5F93A">
            <w:pPr>
              <w:pStyle w:val="72"/>
              <w:rPr>
                <w:rFonts w:hint="eastAsia"/>
              </w:rPr>
            </w:pPr>
            <w:r>
              <w:rPr>
                <w:rFonts w:hint="eastAsia"/>
              </w:rPr>
              <w:t>柴油</w:t>
            </w:r>
          </w:p>
        </w:tc>
        <w:tc>
          <w:tcPr>
            <w:tcW w:w="494" w:type="pct"/>
            <w:shd w:val="clear" w:color="000000" w:fill="FFFFFF"/>
            <w:vAlign w:val="bottom"/>
          </w:tcPr>
          <w:p w14:paraId="3AC70A40">
            <w:pPr>
              <w:pStyle w:val="72"/>
              <w:rPr>
                <w:rFonts w:hint="eastAsia"/>
              </w:rPr>
            </w:pPr>
            <w:r>
              <w:t>kg</w:t>
            </w:r>
          </w:p>
        </w:tc>
        <w:tc>
          <w:tcPr>
            <w:tcW w:w="800" w:type="pct"/>
            <w:shd w:val="clear" w:color="000000" w:fill="FFFFFF"/>
            <w:vAlign w:val="bottom"/>
          </w:tcPr>
          <w:p w14:paraId="00E10D79">
            <w:pPr>
              <w:pStyle w:val="72"/>
              <w:rPr>
                <w:rFonts w:hint="eastAsia" w:eastAsia="仿宋"/>
                <w:lang w:eastAsia="zh-CN"/>
              </w:rPr>
            </w:pPr>
            <w:r>
              <w:t>4.50</w:t>
            </w:r>
          </w:p>
        </w:tc>
        <w:tc>
          <w:tcPr>
            <w:tcW w:w="937" w:type="pct"/>
            <w:shd w:val="clear" w:color="000000" w:fill="FFFFFF"/>
            <w:vAlign w:val="bottom"/>
          </w:tcPr>
          <w:p w14:paraId="54CE94BA">
            <w:pPr>
              <w:pStyle w:val="72"/>
              <w:rPr>
                <w:rFonts w:hint="eastAsia" w:eastAsia="仿宋"/>
                <w:lang w:eastAsia="zh-CN"/>
              </w:rPr>
            </w:pPr>
            <w:r>
              <w:t>8.14</w:t>
            </w:r>
          </w:p>
        </w:tc>
        <w:tc>
          <w:tcPr>
            <w:tcW w:w="698" w:type="pct"/>
            <w:shd w:val="clear" w:color="000000" w:fill="FFFFFF"/>
            <w:vAlign w:val="bottom"/>
          </w:tcPr>
          <w:p w14:paraId="142C7F23">
            <w:pPr>
              <w:pStyle w:val="72"/>
              <w:rPr>
                <w:rFonts w:hint="eastAsia" w:eastAsia="仿宋"/>
                <w:lang w:eastAsia="zh-CN"/>
              </w:rPr>
            </w:pPr>
            <w:r>
              <w:t>3.64</w:t>
            </w:r>
          </w:p>
        </w:tc>
      </w:tr>
      <w:tr w14:paraId="085A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shd w:val="clear" w:color="000000" w:fill="FFFFFF"/>
            <w:vAlign w:val="center"/>
          </w:tcPr>
          <w:p w14:paraId="0DBBD904">
            <w:pPr>
              <w:pStyle w:val="72"/>
              <w:rPr>
                <w:rFonts w:hint="eastAsia"/>
              </w:rPr>
            </w:pPr>
            <w:r>
              <w:t>2</w:t>
            </w:r>
          </w:p>
        </w:tc>
        <w:tc>
          <w:tcPr>
            <w:tcW w:w="1545" w:type="pct"/>
            <w:shd w:val="clear" w:color="000000" w:fill="FFFFFF"/>
            <w:vAlign w:val="bottom"/>
          </w:tcPr>
          <w:p w14:paraId="7A813495">
            <w:pPr>
              <w:pStyle w:val="72"/>
              <w:rPr>
                <w:rFonts w:hint="eastAsia"/>
              </w:rPr>
            </w:pPr>
            <w:r>
              <w:rPr>
                <w:rFonts w:hint="eastAsia"/>
              </w:rPr>
              <w:t>汽油</w:t>
            </w:r>
          </w:p>
        </w:tc>
        <w:tc>
          <w:tcPr>
            <w:tcW w:w="494" w:type="pct"/>
            <w:shd w:val="clear" w:color="000000" w:fill="FFFFFF"/>
            <w:vAlign w:val="bottom"/>
          </w:tcPr>
          <w:p w14:paraId="49CB38EE">
            <w:pPr>
              <w:pStyle w:val="72"/>
              <w:rPr>
                <w:rFonts w:hint="eastAsia"/>
              </w:rPr>
            </w:pPr>
          </w:p>
        </w:tc>
        <w:tc>
          <w:tcPr>
            <w:tcW w:w="800" w:type="pct"/>
            <w:shd w:val="clear" w:color="000000" w:fill="FFFFFF"/>
            <w:vAlign w:val="bottom"/>
          </w:tcPr>
          <w:p w14:paraId="1453E598">
            <w:pPr>
              <w:pStyle w:val="72"/>
              <w:rPr>
                <w:rFonts w:hint="eastAsia" w:eastAsia="仿宋"/>
                <w:lang w:eastAsia="zh-CN"/>
              </w:rPr>
            </w:pPr>
            <w:r>
              <w:t>5.00</w:t>
            </w:r>
          </w:p>
        </w:tc>
        <w:tc>
          <w:tcPr>
            <w:tcW w:w="937" w:type="pct"/>
            <w:shd w:val="clear" w:color="000000" w:fill="FFFFFF"/>
            <w:vAlign w:val="bottom"/>
          </w:tcPr>
          <w:p w14:paraId="719BB79B">
            <w:pPr>
              <w:pStyle w:val="72"/>
              <w:rPr>
                <w:rFonts w:hint="eastAsia" w:eastAsia="仿宋"/>
                <w:lang w:eastAsia="zh-CN"/>
              </w:rPr>
            </w:pPr>
            <w:r>
              <w:t>9.06</w:t>
            </w:r>
          </w:p>
        </w:tc>
        <w:tc>
          <w:tcPr>
            <w:tcW w:w="698" w:type="pct"/>
            <w:shd w:val="clear" w:color="000000" w:fill="FFFFFF"/>
            <w:vAlign w:val="bottom"/>
          </w:tcPr>
          <w:p w14:paraId="7DDFA8C5">
            <w:pPr>
              <w:pStyle w:val="72"/>
              <w:rPr>
                <w:rFonts w:hint="eastAsia" w:eastAsia="仿宋"/>
                <w:lang w:eastAsia="zh-CN"/>
              </w:rPr>
            </w:pPr>
            <w:r>
              <w:t>4.06</w:t>
            </w:r>
          </w:p>
        </w:tc>
      </w:tr>
      <w:tr w14:paraId="68E1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shd w:val="clear" w:color="000000" w:fill="FFFFFF"/>
            <w:vAlign w:val="center"/>
          </w:tcPr>
          <w:p w14:paraId="14795644">
            <w:pPr>
              <w:pStyle w:val="72"/>
              <w:rPr>
                <w:rFonts w:hint="eastAsia"/>
              </w:rPr>
            </w:pPr>
            <w:r>
              <w:t>3</w:t>
            </w:r>
          </w:p>
        </w:tc>
        <w:tc>
          <w:tcPr>
            <w:tcW w:w="1545" w:type="pct"/>
            <w:shd w:val="clear" w:color="000000" w:fill="FFFFFF"/>
            <w:vAlign w:val="bottom"/>
          </w:tcPr>
          <w:p w14:paraId="0DEF2674">
            <w:pPr>
              <w:pStyle w:val="72"/>
              <w:rPr>
                <w:rFonts w:hint="eastAsia"/>
              </w:rPr>
            </w:pPr>
            <w:r>
              <w:t>电</w:t>
            </w:r>
          </w:p>
        </w:tc>
        <w:tc>
          <w:tcPr>
            <w:tcW w:w="494" w:type="pct"/>
            <w:shd w:val="clear" w:color="000000" w:fill="FFFFFF"/>
            <w:vAlign w:val="bottom"/>
          </w:tcPr>
          <w:p w14:paraId="2AA2E903">
            <w:pPr>
              <w:pStyle w:val="72"/>
              <w:rPr>
                <w:rFonts w:hint="eastAsia"/>
              </w:rPr>
            </w:pPr>
            <w:r>
              <w:t>度</w:t>
            </w:r>
          </w:p>
        </w:tc>
        <w:tc>
          <w:tcPr>
            <w:tcW w:w="800" w:type="pct"/>
            <w:shd w:val="clear" w:color="000000" w:fill="FFFFFF"/>
            <w:vAlign w:val="bottom"/>
          </w:tcPr>
          <w:p w14:paraId="46D1ECC2">
            <w:pPr>
              <w:pStyle w:val="72"/>
              <w:rPr>
                <w:rFonts w:hint="eastAsia"/>
              </w:rPr>
            </w:pPr>
            <w:r>
              <w:t>　</w:t>
            </w:r>
          </w:p>
        </w:tc>
        <w:tc>
          <w:tcPr>
            <w:tcW w:w="937" w:type="pct"/>
            <w:shd w:val="clear" w:color="000000" w:fill="FFFFFF"/>
            <w:vAlign w:val="bottom"/>
          </w:tcPr>
          <w:p w14:paraId="7E74B20E">
            <w:pPr>
              <w:pStyle w:val="72"/>
              <w:rPr>
                <w:rFonts w:hint="eastAsia"/>
              </w:rPr>
            </w:pPr>
            <w:r>
              <w:t>0.5</w:t>
            </w:r>
          </w:p>
        </w:tc>
        <w:tc>
          <w:tcPr>
            <w:tcW w:w="698" w:type="pct"/>
            <w:shd w:val="clear" w:color="000000" w:fill="FFFFFF"/>
            <w:vAlign w:val="bottom"/>
          </w:tcPr>
          <w:p w14:paraId="5DDFAC49">
            <w:pPr>
              <w:pStyle w:val="72"/>
              <w:rPr>
                <w:rFonts w:hint="eastAsia"/>
              </w:rPr>
            </w:pPr>
          </w:p>
        </w:tc>
      </w:tr>
      <w:tr w14:paraId="67DD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shd w:val="clear" w:color="000000" w:fill="FFFFFF"/>
            <w:vAlign w:val="center"/>
          </w:tcPr>
          <w:p w14:paraId="2577878B">
            <w:pPr>
              <w:pStyle w:val="72"/>
              <w:rPr>
                <w:rFonts w:hint="eastAsia"/>
              </w:rPr>
            </w:pPr>
            <w:r>
              <w:t>4</w:t>
            </w:r>
          </w:p>
        </w:tc>
        <w:tc>
          <w:tcPr>
            <w:tcW w:w="1545" w:type="pct"/>
            <w:shd w:val="clear" w:color="000000" w:fill="FFFFFF"/>
            <w:vAlign w:val="bottom"/>
          </w:tcPr>
          <w:p w14:paraId="7597ADCB">
            <w:pPr>
              <w:pStyle w:val="72"/>
              <w:rPr>
                <w:rFonts w:hint="eastAsia"/>
              </w:rPr>
            </w:pPr>
            <w:r>
              <w:t>风</w:t>
            </w:r>
          </w:p>
        </w:tc>
        <w:tc>
          <w:tcPr>
            <w:tcW w:w="494" w:type="pct"/>
            <w:shd w:val="clear" w:color="000000" w:fill="FFFFFF"/>
            <w:vAlign w:val="center"/>
          </w:tcPr>
          <w:p w14:paraId="56F33DD4">
            <w:pPr>
              <w:pStyle w:val="72"/>
              <w:rPr>
                <w:rFonts w:hint="eastAsia"/>
              </w:rPr>
            </w:pPr>
            <w:r>
              <w:rPr>
                <w:rFonts w:hint="eastAsia"/>
              </w:rPr>
              <w:t>m</w:t>
            </w:r>
            <w:r>
              <w:t>³</w:t>
            </w:r>
          </w:p>
        </w:tc>
        <w:tc>
          <w:tcPr>
            <w:tcW w:w="800" w:type="pct"/>
            <w:shd w:val="clear" w:color="000000" w:fill="FFFFFF"/>
            <w:vAlign w:val="bottom"/>
          </w:tcPr>
          <w:p w14:paraId="4C97DC3C">
            <w:pPr>
              <w:pStyle w:val="72"/>
              <w:rPr>
                <w:rFonts w:hint="eastAsia"/>
              </w:rPr>
            </w:pPr>
            <w:r>
              <w:t>　</w:t>
            </w:r>
          </w:p>
        </w:tc>
        <w:tc>
          <w:tcPr>
            <w:tcW w:w="937" w:type="pct"/>
            <w:shd w:val="clear" w:color="000000" w:fill="FFFFFF"/>
            <w:vAlign w:val="bottom"/>
          </w:tcPr>
          <w:p w14:paraId="78E8CB0D">
            <w:pPr>
              <w:pStyle w:val="72"/>
              <w:rPr>
                <w:rFonts w:hint="eastAsia"/>
              </w:rPr>
            </w:pPr>
            <w:r>
              <w:t>0.1</w:t>
            </w:r>
          </w:p>
        </w:tc>
        <w:tc>
          <w:tcPr>
            <w:tcW w:w="698" w:type="pct"/>
            <w:shd w:val="clear" w:color="000000" w:fill="FFFFFF"/>
            <w:vAlign w:val="bottom"/>
          </w:tcPr>
          <w:p w14:paraId="15C2A916">
            <w:pPr>
              <w:pStyle w:val="72"/>
              <w:rPr>
                <w:rFonts w:hint="eastAsia"/>
              </w:rPr>
            </w:pPr>
          </w:p>
        </w:tc>
      </w:tr>
      <w:tr w14:paraId="023F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shd w:val="clear" w:color="000000" w:fill="FFFFFF"/>
            <w:vAlign w:val="center"/>
          </w:tcPr>
          <w:p w14:paraId="356F49BB">
            <w:pPr>
              <w:pStyle w:val="72"/>
              <w:rPr>
                <w:rFonts w:hint="eastAsia"/>
              </w:rPr>
            </w:pPr>
            <w:r>
              <w:t>5</w:t>
            </w:r>
          </w:p>
        </w:tc>
        <w:tc>
          <w:tcPr>
            <w:tcW w:w="1545" w:type="pct"/>
            <w:shd w:val="clear" w:color="000000" w:fill="FFFFFF"/>
            <w:vAlign w:val="bottom"/>
          </w:tcPr>
          <w:p w14:paraId="096C4F32">
            <w:pPr>
              <w:pStyle w:val="72"/>
              <w:rPr>
                <w:rFonts w:hint="eastAsia"/>
              </w:rPr>
            </w:pPr>
            <w:r>
              <w:t>树苗（</w:t>
            </w:r>
            <w:r>
              <w:rPr>
                <w:rFonts w:hint="eastAsia"/>
                <w:lang w:eastAsia="zh-CN"/>
              </w:rPr>
              <w:t>落叶松</w:t>
            </w:r>
            <w:r>
              <w:t>）</w:t>
            </w:r>
          </w:p>
        </w:tc>
        <w:tc>
          <w:tcPr>
            <w:tcW w:w="494" w:type="pct"/>
            <w:shd w:val="clear" w:color="000000" w:fill="FFFFFF"/>
            <w:vAlign w:val="bottom"/>
          </w:tcPr>
          <w:p w14:paraId="1B26F6DA">
            <w:pPr>
              <w:pStyle w:val="72"/>
              <w:rPr>
                <w:rFonts w:hint="eastAsia"/>
              </w:rPr>
            </w:pPr>
            <w:r>
              <w:t>株</w:t>
            </w:r>
          </w:p>
        </w:tc>
        <w:tc>
          <w:tcPr>
            <w:tcW w:w="800" w:type="pct"/>
            <w:shd w:val="clear" w:color="000000" w:fill="FFFFFF"/>
            <w:vAlign w:val="bottom"/>
          </w:tcPr>
          <w:p w14:paraId="40D8B9D3">
            <w:pPr>
              <w:pStyle w:val="72"/>
              <w:rPr>
                <w:rFonts w:hint="eastAsia" w:eastAsia="仿宋"/>
                <w:lang w:eastAsia="zh-CN"/>
              </w:rPr>
            </w:pPr>
            <w:r>
              <w:t>5.00</w:t>
            </w:r>
          </w:p>
        </w:tc>
        <w:tc>
          <w:tcPr>
            <w:tcW w:w="937" w:type="pct"/>
            <w:shd w:val="clear" w:color="000000" w:fill="FFFFFF"/>
            <w:vAlign w:val="bottom"/>
          </w:tcPr>
          <w:p w14:paraId="555DA912">
            <w:pPr>
              <w:pStyle w:val="72"/>
              <w:rPr>
                <w:rFonts w:hint="eastAsia"/>
              </w:rPr>
            </w:pPr>
            <w:r>
              <w:t>10</w:t>
            </w:r>
          </w:p>
        </w:tc>
        <w:tc>
          <w:tcPr>
            <w:tcW w:w="698" w:type="pct"/>
            <w:shd w:val="clear" w:color="000000" w:fill="FFFFFF"/>
            <w:vAlign w:val="bottom"/>
          </w:tcPr>
          <w:p w14:paraId="052BF414">
            <w:pPr>
              <w:pStyle w:val="72"/>
              <w:rPr>
                <w:rFonts w:hint="eastAsia"/>
              </w:rPr>
            </w:pPr>
            <w:r>
              <w:t>0.00</w:t>
            </w:r>
          </w:p>
        </w:tc>
      </w:tr>
      <w:tr w14:paraId="42CB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shd w:val="clear" w:color="000000" w:fill="FFFFFF"/>
            <w:vAlign w:val="center"/>
          </w:tcPr>
          <w:p w14:paraId="64BCCC50">
            <w:pPr>
              <w:pStyle w:val="72"/>
              <w:rPr>
                <w:rFonts w:hint="eastAsia" w:eastAsia="仿宋"/>
                <w:lang w:eastAsia="zh-CN"/>
              </w:rPr>
            </w:pPr>
            <w:r>
              <w:rPr>
                <w:rFonts w:hint="eastAsia"/>
                <w:lang w:val="en-US" w:eastAsia="zh-CN"/>
              </w:rPr>
              <w:t>6</w:t>
            </w:r>
          </w:p>
        </w:tc>
        <w:tc>
          <w:tcPr>
            <w:tcW w:w="1545" w:type="pct"/>
            <w:shd w:val="clear" w:color="000000" w:fill="FFFFFF"/>
            <w:vAlign w:val="center"/>
          </w:tcPr>
          <w:p w14:paraId="39F70B2E">
            <w:pPr>
              <w:pStyle w:val="72"/>
              <w:rPr>
                <w:rFonts w:hint="eastAsia"/>
              </w:rPr>
            </w:pPr>
            <w:r>
              <w:t>合金钻头</w:t>
            </w:r>
          </w:p>
        </w:tc>
        <w:tc>
          <w:tcPr>
            <w:tcW w:w="494" w:type="pct"/>
            <w:shd w:val="clear" w:color="000000" w:fill="FFFFFF"/>
            <w:vAlign w:val="center"/>
          </w:tcPr>
          <w:p w14:paraId="5574AFB0">
            <w:pPr>
              <w:pStyle w:val="72"/>
              <w:rPr>
                <w:rFonts w:hint="eastAsia"/>
              </w:rPr>
            </w:pPr>
            <w:r>
              <w:t>个</w:t>
            </w:r>
          </w:p>
        </w:tc>
        <w:tc>
          <w:tcPr>
            <w:tcW w:w="800" w:type="pct"/>
            <w:shd w:val="clear" w:color="000000" w:fill="FFFFFF"/>
            <w:vAlign w:val="bottom"/>
          </w:tcPr>
          <w:p w14:paraId="7884D3D1">
            <w:pPr>
              <w:pStyle w:val="72"/>
              <w:rPr>
                <w:rFonts w:hint="eastAsia"/>
              </w:rPr>
            </w:pPr>
            <w:r>
              <w:t>　</w:t>
            </w:r>
          </w:p>
        </w:tc>
        <w:tc>
          <w:tcPr>
            <w:tcW w:w="937" w:type="pct"/>
            <w:shd w:val="clear" w:color="000000" w:fill="FFFFFF"/>
            <w:vAlign w:val="center"/>
          </w:tcPr>
          <w:p w14:paraId="1ABEF3D0">
            <w:pPr>
              <w:pStyle w:val="72"/>
              <w:rPr>
                <w:rFonts w:hint="eastAsia"/>
              </w:rPr>
            </w:pPr>
            <w:r>
              <w:rPr>
                <w:rFonts w:hint="eastAsia"/>
              </w:rPr>
              <w:t>130</w:t>
            </w:r>
          </w:p>
        </w:tc>
        <w:tc>
          <w:tcPr>
            <w:tcW w:w="698" w:type="pct"/>
            <w:shd w:val="clear" w:color="000000" w:fill="FFFFFF"/>
            <w:vAlign w:val="center"/>
          </w:tcPr>
          <w:p w14:paraId="2A9C21D8">
            <w:pPr>
              <w:pStyle w:val="72"/>
              <w:rPr>
                <w:rFonts w:hint="eastAsia"/>
              </w:rPr>
            </w:pPr>
          </w:p>
        </w:tc>
      </w:tr>
      <w:tr w14:paraId="17A6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shd w:val="clear" w:color="000000" w:fill="FFFFFF"/>
            <w:vAlign w:val="center"/>
          </w:tcPr>
          <w:p w14:paraId="0692A2DA">
            <w:pPr>
              <w:pStyle w:val="72"/>
              <w:rPr>
                <w:rFonts w:hint="eastAsia" w:eastAsia="仿宋"/>
                <w:lang w:eastAsia="zh-CN"/>
              </w:rPr>
            </w:pPr>
            <w:r>
              <w:rPr>
                <w:rFonts w:hint="eastAsia"/>
                <w:lang w:val="en-US" w:eastAsia="zh-CN"/>
              </w:rPr>
              <w:t>7</w:t>
            </w:r>
          </w:p>
        </w:tc>
        <w:tc>
          <w:tcPr>
            <w:tcW w:w="1545" w:type="pct"/>
            <w:shd w:val="clear" w:color="000000" w:fill="FFFFFF"/>
            <w:vAlign w:val="bottom"/>
          </w:tcPr>
          <w:p w14:paraId="427E3E71">
            <w:pPr>
              <w:pStyle w:val="72"/>
              <w:rPr>
                <w:rFonts w:hint="eastAsia"/>
              </w:rPr>
            </w:pPr>
            <w:r>
              <w:t>空心钢</w:t>
            </w:r>
          </w:p>
        </w:tc>
        <w:tc>
          <w:tcPr>
            <w:tcW w:w="494" w:type="pct"/>
            <w:shd w:val="clear" w:color="000000" w:fill="FFFFFF"/>
            <w:vAlign w:val="bottom"/>
          </w:tcPr>
          <w:p w14:paraId="002E4634">
            <w:pPr>
              <w:pStyle w:val="72"/>
              <w:rPr>
                <w:rFonts w:hint="eastAsia"/>
              </w:rPr>
            </w:pPr>
            <w:r>
              <w:t>kg</w:t>
            </w:r>
          </w:p>
        </w:tc>
        <w:tc>
          <w:tcPr>
            <w:tcW w:w="800" w:type="pct"/>
            <w:shd w:val="clear" w:color="000000" w:fill="FFFFFF"/>
            <w:vAlign w:val="bottom"/>
          </w:tcPr>
          <w:p w14:paraId="0A47E181">
            <w:pPr>
              <w:pStyle w:val="72"/>
              <w:rPr>
                <w:rFonts w:hint="eastAsia"/>
              </w:rPr>
            </w:pPr>
            <w:r>
              <w:t>　</w:t>
            </w:r>
          </w:p>
        </w:tc>
        <w:tc>
          <w:tcPr>
            <w:tcW w:w="937" w:type="pct"/>
            <w:shd w:val="clear" w:color="000000" w:fill="FFFFFF"/>
            <w:vAlign w:val="bottom"/>
          </w:tcPr>
          <w:p w14:paraId="02A2D694">
            <w:pPr>
              <w:pStyle w:val="72"/>
              <w:rPr>
                <w:rFonts w:hint="eastAsia" w:eastAsia="仿宋"/>
                <w:lang w:eastAsia="zh-CN"/>
              </w:rPr>
            </w:pPr>
            <w:r>
              <w:t>4.50</w:t>
            </w:r>
          </w:p>
        </w:tc>
        <w:tc>
          <w:tcPr>
            <w:tcW w:w="698" w:type="pct"/>
            <w:shd w:val="clear" w:color="000000" w:fill="FFFFFF"/>
            <w:vAlign w:val="center"/>
          </w:tcPr>
          <w:p w14:paraId="3C0E9CE9">
            <w:pPr>
              <w:pStyle w:val="72"/>
              <w:rPr>
                <w:rFonts w:hint="eastAsia"/>
              </w:rPr>
            </w:pPr>
          </w:p>
        </w:tc>
      </w:tr>
      <w:tr w14:paraId="2967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shd w:val="clear" w:color="000000" w:fill="FFFFFF"/>
            <w:vAlign w:val="center"/>
          </w:tcPr>
          <w:p w14:paraId="65D2D1B8">
            <w:pPr>
              <w:pStyle w:val="72"/>
              <w:rPr>
                <w:rFonts w:hint="eastAsia" w:eastAsia="仿宋"/>
                <w:lang w:eastAsia="zh-CN"/>
              </w:rPr>
            </w:pPr>
            <w:r>
              <w:rPr>
                <w:rFonts w:hint="eastAsia"/>
                <w:lang w:val="en-US" w:eastAsia="zh-CN"/>
              </w:rPr>
              <w:t>8</w:t>
            </w:r>
          </w:p>
        </w:tc>
        <w:tc>
          <w:tcPr>
            <w:tcW w:w="1545" w:type="pct"/>
            <w:shd w:val="clear" w:color="000000" w:fill="FFFFFF"/>
            <w:vAlign w:val="bottom"/>
          </w:tcPr>
          <w:p w14:paraId="63C45BC7">
            <w:pPr>
              <w:pStyle w:val="72"/>
              <w:rPr>
                <w:rFonts w:hint="eastAsia"/>
              </w:rPr>
            </w:pPr>
            <w:r>
              <w:t>炸药</w:t>
            </w:r>
          </w:p>
        </w:tc>
        <w:tc>
          <w:tcPr>
            <w:tcW w:w="494" w:type="pct"/>
            <w:shd w:val="clear" w:color="000000" w:fill="FFFFFF"/>
            <w:vAlign w:val="bottom"/>
          </w:tcPr>
          <w:p w14:paraId="7F01DC9F">
            <w:pPr>
              <w:pStyle w:val="72"/>
              <w:rPr>
                <w:rFonts w:hint="eastAsia"/>
              </w:rPr>
            </w:pPr>
            <w:r>
              <w:t>kg</w:t>
            </w:r>
          </w:p>
        </w:tc>
        <w:tc>
          <w:tcPr>
            <w:tcW w:w="800" w:type="pct"/>
            <w:shd w:val="clear" w:color="000000" w:fill="FFFFFF"/>
            <w:vAlign w:val="bottom"/>
          </w:tcPr>
          <w:p w14:paraId="0579BF38">
            <w:pPr>
              <w:pStyle w:val="72"/>
              <w:rPr>
                <w:rFonts w:hint="eastAsia"/>
              </w:rPr>
            </w:pPr>
            <w:r>
              <w:t>　</w:t>
            </w:r>
          </w:p>
        </w:tc>
        <w:tc>
          <w:tcPr>
            <w:tcW w:w="937" w:type="pct"/>
            <w:shd w:val="clear" w:color="000000" w:fill="FFFFFF"/>
            <w:vAlign w:val="bottom"/>
          </w:tcPr>
          <w:p w14:paraId="2AA979C6">
            <w:pPr>
              <w:pStyle w:val="72"/>
              <w:rPr>
                <w:rFonts w:hint="eastAsia" w:eastAsia="仿宋"/>
                <w:lang w:eastAsia="zh-CN"/>
              </w:rPr>
            </w:pPr>
            <w:r>
              <w:t>14.00</w:t>
            </w:r>
          </w:p>
        </w:tc>
        <w:tc>
          <w:tcPr>
            <w:tcW w:w="698" w:type="pct"/>
            <w:shd w:val="clear" w:color="000000" w:fill="FFFFFF"/>
            <w:vAlign w:val="center"/>
          </w:tcPr>
          <w:p w14:paraId="42B15DC6">
            <w:pPr>
              <w:pStyle w:val="72"/>
              <w:rPr>
                <w:rFonts w:hint="eastAsia"/>
              </w:rPr>
            </w:pPr>
          </w:p>
        </w:tc>
      </w:tr>
      <w:tr w14:paraId="5AF0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shd w:val="clear" w:color="000000" w:fill="FFFFFF"/>
            <w:vAlign w:val="center"/>
          </w:tcPr>
          <w:p w14:paraId="785A4EDC">
            <w:pPr>
              <w:pStyle w:val="72"/>
              <w:rPr>
                <w:rFonts w:hint="eastAsia" w:eastAsia="仿宋"/>
                <w:lang w:eastAsia="zh-CN"/>
              </w:rPr>
            </w:pPr>
            <w:r>
              <w:rPr>
                <w:rFonts w:hint="eastAsia"/>
                <w:lang w:val="en-US" w:eastAsia="zh-CN"/>
              </w:rPr>
              <w:t>9</w:t>
            </w:r>
          </w:p>
        </w:tc>
        <w:tc>
          <w:tcPr>
            <w:tcW w:w="1545" w:type="pct"/>
            <w:shd w:val="clear" w:color="000000" w:fill="FFFFFF"/>
            <w:vAlign w:val="bottom"/>
          </w:tcPr>
          <w:p w14:paraId="3B904AFA">
            <w:pPr>
              <w:pStyle w:val="72"/>
              <w:rPr>
                <w:rFonts w:hint="eastAsia"/>
              </w:rPr>
            </w:pPr>
            <w:r>
              <w:t>电雷管</w:t>
            </w:r>
          </w:p>
        </w:tc>
        <w:tc>
          <w:tcPr>
            <w:tcW w:w="494" w:type="pct"/>
            <w:shd w:val="clear" w:color="000000" w:fill="FFFFFF"/>
            <w:vAlign w:val="bottom"/>
          </w:tcPr>
          <w:p w14:paraId="299938CE">
            <w:pPr>
              <w:pStyle w:val="72"/>
              <w:rPr>
                <w:rFonts w:hint="eastAsia"/>
              </w:rPr>
            </w:pPr>
            <w:r>
              <w:t>个</w:t>
            </w:r>
          </w:p>
        </w:tc>
        <w:tc>
          <w:tcPr>
            <w:tcW w:w="800" w:type="pct"/>
            <w:shd w:val="clear" w:color="000000" w:fill="FFFFFF"/>
            <w:vAlign w:val="bottom"/>
          </w:tcPr>
          <w:p w14:paraId="76250475">
            <w:pPr>
              <w:pStyle w:val="72"/>
              <w:rPr>
                <w:rFonts w:hint="eastAsia"/>
              </w:rPr>
            </w:pPr>
            <w:r>
              <w:t>　</w:t>
            </w:r>
          </w:p>
        </w:tc>
        <w:tc>
          <w:tcPr>
            <w:tcW w:w="937" w:type="pct"/>
            <w:shd w:val="clear" w:color="000000" w:fill="FFFFFF"/>
            <w:vAlign w:val="bottom"/>
          </w:tcPr>
          <w:p w14:paraId="0529039B">
            <w:pPr>
              <w:pStyle w:val="72"/>
              <w:rPr>
                <w:rFonts w:hint="eastAsia" w:eastAsia="仿宋"/>
                <w:lang w:eastAsia="zh-CN"/>
              </w:rPr>
            </w:pPr>
            <w:r>
              <w:t>2.00</w:t>
            </w:r>
          </w:p>
        </w:tc>
        <w:tc>
          <w:tcPr>
            <w:tcW w:w="698" w:type="pct"/>
            <w:shd w:val="clear" w:color="000000" w:fill="FFFFFF"/>
            <w:vAlign w:val="center"/>
          </w:tcPr>
          <w:p w14:paraId="117BF19B">
            <w:pPr>
              <w:pStyle w:val="72"/>
              <w:rPr>
                <w:rFonts w:hint="eastAsia"/>
              </w:rPr>
            </w:pPr>
          </w:p>
        </w:tc>
      </w:tr>
      <w:tr w14:paraId="36C7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shd w:val="clear" w:color="000000" w:fill="FFFFFF"/>
            <w:vAlign w:val="center"/>
          </w:tcPr>
          <w:p w14:paraId="5849CFAE">
            <w:pPr>
              <w:pStyle w:val="72"/>
              <w:rPr>
                <w:rFonts w:hint="default" w:eastAsia="仿宋"/>
                <w:lang w:val="en-US" w:eastAsia="zh-CN"/>
              </w:rPr>
            </w:pPr>
            <w:r>
              <w:rPr>
                <w:rFonts w:hint="eastAsia"/>
                <w:lang w:val="en-US" w:eastAsia="zh-CN"/>
              </w:rPr>
              <w:t>10</w:t>
            </w:r>
          </w:p>
        </w:tc>
        <w:tc>
          <w:tcPr>
            <w:tcW w:w="1545" w:type="pct"/>
            <w:shd w:val="clear" w:color="000000" w:fill="FFFFFF"/>
            <w:vAlign w:val="bottom"/>
          </w:tcPr>
          <w:p w14:paraId="22B1279F">
            <w:pPr>
              <w:pStyle w:val="72"/>
              <w:rPr>
                <w:rFonts w:hint="eastAsia"/>
              </w:rPr>
            </w:pPr>
            <w:r>
              <w:t>导电线</w:t>
            </w:r>
          </w:p>
        </w:tc>
        <w:tc>
          <w:tcPr>
            <w:tcW w:w="494" w:type="pct"/>
            <w:shd w:val="clear" w:color="000000" w:fill="FFFFFF"/>
            <w:vAlign w:val="bottom"/>
          </w:tcPr>
          <w:p w14:paraId="0149B756">
            <w:pPr>
              <w:pStyle w:val="72"/>
              <w:rPr>
                <w:rFonts w:hint="eastAsia"/>
              </w:rPr>
            </w:pPr>
            <w:r>
              <w:t>m</w:t>
            </w:r>
          </w:p>
        </w:tc>
        <w:tc>
          <w:tcPr>
            <w:tcW w:w="800" w:type="pct"/>
            <w:shd w:val="clear" w:color="000000" w:fill="FFFFFF"/>
            <w:vAlign w:val="bottom"/>
          </w:tcPr>
          <w:p w14:paraId="040B170B">
            <w:pPr>
              <w:pStyle w:val="72"/>
              <w:rPr>
                <w:rFonts w:hint="eastAsia"/>
              </w:rPr>
            </w:pPr>
            <w:r>
              <w:t>　</w:t>
            </w:r>
          </w:p>
        </w:tc>
        <w:tc>
          <w:tcPr>
            <w:tcW w:w="937" w:type="pct"/>
            <w:shd w:val="clear" w:color="000000" w:fill="FFFFFF"/>
            <w:vAlign w:val="bottom"/>
          </w:tcPr>
          <w:p w14:paraId="387FA856">
            <w:pPr>
              <w:pStyle w:val="72"/>
              <w:rPr>
                <w:rFonts w:hint="eastAsia" w:eastAsia="仿宋"/>
                <w:lang w:eastAsia="zh-CN"/>
              </w:rPr>
            </w:pPr>
            <w:r>
              <w:t>1.00</w:t>
            </w:r>
          </w:p>
        </w:tc>
        <w:tc>
          <w:tcPr>
            <w:tcW w:w="698" w:type="pct"/>
            <w:shd w:val="clear" w:color="000000" w:fill="FFFFFF"/>
            <w:vAlign w:val="center"/>
          </w:tcPr>
          <w:p w14:paraId="1469B814">
            <w:pPr>
              <w:pStyle w:val="72"/>
              <w:rPr>
                <w:rFonts w:hint="eastAsia"/>
              </w:rPr>
            </w:pPr>
          </w:p>
        </w:tc>
      </w:tr>
    </w:tbl>
    <w:p w14:paraId="77573EA0">
      <w:pPr>
        <w:spacing w:line="240" w:lineRule="auto"/>
        <w:ind w:firstLine="0" w:firstLineChars="0"/>
        <w:jc w:val="right"/>
        <w:rPr>
          <w:b/>
          <w:sz w:val="21"/>
          <w:szCs w:val="21"/>
        </w:rPr>
      </w:pPr>
    </w:p>
    <w:p w14:paraId="690A7709">
      <w:pPr>
        <w:spacing w:line="240" w:lineRule="auto"/>
        <w:ind w:firstLine="0" w:firstLineChars="0"/>
        <w:jc w:val="right"/>
        <w:rPr>
          <w:b/>
          <w:sz w:val="21"/>
          <w:szCs w:val="21"/>
        </w:rPr>
        <w:sectPr>
          <w:pgSz w:w="11906" w:h="16838"/>
          <w:pgMar w:top="1134" w:right="1134" w:bottom="1134" w:left="1418" w:header="851" w:footer="992" w:gutter="0"/>
          <w:pgNumType w:fmt="decimal"/>
          <w:cols w:space="720" w:num="1"/>
          <w:docGrid w:type="linesAndChars" w:linePitch="312" w:charSpace="0"/>
        </w:sectPr>
      </w:pPr>
    </w:p>
    <w:p w14:paraId="5185784C">
      <w:pPr>
        <w:pStyle w:val="57"/>
        <w:rPr>
          <w:rFonts w:ascii="Times New Roman" w:hAnsi="Times New Roman"/>
        </w:rPr>
      </w:pPr>
      <w:r>
        <w:rPr>
          <w:rFonts w:ascii="Times New Roman" w:hAnsi="Times New Roman"/>
        </w:rPr>
        <w:t>表6-13机械台班预算单价计算表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916"/>
        <w:gridCol w:w="969"/>
        <w:gridCol w:w="969"/>
        <w:gridCol w:w="969"/>
        <w:gridCol w:w="969"/>
        <w:gridCol w:w="969"/>
        <w:gridCol w:w="969"/>
        <w:gridCol w:w="969"/>
        <w:gridCol w:w="969"/>
        <w:gridCol w:w="969"/>
        <w:gridCol w:w="977"/>
        <w:gridCol w:w="972"/>
        <w:gridCol w:w="948"/>
      </w:tblGrid>
      <w:tr w14:paraId="3C1B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4" w:type="pct"/>
            <w:vMerge w:val="restart"/>
            <w:vAlign w:val="center"/>
          </w:tcPr>
          <w:p w14:paraId="0864E842">
            <w:pPr>
              <w:pStyle w:val="72"/>
              <w:rPr>
                <w:rFonts w:ascii="Times New Roman" w:hAnsi="Times New Roman"/>
              </w:rPr>
            </w:pPr>
            <w:r>
              <w:rPr>
                <w:rFonts w:ascii="Times New Roman" w:hAnsi="Times New Roman"/>
              </w:rPr>
              <w:t>编号</w:t>
            </w:r>
          </w:p>
        </w:tc>
        <w:tc>
          <w:tcPr>
            <w:tcW w:w="661" w:type="pct"/>
            <w:vMerge w:val="restart"/>
            <w:vAlign w:val="center"/>
          </w:tcPr>
          <w:p w14:paraId="222EEDFE">
            <w:pPr>
              <w:pStyle w:val="72"/>
              <w:rPr>
                <w:rFonts w:ascii="Times New Roman" w:hAnsi="Times New Roman"/>
              </w:rPr>
            </w:pPr>
            <w:r>
              <w:rPr>
                <w:rFonts w:ascii="Times New Roman" w:hAnsi="Times New Roman"/>
              </w:rPr>
              <w:t>机械名称及规格</w:t>
            </w:r>
          </w:p>
        </w:tc>
        <w:tc>
          <w:tcPr>
            <w:tcW w:w="3678" w:type="pct"/>
            <w:gridSpan w:val="11"/>
            <w:vAlign w:val="center"/>
          </w:tcPr>
          <w:p w14:paraId="7D6CDDB8">
            <w:pPr>
              <w:pStyle w:val="72"/>
              <w:rPr>
                <w:rFonts w:ascii="Times New Roman" w:hAnsi="Times New Roman"/>
              </w:rPr>
            </w:pPr>
            <w:r>
              <w:rPr>
                <w:rFonts w:ascii="Times New Roman" w:hAnsi="Times New Roman"/>
              </w:rPr>
              <w:t>费用构成</w:t>
            </w:r>
          </w:p>
        </w:tc>
        <w:tc>
          <w:tcPr>
            <w:tcW w:w="328" w:type="pct"/>
            <w:vAlign w:val="center"/>
          </w:tcPr>
          <w:p w14:paraId="5482E1BD">
            <w:pPr>
              <w:pStyle w:val="72"/>
              <w:rPr>
                <w:rFonts w:ascii="Times New Roman" w:hAnsi="Times New Roman"/>
              </w:rPr>
            </w:pPr>
            <w:r>
              <w:rPr>
                <w:rFonts w:ascii="Times New Roman" w:hAnsi="Times New Roman"/>
              </w:rPr>
              <w:t>　</w:t>
            </w:r>
          </w:p>
        </w:tc>
      </w:tr>
      <w:tr w14:paraId="639C5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Merge w:val="continue"/>
            <w:vAlign w:val="center"/>
          </w:tcPr>
          <w:p w14:paraId="72E67DDB">
            <w:pPr>
              <w:pStyle w:val="72"/>
              <w:rPr>
                <w:rFonts w:ascii="Times New Roman" w:hAnsi="Times New Roman"/>
              </w:rPr>
            </w:pPr>
          </w:p>
        </w:tc>
        <w:tc>
          <w:tcPr>
            <w:tcW w:w="661" w:type="pct"/>
            <w:vMerge w:val="continue"/>
            <w:vAlign w:val="center"/>
          </w:tcPr>
          <w:p w14:paraId="0F772124">
            <w:pPr>
              <w:pStyle w:val="72"/>
              <w:rPr>
                <w:rFonts w:ascii="Times New Roman" w:hAnsi="Times New Roman"/>
              </w:rPr>
            </w:pPr>
          </w:p>
        </w:tc>
        <w:tc>
          <w:tcPr>
            <w:tcW w:w="1336" w:type="pct"/>
            <w:gridSpan w:val="4"/>
            <w:vAlign w:val="center"/>
          </w:tcPr>
          <w:p w14:paraId="683F08D0">
            <w:pPr>
              <w:pStyle w:val="72"/>
              <w:rPr>
                <w:rFonts w:ascii="Times New Roman" w:hAnsi="Times New Roman"/>
              </w:rPr>
            </w:pPr>
            <w:r>
              <w:rPr>
                <w:rFonts w:ascii="Times New Roman" w:hAnsi="Times New Roman"/>
              </w:rPr>
              <w:t>一类费用</w:t>
            </w:r>
          </w:p>
        </w:tc>
        <w:tc>
          <w:tcPr>
            <w:tcW w:w="2341" w:type="pct"/>
            <w:gridSpan w:val="7"/>
            <w:vAlign w:val="center"/>
          </w:tcPr>
          <w:p w14:paraId="5542103E">
            <w:pPr>
              <w:pStyle w:val="72"/>
              <w:rPr>
                <w:rFonts w:ascii="Times New Roman" w:hAnsi="Times New Roman"/>
              </w:rPr>
            </w:pPr>
            <w:r>
              <w:rPr>
                <w:rFonts w:ascii="Times New Roman" w:hAnsi="Times New Roman"/>
              </w:rPr>
              <w:t>二类费用</w:t>
            </w:r>
          </w:p>
        </w:tc>
        <w:tc>
          <w:tcPr>
            <w:tcW w:w="328" w:type="pct"/>
            <w:vMerge w:val="restart"/>
            <w:vAlign w:val="center"/>
          </w:tcPr>
          <w:p w14:paraId="6275FDF4">
            <w:pPr>
              <w:pStyle w:val="72"/>
              <w:rPr>
                <w:rFonts w:ascii="Times New Roman" w:hAnsi="Times New Roman"/>
              </w:rPr>
            </w:pPr>
            <w:r>
              <w:rPr>
                <w:rFonts w:ascii="Times New Roman" w:hAnsi="Times New Roman"/>
              </w:rPr>
              <w:t>总计</w:t>
            </w:r>
          </w:p>
        </w:tc>
      </w:tr>
      <w:tr w14:paraId="3320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4" w:type="pct"/>
            <w:vMerge w:val="continue"/>
            <w:vAlign w:val="center"/>
          </w:tcPr>
          <w:p w14:paraId="7F7204E5">
            <w:pPr>
              <w:pStyle w:val="72"/>
              <w:rPr>
                <w:rFonts w:ascii="Times New Roman" w:hAnsi="Times New Roman"/>
              </w:rPr>
            </w:pPr>
          </w:p>
        </w:tc>
        <w:tc>
          <w:tcPr>
            <w:tcW w:w="661" w:type="pct"/>
            <w:vMerge w:val="continue"/>
            <w:vAlign w:val="center"/>
          </w:tcPr>
          <w:p w14:paraId="5432C35F">
            <w:pPr>
              <w:pStyle w:val="72"/>
              <w:rPr>
                <w:rFonts w:ascii="Times New Roman" w:hAnsi="Times New Roman"/>
              </w:rPr>
            </w:pPr>
          </w:p>
        </w:tc>
        <w:tc>
          <w:tcPr>
            <w:tcW w:w="334" w:type="pct"/>
            <w:vAlign w:val="center"/>
          </w:tcPr>
          <w:p w14:paraId="3A7DE8DB">
            <w:pPr>
              <w:pStyle w:val="72"/>
              <w:rPr>
                <w:rFonts w:ascii="Times New Roman" w:hAnsi="Times New Roman"/>
              </w:rPr>
            </w:pPr>
            <w:r>
              <w:rPr>
                <w:rFonts w:ascii="Times New Roman" w:hAnsi="Times New Roman"/>
              </w:rPr>
              <w:t>折旧费</w:t>
            </w:r>
          </w:p>
        </w:tc>
        <w:tc>
          <w:tcPr>
            <w:tcW w:w="334" w:type="pct"/>
            <w:vAlign w:val="center"/>
          </w:tcPr>
          <w:p w14:paraId="0B5AEF21">
            <w:pPr>
              <w:pStyle w:val="72"/>
              <w:rPr>
                <w:rFonts w:ascii="Times New Roman" w:hAnsi="Times New Roman"/>
              </w:rPr>
            </w:pPr>
            <w:r>
              <w:rPr>
                <w:rFonts w:ascii="Times New Roman" w:hAnsi="Times New Roman"/>
              </w:rPr>
              <w:t>修理及替换设备费</w:t>
            </w:r>
          </w:p>
        </w:tc>
        <w:tc>
          <w:tcPr>
            <w:tcW w:w="334" w:type="pct"/>
            <w:vAlign w:val="center"/>
          </w:tcPr>
          <w:p w14:paraId="3A948919">
            <w:pPr>
              <w:pStyle w:val="72"/>
              <w:rPr>
                <w:rFonts w:ascii="Times New Roman" w:hAnsi="Times New Roman"/>
              </w:rPr>
            </w:pPr>
            <w:r>
              <w:rPr>
                <w:rFonts w:ascii="Times New Roman" w:hAnsi="Times New Roman"/>
              </w:rPr>
              <w:t>安装及拆卸费</w:t>
            </w:r>
          </w:p>
        </w:tc>
        <w:tc>
          <w:tcPr>
            <w:tcW w:w="334" w:type="pct"/>
            <w:vAlign w:val="center"/>
          </w:tcPr>
          <w:p w14:paraId="6F5C6230">
            <w:pPr>
              <w:pStyle w:val="72"/>
              <w:rPr>
                <w:rFonts w:ascii="Times New Roman" w:hAnsi="Times New Roman"/>
              </w:rPr>
            </w:pPr>
            <w:r>
              <w:rPr>
                <w:rFonts w:ascii="Times New Roman" w:hAnsi="Times New Roman"/>
              </w:rPr>
              <w:t>小计</w:t>
            </w:r>
          </w:p>
        </w:tc>
        <w:tc>
          <w:tcPr>
            <w:tcW w:w="334" w:type="pct"/>
            <w:vAlign w:val="center"/>
          </w:tcPr>
          <w:p w14:paraId="462FD109">
            <w:pPr>
              <w:pStyle w:val="72"/>
              <w:rPr>
                <w:rFonts w:ascii="Times New Roman" w:hAnsi="Times New Roman"/>
              </w:rPr>
            </w:pPr>
            <w:r>
              <w:rPr>
                <w:rFonts w:ascii="Times New Roman" w:hAnsi="Times New Roman"/>
              </w:rPr>
              <w:t>人工</w:t>
            </w:r>
          </w:p>
        </w:tc>
        <w:tc>
          <w:tcPr>
            <w:tcW w:w="334" w:type="pct"/>
            <w:vAlign w:val="center"/>
          </w:tcPr>
          <w:p w14:paraId="33731B04">
            <w:pPr>
              <w:pStyle w:val="72"/>
              <w:rPr>
                <w:rFonts w:ascii="Times New Roman" w:hAnsi="Times New Roman"/>
              </w:rPr>
            </w:pPr>
            <w:r>
              <w:rPr>
                <w:rFonts w:ascii="Times New Roman" w:hAnsi="Times New Roman"/>
              </w:rPr>
              <w:t>汽油</w:t>
            </w:r>
          </w:p>
        </w:tc>
        <w:tc>
          <w:tcPr>
            <w:tcW w:w="334" w:type="pct"/>
            <w:vAlign w:val="center"/>
          </w:tcPr>
          <w:p w14:paraId="61E02CA3">
            <w:pPr>
              <w:pStyle w:val="72"/>
              <w:rPr>
                <w:rFonts w:ascii="Times New Roman" w:hAnsi="Times New Roman"/>
              </w:rPr>
            </w:pPr>
            <w:r>
              <w:rPr>
                <w:rFonts w:ascii="Times New Roman" w:hAnsi="Times New Roman"/>
              </w:rPr>
              <w:t>柴油</w:t>
            </w:r>
          </w:p>
        </w:tc>
        <w:tc>
          <w:tcPr>
            <w:tcW w:w="334" w:type="pct"/>
            <w:vAlign w:val="center"/>
          </w:tcPr>
          <w:p w14:paraId="701D4E4A">
            <w:pPr>
              <w:pStyle w:val="72"/>
              <w:rPr>
                <w:rFonts w:ascii="Times New Roman" w:hAnsi="Times New Roman"/>
              </w:rPr>
            </w:pPr>
            <w:r>
              <w:rPr>
                <w:rFonts w:ascii="Times New Roman" w:hAnsi="Times New Roman"/>
              </w:rPr>
              <w:t>电</w:t>
            </w:r>
          </w:p>
        </w:tc>
        <w:tc>
          <w:tcPr>
            <w:tcW w:w="334" w:type="pct"/>
            <w:vAlign w:val="center"/>
          </w:tcPr>
          <w:p w14:paraId="2F516E5C">
            <w:pPr>
              <w:pStyle w:val="72"/>
              <w:rPr>
                <w:rFonts w:ascii="Times New Roman" w:hAnsi="Times New Roman"/>
              </w:rPr>
            </w:pPr>
            <w:r>
              <w:rPr>
                <w:rFonts w:ascii="Times New Roman" w:hAnsi="Times New Roman"/>
              </w:rPr>
              <w:t>风</w:t>
            </w:r>
          </w:p>
        </w:tc>
        <w:tc>
          <w:tcPr>
            <w:tcW w:w="337" w:type="pct"/>
            <w:vAlign w:val="center"/>
          </w:tcPr>
          <w:p w14:paraId="62039477">
            <w:pPr>
              <w:pStyle w:val="72"/>
              <w:rPr>
                <w:rFonts w:ascii="Times New Roman" w:hAnsi="Times New Roman"/>
              </w:rPr>
            </w:pPr>
            <w:r>
              <w:rPr>
                <w:rFonts w:ascii="Times New Roman" w:hAnsi="Times New Roman"/>
              </w:rPr>
              <w:t>水</w:t>
            </w:r>
          </w:p>
        </w:tc>
        <w:tc>
          <w:tcPr>
            <w:tcW w:w="334" w:type="pct"/>
            <w:vAlign w:val="center"/>
          </w:tcPr>
          <w:p w14:paraId="3E63794A">
            <w:pPr>
              <w:pStyle w:val="72"/>
              <w:rPr>
                <w:rFonts w:ascii="Times New Roman" w:hAnsi="Times New Roman"/>
              </w:rPr>
            </w:pPr>
            <w:r>
              <w:rPr>
                <w:rFonts w:ascii="Times New Roman" w:hAnsi="Times New Roman"/>
              </w:rPr>
              <w:t>小计</w:t>
            </w:r>
          </w:p>
        </w:tc>
        <w:tc>
          <w:tcPr>
            <w:tcW w:w="328" w:type="pct"/>
            <w:vMerge w:val="continue"/>
            <w:vAlign w:val="center"/>
          </w:tcPr>
          <w:p w14:paraId="0930E07B">
            <w:pPr>
              <w:pStyle w:val="72"/>
              <w:rPr>
                <w:rFonts w:ascii="Times New Roman" w:hAnsi="Times New Roman"/>
              </w:rPr>
            </w:pPr>
          </w:p>
        </w:tc>
      </w:tr>
      <w:tr w14:paraId="156D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34" w:type="pct"/>
            <w:vMerge w:val="continue"/>
            <w:vAlign w:val="center"/>
          </w:tcPr>
          <w:p w14:paraId="01988BC9">
            <w:pPr>
              <w:pStyle w:val="72"/>
              <w:rPr>
                <w:rFonts w:ascii="Times New Roman" w:hAnsi="Times New Roman"/>
              </w:rPr>
            </w:pPr>
          </w:p>
        </w:tc>
        <w:tc>
          <w:tcPr>
            <w:tcW w:w="661" w:type="pct"/>
            <w:vMerge w:val="continue"/>
            <w:vAlign w:val="center"/>
          </w:tcPr>
          <w:p w14:paraId="54375205">
            <w:pPr>
              <w:pStyle w:val="72"/>
              <w:rPr>
                <w:rFonts w:ascii="Times New Roman" w:hAnsi="Times New Roman"/>
              </w:rPr>
            </w:pPr>
          </w:p>
        </w:tc>
        <w:tc>
          <w:tcPr>
            <w:tcW w:w="334" w:type="pct"/>
            <w:vAlign w:val="center"/>
          </w:tcPr>
          <w:p w14:paraId="695265E7">
            <w:pPr>
              <w:pStyle w:val="72"/>
              <w:rPr>
                <w:rFonts w:ascii="Times New Roman" w:hAnsi="Times New Roman"/>
              </w:rPr>
            </w:pPr>
            <w:r>
              <w:rPr>
                <w:rFonts w:ascii="Times New Roman" w:hAnsi="Times New Roman"/>
              </w:rPr>
              <w:t>元</w:t>
            </w:r>
          </w:p>
        </w:tc>
        <w:tc>
          <w:tcPr>
            <w:tcW w:w="334" w:type="pct"/>
            <w:vAlign w:val="center"/>
          </w:tcPr>
          <w:p w14:paraId="191C3D4A">
            <w:pPr>
              <w:pStyle w:val="72"/>
              <w:rPr>
                <w:rFonts w:ascii="Times New Roman" w:hAnsi="Times New Roman"/>
              </w:rPr>
            </w:pPr>
            <w:r>
              <w:rPr>
                <w:rFonts w:ascii="Times New Roman" w:hAnsi="Times New Roman"/>
              </w:rPr>
              <w:t>元</w:t>
            </w:r>
          </w:p>
        </w:tc>
        <w:tc>
          <w:tcPr>
            <w:tcW w:w="334" w:type="pct"/>
            <w:vAlign w:val="center"/>
          </w:tcPr>
          <w:p w14:paraId="6B6808B6">
            <w:pPr>
              <w:pStyle w:val="72"/>
              <w:rPr>
                <w:rFonts w:ascii="Times New Roman" w:hAnsi="Times New Roman"/>
              </w:rPr>
            </w:pPr>
            <w:r>
              <w:rPr>
                <w:rFonts w:ascii="Times New Roman" w:hAnsi="Times New Roman"/>
              </w:rPr>
              <w:t>元</w:t>
            </w:r>
          </w:p>
        </w:tc>
        <w:tc>
          <w:tcPr>
            <w:tcW w:w="334" w:type="pct"/>
            <w:vAlign w:val="center"/>
          </w:tcPr>
          <w:p w14:paraId="11231D3D">
            <w:pPr>
              <w:pStyle w:val="72"/>
              <w:rPr>
                <w:rFonts w:ascii="Times New Roman" w:hAnsi="Times New Roman"/>
              </w:rPr>
            </w:pPr>
            <w:r>
              <w:rPr>
                <w:rFonts w:ascii="Times New Roman" w:hAnsi="Times New Roman"/>
              </w:rPr>
              <w:t>元</w:t>
            </w:r>
          </w:p>
        </w:tc>
        <w:tc>
          <w:tcPr>
            <w:tcW w:w="334" w:type="pct"/>
            <w:vAlign w:val="center"/>
          </w:tcPr>
          <w:p w14:paraId="0B256F07">
            <w:pPr>
              <w:pStyle w:val="72"/>
              <w:rPr>
                <w:rFonts w:ascii="Times New Roman" w:hAnsi="Times New Roman"/>
              </w:rPr>
            </w:pPr>
            <w:r>
              <w:rPr>
                <w:rFonts w:ascii="Times New Roman" w:hAnsi="Times New Roman"/>
              </w:rPr>
              <w:t>元</w:t>
            </w:r>
          </w:p>
        </w:tc>
        <w:tc>
          <w:tcPr>
            <w:tcW w:w="334" w:type="pct"/>
            <w:vAlign w:val="center"/>
          </w:tcPr>
          <w:p w14:paraId="3621060F">
            <w:pPr>
              <w:pStyle w:val="72"/>
              <w:rPr>
                <w:rFonts w:ascii="Times New Roman" w:hAnsi="Times New Roman"/>
              </w:rPr>
            </w:pPr>
            <w:r>
              <w:rPr>
                <w:rFonts w:ascii="Times New Roman" w:hAnsi="Times New Roman"/>
              </w:rPr>
              <w:t>元</w:t>
            </w:r>
          </w:p>
        </w:tc>
        <w:tc>
          <w:tcPr>
            <w:tcW w:w="334" w:type="pct"/>
            <w:vAlign w:val="center"/>
          </w:tcPr>
          <w:p w14:paraId="2BF22EDD">
            <w:pPr>
              <w:pStyle w:val="72"/>
              <w:rPr>
                <w:rFonts w:ascii="Times New Roman" w:hAnsi="Times New Roman"/>
              </w:rPr>
            </w:pPr>
            <w:r>
              <w:rPr>
                <w:rFonts w:ascii="Times New Roman" w:hAnsi="Times New Roman"/>
              </w:rPr>
              <w:t>元</w:t>
            </w:r>
          </w:p>
        </w:tc>
        <w:tc>
          <w:tcPr>
            <w:tcW w:w="334" w:type="pct"/>
            <w:vAlign w:val="center"/>
          </w:tcPr>
          <w:p w14:paraId="04FC9DB8">
            <w:pPr>
              <w:pStyle w:val="72"/>
              <w:rPr>
                <w:rFonts w:ascii="Times New Roman" w:hAnsi="Times New Roman"/>
              </w:rPr>
            </w:pPr>
            <w:r>
              <w:rPr>
                <w:rFonts w:ascii="Times New Roman" w:hAnsi="Times New Roman"/>
              </w:rPr>
              <w:t>元</w:t>
            </w:r>
          </w:p>
        </w:tc>
        <w:tc>
          <w:tcPr>
            <w:tcW w:w="334" w:type="pct"/>
            <w:vAlign w:val="center"/>
          </w:tcPr>
          <w:p w14:paraId="6A3B4F9E">
            <w:pPr>
              <w:pStyle w:val="72"/>
              <w:rPr>
                <w:rFonts w:ascii="Times New Roman" w:hAnsi="Times New Roman"/>
              </w:rPr>
            </w:pPr>
            <w:r>
              <w:rPr>
                <w:rFonts w:ascii="Times New Roman" w:hAnsi="Times New Roman"/>
              </w:rPr>
              <w:t>元</w:t>
            </w:r>
          </w:p>
        </w:tc>
        <w:tc>
          <w:tcPr>
            <w:tcW w:w="337" w:type="pct"/>
            <w:vAlign w:val="center"/>
          </w:tcPr>
          <w:p w14:paraId="006A4DF3">
            <w:pPr>
              <w:pStyle w:val="72"/>
              <w:rPr>
                <w:rFonts w:ascii="Times New Roman" w:hAnsi="Times New Roman"/>
              </w:rPr>
            </w:pPr>
            <w:r>
              <w:rPr>
                <w:rFonts w:ascii="Times New Roman" w:hAnsi="Times New Roman"/>
              </w:rPr>
              <w:t>元</w:t>
            </w:r>
          </w:p>
        </w:tc>
        <w:tc>
          <w:tcPr>
            <w:tcW w:w="334" w:type="pct"/>
            <w:vAlign w:val="center"/>
          </w:tcPr>
          <w:p w14:paraId="093D05D3">
            <w:pPr>
              <w:pStyle w:val="72"/>
              <w:rPr>
                <w:rFonts w:ascii="Times New Roman" w:hAnsi="Times New Roman"/>
              </w:rPr>
            </w:pPr>
            <w:r>
              <w:rPr>
                <w:rFonts w:ascii="Times New Roman" w:hAnsi="Times New Roman"/>
              </w:rPr>
              <w:t>元</w:t>
            </w:r>
          </w:p>
        </w:tc>
        <w:tc>
          <w:tcPr>
            <w:tcW w:w="328" w:type="pct"/>
            <w:vAlign w:val="center"/>
          </w:tcPr>
          <w:p w14:paraId="05151905">
            <w:pPr>
              <w:pStyle w:val="72"/>
              <w:rPr>
                <w:rFonts w:ascii="Times New Roman" w:hAnsi="Times New Roman"/>
              </w:rPr>
            </w:pPr>
            <w:r>
              <w:rPr>
                <w:rFonts w:ascii="Times New Roman" w:hAnsi="Times New Roman"/>
              </w:rPr>
              <w:t>元</w:t>
            </w:r>
          </w:p>
        </w:tc>
      </w:tr>
      <w:tr w14:paraId="4AE9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34" w:type="pct"/>
          </w:tcPr>
          <w:p w14:paraId="2392E3B2">
            <w:pPr>
              <w:pStyle w:val="72"/>
              <w:rPr>
                <w:rFonts w:ascii="Times New Roman" w:hAnsi="Times New Roman"/>
              </w:rPr>
            </w:pPr>
            <w:r>
              <w:rPr>
                <w:rFonts w:ascii="Times New Roman" w:hAnsi="Times New Roman"/>
              </w:rPr>
              <w:t>6001</w:t>
            </w:r>
          </w:p>
        </w:tc>
        <w:tc>
          <w:tcPr>
            <w:tcW w:w="661" w:type="pct"/>
          </w:tcPr>
          <w:p w14:paraId="5535E616">
            <w:pPr>
              <w:pStyle w:val="72"/>
              <w:rPr>
                <w:rFonts w:ascii="Times New Roman" w:hAnsi="Times New Roman"/>
              </w:rPr>
            </w:pPr>
            <w:r>
              <w:rPr>
                <w:rFonts w:ascii="Times New Roman" w:hAnsi="Times New Roman"/>
              </w:rPr>
              <w:t>电动空气压缩机3</w:t>
            </w:r>
            <w:r>
              <w:rPr>
                <w:rFonts w:hint="eastAsia" w:ascii="Times New Roman" w:hAnsi="Times New Roman"/>
              </w:rPr>
              <w:t>m³</w:t>
            </w:r>
            <w:r>
              <w:rPr>
                <w:rFonts w:ascii="Times New Roman" w:hAnsi="Times New Roman"/>
              </w:rPr>
              <w:t>/min</w:t>
            </w:r>
          </w:p>
        </w:tc>
        <w:tc>
          <w:tcPr>
            <w:tcW w:w="334" w:type="pct"/>
          </w:tcPr>
          <w:p w14:paraId="0FC8C7F4">
            <w:pPr>
              <w:pStyle w:val="72"/>
              <w:rPr>
                <w:rFonts w:hint="eastAsia" w:ascii="Times New Roman" w:hAnsi="Times New Roman" w:eastAsia="仿宋"/>
                <w:lang w:eastAsia="zh-CN"/>
              </w:rPr>
            </w:pPr>
            <w:r>
              <w:rPr>
                <w:rFonts w:ascii="Times New Roman" w:hAnsi="Times New Roman"/>
              </w:rPr>
              <w:t>7.65</w:t>
            </w:r>
          </w:p>
        </w:tc>
        <w:tc>
          <w:tcPr>
            <w:tcW w:w="334" w:type="pct"/>
          </w:tcPr>
          <w:p w14:paraId="24AB914B">
            <w:pPr>
              <w:pStyle w:val="72"/>
              <w:rPr>
                <w:rFonts w:hint="eastAsia" w:ascii="Times New Roman" w:hAnsi="Times New Roman" w:eastAsia="仿宋"/>
                <w:lang w:eastAsia="zh-CN"/>
              </w:rPr>
            </w:pPr>
            <w:r>
              <w:rPr>
                <w:rFonts w:ascii="Times New Roman" w:hAnsi="Times New Roman"/>
              </w:rPr>
              <w:t>16.35</w:t>
            </w:r>
          </w:p>
        </w:tc>
        <w:tc>
          <w:tcPr>
            <w:tcW w:w="334" w:type="pct"/>
          </w:tcPr>
          <w:p w14:paraId="64F19FD1">
            <w:pPr>
              <w:pStyle w:val="72"/>
              <w:rPr>
                <w:rFonts w:hint="eastAsia" w:ascii="Times New Roman" w:hAnsi="Times New Roman" w:eastAsia="仿宋"/>
                <w:lang w:eastAsia="zh-CN"/>
              </w:rPr>
            </w:pPr>
            <w:r>
              <w:rPr>
                <w:rFonts w:ascii="Times New Roman" w:hAnsi="Times New Roman"/>
              </w:rPr>
              <w:t>2.45</w:t>
            </w:r>
          </w:p>
        </w:tc>
        <w:tc>
          <w:tcPr>
            <w:tcW w:w="334" w:type="pct"/>
          </w:tcPr>
          <w:p w14:paraId="248D1042">
            <w:pPr>
              <w:pStyle w:val="72"/>
              <w:rPr>
                <w:rFonts w:hint="eastAsia" w:ascii="Times New Roman" w:hAnsi="Times New Roman" w:eastAsia="仿宋"/>
                <w:lang w:eastAsia="zh-CN"/>
              </w:rPr>
            </w:pPr>
            <w:r>
              <w:rPr>
                <w:rFonts w:ascii="Times New Roman" w:hAnsi="Times New Roman"/>
              </w:rPr>
              <w:t>26.45</w:t>
            </w:r>
          </w:p>
        </w:tc>
        <w:tc>
          <w:tcPr>
            <w:tcW w:w="334" w:type="pct"/>
          </w:tcPr>
          <w:p w14:paraId="52B58D11">
            <w:pPr>
              <w:pStyle w:val="72"/>
              <w:rPr>
                <w:rFonts w:hint="eastAsia" w:ascii="Times New Roman" w:hAnsi="Times New Roman" w:eastAsia="仿宋"/>
                <w:lang w:eastAsia="zh-CN"/>
              </w:rPr>
            </w:pPr>
            <w:r>
              <w:rPr>
                <w:rFonts w:ascii="Times New Roman" w:hAnsi="Times New Roman"/>
              </w:rPr>
              <w:t>51.04</w:t>
            </w:r>
          </w:p>
        </w:tc>
        <w:tc>
          <w:tcPr>
            <w:tcW w:w="334" w:type="pct"/>
          </w:tcPr>
          <w:p w14:paraId="19F19DE5">
            <w:pPr>
              <w:pStyle w:val="72"/>
              <w:rPr>
                <w:rFonts w:ascii="Times New Roman" w:hAnsi="Times New Roman"/>
              </w:rPr>
            </w:pPr>
          </w:p>
        </w:tc>
        <w:tc>
          <w:tcPr>
            <w:tcW w:w="334" w:type="pct"/>
          </w:tcPr>
          <w:p w14:paraId="65431010">
            <w:pPr>
              <w:pStyle w:val="72"/>
              <w:rPr>
                <w:rFonts w:ascii="Times New Roman" w:hAnsi="Times New Roman"/>
              </w:rPr>
            </w:pPr>
          </w:p>
        </w:tc>
        <w:tc>
          <w:tcPr>
            <w:tcW w:w="334" w:type="pct"/>
          </w:tcPr>
          <w:p w14:paraId="58CC26A7">
            <w:pPr>
              <w:pStyle w:val="72"/>
              <w:rPr>
                <w:rFonts w:hint="eastAsia" w:ascii="Times New Roman" w:hAnsi="Times New Roman" w:eastAsia="仿宋"/>
                <w:lang w:eastAsia="zh-CN"/>
              </w:rPr>
            </w:pPr>
            <w:r>
              <w:rPr>
                <w:rFonts w:ascii="Times New Roman" w:hAnsi="Times New Roman"/>
              </w:rPr>
              <w:t>51.50</w:t>
            </w:r>
          </w:p>
        </w:tc>
        <w:tc>
          <w:tcPr>
            <w:tcW w:w="334" w:type="pct"/>
          </w:tcPr>
          <w:p w14:paraId="2AF3C3A3">
            <w:pPr>
              <w:pStyle w:val="72"/>
              <w:rPr>
                <w:rFonts w:ascii="Times New Roman" w:hAnsi="Times New Roman"/>
              </w:rPr>
            </w:pPr>
          </w:p>
        </w:tc>
        <w:tc>
          <w:tcPr>
            <w:tcW w:w="337" w:type="pct"/>
          </w:tcPr>
          <w:p w14:paraId="64A51E6D">
            <w:pPr>
              <w:pStyle w:val="72"/>
              <w:rPr>
                <w:rFonts w:ascii="Times New Roman" w:hAnsi="Times New Roman"/>
              </w:rPr>
            </w:pPr>
          </w:p>
        </w:tc>
        <w:tc>
          <w:tcPr>
            <w:tcW w:w="334" w:type="pct"/>
          </w:tcPr>
          <w:p w14:paraId="2D8D301D">
            <w:pPr>
              <w:pStyle w:val="72"/>
              <w:rPr>
                <w:rFonts w:hint="eastAsia" w:ascii="Times New Roman" w:hAnsi="Times New Roman" w:eastAsia="仿宋"/>
                <w:lang w:eastAsia="zh-CN"/>
              </w:rPr>
            </w:pPr>
            <w:r>
              <w:rPr>
                <w:rFonts w:ascii="Times New Roman" w:hAnsi="Times New Roman"/>
              </w:rPr>
              <w:t>102.54</w:t>
            </w:r>
          </w:p>
        </w:tc>
        <w:tc>
          <w:tcPr>
            <w:tcW w:w="328" w:type="pct"/>
          </w:tcPr>
          <w:p w14:paraId="1C7B8D52">
            <w:pPr>
              <w:pStyle w:val="72"/>
              <w:rPr>
                <w:rFonts w:hint="eastAsia" w:ascii="Times New Roman" w:hAnsi="Times New Roman" w:eastAsia="仿宋"/>
                <w:lang w:eastAsia="zh-CN"/>
              </w:rPr>
            </w:pPr>
            <w:r>
              <w:rPr>
                <w:rFonts w:ascii="Times New Roman" w:hAnsi="Times New Roman"/>
              </w:rPr>
              <w:t>128.99</w:t>
            </w:r>
          </w:p>
        </w:tc>
      </w:tr>
      <w:tr w14:paraId="3C9B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108AC396">
            <w:pPr>
              <w:pStyle w:val="72"/>
              <w:rPr>
                <w:rFonts w:ascii="Times New Roman" w:hAnsi="Times New Roman"/>
              </w:rPr>
            </w:pPr>
            <w:r>
              <w:rPr>
                <w:rFonts w:ascii="Times New Roman" w:hAnsi="Times New Roman"/>
              </w:rPr>
              <w:t>1012</w:t>
            </w:r>
          </w:p>
        </w:tc>
        <w:tc>
          <w:tcPr>
            <w:tcW w:w="661" w:type="pct"/>
            <w:vAlign w:val="center"/>
          </w:tcPr>
          <w:p w14:paraId="367E02B9">
            <w:pPr>
              <w:pStyle w:val="72"/>
              <w:rPr>
                <w:rFonts w:ascii="Times New Roman" w:hAnsi="Times New Roman"/>
              </w:rPr>
            </w:pPr>
            <w:r>
              <w:rPr>
                <w:rFonts w:ascii="Times New Roman" w:hAnsi="Times New Roman"/>
              </w:rPr>
              <w:t>推土机55kW</w:t>
            </w:r>
          </w:p>
        </w:tc>
        <w:tc>
          <w:tcPr>
            <w:tcW w:w="334" w:type="pct"/>
            <w:vAlign w:val="center"/>
          </w:tcPr>
          <w:p w14:paraId="1B3B33A6">
            <w:pPr>
              <w:pStyle w:val="72"/>
              <w:rPr>
                <w:rFonts w:hint="eastAsia" w:ascii="Times New Roman" w:hAnsi="Times New Roman" w:eastAsia="仿宋"/>
                <w:lang w:eastAsia="zh-CN"/>
              </w:rPr>
            </w:pPr>
            <w:r>
              <w:rPr>
                <w:rFonts w:ascii="Times New Roman" w:hAnsi="Times New Roman"/>
              </w:rPr>
              <w:t>26.04</w:t>
            </w:r>
          </w:p>
        </w:tc>
        <w:tc>
          <w:tcPr>
            <w:tcW w:w="334" w:type="pct"/>
            <w:vAlign w:val="center"/>
          </w:tcPr>
          <w:p w14:paraId="493922DF">
            <w:pPr>
              <w:pStyle w:val="72"/>
              <w:rPr>
                <w:rFonts w:hint="eastAsia" w:ascii="Times New Roman" w:hAnsi="Times New Roman" w:eastAsia="仿宋"/>
                <w:lang w:eastAsia="zh-CN"/>
              </w:rPr>
            </w:pPr>
            <w:r>
              <w:rPr>
                <w:rFonts w:ascii="Times New Roman" w:hAnsi="Times New Roman"/>
              </w:rPr>
              <w:t>35.83</w:t>
            </w:r>
          </w:p>
        </w:tc>
        <w:tc>
          <w:tcPr>
            <w:tcW w:w="334" w:type="pct"/>
            <w:vAlign w:val="center"/>
          </w:tcPr>
          <w:p w14:paraId="2FFBAE5D">
            <w:pPr>
              <w:pStyle w:val="72"/>
              <w:rPr>
                <w:rFonts w:hint="eastAsia" w:ascii="Times New Roman" w:hAnsi="Times New Roman" w:eastAsia="仿宋"/>
                <w:lang w:eastAsia="zh-CN"/>
              </w:rPr>
            </w:pPr>
            <w:r>
              <w:rPr>
                <w:rFonts w:ascii="Times New Roman" w:hAnsi="Times New Roman"/>
              </w:rPr>
              <w:t>1.37</w:t>
            </w:r>
          </w:p>
        </w:tc>
        <w:tc>
          <w:tcPr>
            <w:tcW w:w="334" w:type="pct"/>
            <w:vAlign w:val="center"/>
          </w:tcPr>
          <w:p w14:paraId="655CE818">
            <w:pPr>
              <w:pStyle w:val="72"/>
              <w:rPr>
                <w:rFonts w:hint="eastAsia" w:ascii="Times New Roman" w:hAnsi="Times New Roman" w:eastAsia="仿宋"/>
                <w:lang w:eastAsia="zh-CN"/>
              </w:rPr>
            </w:pPr>
            <w:r>
              <w:rPr>
                <w:rFonts w:ascii="Times New Roman" w:hAnsi="Times New Roman"/>
              </w:rPr>
              <w:t>63.24</w:t>
            </w:r>
          </w:p>
        </w:tc>
        <w:tc>
          <w:tcPr>
            <w:tcW w:w="334" w:type="pct"/>
            <w:vAlign w:val="center"/>
          </w:tcPr>
          <w:p w14:paraId="3840D768">
            <w:pPr>
              <w:pStyle w:val="72"/>
              <w:rPr>
                <w:rFonts w:hint="eastAsia" w:ascii="Times New Roman" w:hAnsi="Times New Roman" w:eastAsia="仿宋"/>
                <w:lang w:eastAsia="zh-CN"/>
              </w:rPr>
            </w:pPr>
            <w:r>
              <w:rPr>
                <w:rFonts w:ascii="Times New Roman" w:hAnsi="Times New Roman"/>
              </w:rPr>
              <w:t>102.08</w:t>
            </w:r>
          </w:p>
        </w:tc>
        <w:tc>
          <w:tcPr>
            <w:tcW w:w="334" w:type="pct"/>
            <w:vAlign w:val="center"/>
          </w:tcPr>
          <w:p w14:paraId="2A947FD5">
            <w:pPr>
              <w:pStyle w:val="72"/>
              <w:rPr>
                <w:rFonts w:ascii="Times New Roman" w:hAnsi="Times New Roman"/>
              </w:rPr>
            </w:pPr>
            <w:r>
              <w:rPr>
                <w:rFonts w:ascii="Times New Roman" w:hAnsi="Times New Roman"/>
              </w:rPr>
              <w:t>　</w:t>
            </w:r>
          </w:p>
        </w:tc>
        <w:tc>
          <w:tcPr>
            <w:tcW w:w="334" w:type="pct"/>
            <w:vAlign w:val="center"/>
          </w:tcPr>
          <w:p w14:paraId="1DF8DA0F">
            <w:pPr>
              <w:pStyle w:val="72"/>
              <w:rPr>
                <w:rFonts w:hint="eastAsia" w:ascii="Times New Roman" w:hAnsi="Times New Roman" w:eastAsia="仿宋"/>
                <w:lang w:eastAsia="zh-CN"/>
              </w:rPr>
            </w:pPr>
            <w:r>
              <w:rPr>
                <w:rFonts w:ascii="Times New Roman" w:hAnsi="Times New Roman"/>
              </w:rPr>
              <w:t>180.00</w:t>
            </w:r>
          </w:p>
        </w:tc>
        <w:tc>
          <w:tcPr>
            <w:tcW w:w="334" w:type="pct"/>
            <w:vAlign w:val="center"/>
          </w:tcPr>
          <w:p w14:paraId="6ED23675">
            <w:pPr>
              <w:pStyle w:val="72"/>
              <w:rPr>
                <w:rFonts w:ascii="Times New Roman" w:hAnsi="Times New Roman"/>
              </w:rPr>
            </w:pPr>
            <w:r>
              <w:rPr>
                <w:rFonts w:ascii="Times New Roman" w:hAnsi="Times New Roman"/>
              </w:rPr>
              <w:t>　</w:t>
            </w:r>
          </w:p>
        </w:tc>
        <w:tc>
          <w:tcPr>
            <w:tcW w:w="334" w:type="pct"/>
            <w:vAlign w:val="center"/>
          </w:tcPr>
          <w:p w14:paraId="11800B83">
            <w:pPr>
              <w:pStyle w:val="72"/>
              <w:rPr>
                <w:rFonts w:ascii="Times New Roman" w:hAnsi="Times New Roman"/>
              </w:rPr>
            </w:pPr>
            <w:r>
              <w:rPr>
                <w:rFonts w:ascii="Times New Roman" w:hAnsi="Times New Roman"/>
              </w:rPr>
              <w:t>　</w:t>
            </w:r>
          </w:p>
        </w:tc>
        <w:tc>
          <w:tcPr>
            <w:tcW w:w="337" w:type="pct"/>
            <w:vAlign w:val="center"/>
          </w:tcPr>
          <w:p w14:paraId="78464E5E">
            <w:pPr>
              <w:pStyle w:val="72"/>
              <w:rPr>
                <w:rFonts w:ascii="Times New Roman" w:hAnsi="Times New Roman"/>
              </w:rPr>
            </w:pPr>
            <w:r>
              <w:rPr>
                <w:rFonts w:ascii="Times New Roman" w:hAnsi="Times New Roman"/>
              </w:rPr>
              <w:t>　</w:t>
            </w:r>
          </w:p>
        </w:tc>
        <w:tc>
          <w:tcPr>
            <w:tcW w:w="334" w:type="pct"/>
            <w:vAlign w:val="center"/>
          </w:tcPr>
          <w:p w14:paraId="3C396BAD">
            <w:pPr>
              <w:pStyle w:val="72"/>
              <w:rPr>
                <w:rFonts w:hint="eastAsia" w:ascii="Times New Roman" w:hAnsi="Times New Roman" w:eastAsia="仿宋"/>
                <w:lang w:eastAsia="zh-CN"/>
              </w:rPr>
            </w:pPr>
            <w:r>
              <w:rPr>
                <w:rFonts w:ascii="Times New Roman" w:hAnsi="Times New Roman"/>
              </w:rPr>
              <w:t>282.08</w:t>
            </w:r>
          </w:p>
        </w:tc>
        <w:tc>
          <w:tcPr>
            <w:tcW w:w="328" w:type="pct"/>
            <w:vAlign w:val="center"/>
          </w:tcPr>
          <w:p w14:paraId="01E4ABAF">
            <w:pPr>
              <w:pStyle w:val="72"/>
              <w:rPr>
                <w:rFonts w:hint="eastAsia" w:ascii="Times New Roman" w:hAnsi="Times New Roman" w:eastAsia="仿宋"/>
                <w:lang w:eastAsia="zh-CN"/>
              </w:rPr>
            </w:pPr>
            <w:r>
              <w:rPr>
                <w:rFonts w:ascii="Times New Roman" w:hAnsi="Times New Roman"/>
              </w:rPr>
              <w:t>345.32</w:t>
            </w:r>
          </w:p>
        </w:tc>
      </w:tr>
      <w:tr w14:paraId="3405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24FEAB52">
            <w:pPr>
              <w:pStyle w:val="72"/>
              <w:rPr>
                <w:rFonts w:ascii="Times New Roman" w:hAnsi="Times New Roman"/>
              </w:rPr>
            </w:pPr>
            <w:r>
              <w:rPr>
                <w:rFonts w:ascii="Times New Roman" w:hAnsi="Times New Roman"/>
              </w:rPr>
              <w:t>1013</w:t>
            </w:r>
          </w:p>
        </w:tc>
        <w:tc>
          <w:tcPr>
            <w:tcW w:w="661" w:type="pct"/>
            <w:vAlign w:val="center"/>
          </w:tcPr>
          <w:p w14:paraId="58FF1F43">
            <w:pPr>
              <w:pStyle w:val="72"/>
              <w:rPr>
                <w:rFonts w:ascii="Times New Roman" w:hAnsi="Times New Roman"/>
              </w:rPr>
            </w:pPr>
            <w:r>
              <w:rPr>
                <w:rFonts w:ascii="Times New Roman" w:hAnsi="Times New Roman"/>
              </w:rPr>
              <w:t>推土机59kW</w:t>
            </w:r>
          </w:p>
        </w:tc>
        <w:tc>
          <w:tcPr>
            <w:tcW w:w="334" w:type="pct"/>
            <w:vAlign w:val="center"/>
          </w:tcPr>
          <w:p w14:paraId="4E5F2934">
            <w:pPr>
              <w:pStyle w:val="72"/>
              <w:rPr>
                <w:rFonts w:hint="eastAsia" w:ascii="Times New Roman" w:hAnsi="Times New Roman" w:eastAsia="仿宋"/>
                <w:lang w:eastAsia="zh-CN"/>
              </w:rPr>
            </w:pPr>
            <w:r>
              <w:rPr>
                <w:rFonts w:ascii="Times New Roman" w:hAnsi="Times New Roman"/>
              </w:rPr>
              <w:t>29.66</w:t>
            </w:r>
          </w:p>
        </w:tc>
        <w:tc>
          <w:tcPr>
            <w:tcW w:w="334" w:type="pct"/>
            <w:vAlign w:val="center"/>
          </w:tcPr>
          <w:p w14:paraId="33BC7DE4">
            <w:pPr>
              <w:pStyle w:val="72"/>
              <w:rPr>
                <w:rFonts w:hint="eastAsia" w:ascii="Times New Roman" w:hAnsi="Times New Roman" w:eastAsia="仿宋"/>
                <w:lang w:eastAsia="zh-CN"/>
              </w:rPr>
            </w:pPr>
            <w:r>
              <w:rPr>
                <w:rFonts w:ascii="Times New Roman" w:hAnsi="Times New Roman"/>
              </w:rPr>
              <w:t>37.08</w:t>
            </w:r>
          </w:p>
        </w:tc>
        <w:tc>
          <w:tcPr>
            <w:tcW w:w="334" w:type="pct"/>
            <w:vAlign w:val="center"/>
          </w:tcPr>
          <w:p w14:paraId="6136710A">
            <w:pPr>
              <w:pStyle w:val="72"/>
              <w:rPr>
                <w:rFonts w:hint="eastAsia" w:ascii="Times New Roman" w:hAnsi="Times New Roman" w:eastAsia="仿宋"/>
                <w:lang w:eastAsia="zh-CN"/>
              </w:rPr>
            </w:pPr>
            <w:r>
              <w:rPr>
                <w:rFonts w:ascii="Times New Roman" w:hAnsi="Times New Roman"/>
              </w:rPr>
              <w:t>1.52</w:t>
            </w:r>
          </w:p>
        </w:tc>
        <w:tc>
          <w:tcPr>
            <w:tcW w:w="334" w:type="pct"/>
            <w:vAlign w:val="center"/>
          </w:tcPr>
          <w:p w14:paraId="009B64FA">
            <w:pPr>
              <w:pStyle w:val="72"/>
              <w:rPr>
                <w:rFonts w:hint="eastAsia" w:ascii="Times New Roman" w:hAnsi="Times New Roman" w:eastAsia="仿宋"/>
                <w:lang w:eastAsia="zh-CN"/>
              </w:rPr>
            </w:pPr>
            <w:r>
              <w:rPr>
                <w:rFonts w:ascii="Times New Roman" w:hAnsi="Times New Roman"/>
              </w:rPr>
              <w:t>68.27</w:t>
            </w:r>
          </w:p>
        </w:tc>
        <w:tc>
          <w:tcPr>
            <w:tcW w:w="334" w:type="pct"/>
            <w:vAlign w:val="center"/>
          </w:tcPr>
          <w:p w14:paraId="647D8437">
            <w:pPr>
              <w:pStyle w:val="72"/>
              <w:rPr>
                <w:rFonts w:hint="eastAsia" w:ascii="Times New Roman" w:hAnsi="Times New Roman" w:eastAsia="仿宋"/>
                <w:lang w:eastAsia="zh-CN"/>
              </w:rPr>
            </w:pPr>
            <w:r>
              <w:rPr>
                <w:rFonts w:ascii="Times New Roman" w:hAnsi="Times New Roman"/>
              </w:rPr>
              <w:t>102.08</w:t>
            </w:r>
          </w:p>
        </w:tc>
        <w:tc>
          <w:tcPr>
            <w:tcW w:w="334" w:type="pct"/>
            <w:vAlign w:val="center"/>
          </w:tcPr>
          <w:p w14:paraId="3E461111">
            <w:pPr>
              <w:pStyle w:val="72"/>
              <w:rPr>
                <w:rFonts w:ascii="Times New Roman" w:hAnsi="Times New Roman"/>
              </w:rPr>
            </w:pPr>
            <w:r>
              <w:rPr>
                <w:rFonts w:ascii="Times New Roman" w:hAnsi="Times New Roman"/>
              </w:rPr>
              <w:t>　</w:t>
            </w:r>
          </w:p>
        </w:tc>
        <w:tc>
          <w:tcPr>
            <w:tcW w:w="334" w:type="pct"/>
            <w:vAlign w:val="center"/>
          </w:tcPr>
          <w:p w14:paraId="21098B60">
            <w:pPr>
              <w:pStyle w:val="72"/>
              <w:rPr>
                <w:rFonts w:hint="eastAsia" w:ascii="Times New Roman" w:hAnsi="Times New Roman" w:eastAsia="仿宋"/>
                <w:lang w:eastAsia="zh-CN"/>
              </w:rPr>
            </w:pPr>
            <w:r>
              <w:rPr>
                <w:rFonts w:ascii="Times New Roman" w:hAnsi="Times New Roman"/>
              </w:rPr>
              <w:t>198.00</w:t>
            </w:r>
          </w:p>
        </w:tc>
        <w:tc>
          <w:tcPr>
            <w:tcW w:w="334" w:type="pct"/>
            <w:vAlign w:val="center"/>
          </w:tcPr>
          <w:p w14:paraId="06349F52">
            <w:pPr>
              <w:pStyle w:val="72"/>
              <w:rPr>
                <w:rFonts w:ascii="Times New Roman" w:hAnsi="Times New Roman"/>
              </w:rPr>
            </w:pPr>
            <w:r>
              <w:rPr>
                <w:rFonts w:ascii="Times New Roman" w:hAnsi="Times New Roman"/>
              </w:rPr>
              <w:t>　</w:t>
            </w:r>
          </w:p>
        </w:tc>
        <w:tc>
          <w:tcPr>
            <w:tcW w:w="334" w:type="pct"/>
            <w:vAlign w:val="center"/>
          </w:tcPr>
          <w:p w14:paraId="2BD0BE2B">
            <w:pPr>
              <w:pStyle w:val="72"/>
              <w:rPr>
                <w:rFonts w:ascii="Times New Roman" w:hAnsi="Times New Roman"/>
              </w:rPr>
            </w:pPr>
            <w:r>
              <w:rPr>
                <w:rFonts w:ascii="Times New Roman" w:hAnsi="Times New Roman"/>
              </w:rPr>
              <w:t>　</w:t>
            </w:r>
          </w:p>
        </w:tc>
        <w:tc>
          <w:tcPr>
            <w:tcW w:w="337" w:type="pct"/>
            <w:vAlign w:val="center"/>
          </w:tcPr>
          <w:p w14:paraId="021C4600">
            <w:pPr>
              <w:pStyle w:val="72"/>
              <w:rPr>
                <w:rFonts w:ascii="Times New Roman" w:hAnsi="Times New Roman"/>
              </w:rPr>
            </w:pPr>
            <w:r>
              <w:rPr>
                <w:rFonts w:ascii="Times New Roman" w:hAnsi="Times New Roman"/>
              </w:rPr>
              <w:t>　</w:t>
            </w:r>
          </w:p>
        </w:tc>
        <w:tc>
          <w:tcPr>
            <w:tcW w:w="334" w:type="pct"/>
            <w:vAlign w:val="center"/>
          </w:tcPr>
          <w:p w14:paraId="11B62154">
            <w:pPr>
              <w:pStyle w:val="72"/>
              <w:rPr>
                <w:rFonts w:hint="eastAsia" w:ascii="Times New Roman" w:hAnsi="Times New Roman" w:eastAsia="仿宋"/>
                <w:lang w:eastAsia="zh-CN"/>
              </w:rPr>
            </w:pPr>
            <w:r>
              <w:rPr>
                <w:rFonts w:ascii="Times New Roman" w:hAnsi="Times New Roman"/>
              </w:rPr>
              <w:t>300.08</w:t>
            </w:r>
          </w:p>
        </w:tc>
        <w:tc>
          <w:tcPr>
            <w:tcW w:w="328" w:type="pct"/>
            <w:vAlign w:val="center"/>
          </w:tcPr>
          <w:p w14:paraId="13295742">
            <w:pPr>
              <w:pStyle w:val="72"/>
              <w:rPr>
                <w:rFonts w:hint="eastAsia" w:ascii="Times New Roman" w:hAnsi="Times New Roman" w:eastAsia="仿宋"/>
                <w:lang w:eastAsia="zh-CN"/>
              </w:rPr>
            </w:pPr>
            <w:r>
              <w:rPr>
                <w:rFonts w:ascii="Times New Roman" w:hAnsi="Times New Roman"/>
              </w:rPr>
              <w:t>368.35</w:t>
            </w:r>
          </w:p>
        </w:tc>
      </w:tr>
      <w:tr w14:paraId="23E1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454B0AE0">
            <w:pPr>
              <w:pStyle w:val="72"/>
              <w:rPr>
                <w:rFonts w:ascii="Times New Roman" w:hAnsi="Times New Roman"/>
              </w:rPr>
            </w:pPr>
            <w:r>
              <w:rPr>
                <w:rFonts w:ascii="Times New Roman" w:hAnsi="Times New Roman"/>
              </w:rPr>
              <w:t>4013</w:t>
            </w:r>
          </w:p>
        </w:tc>
        <w:tc>
          <w:tcPr>
            <w:tcW w:w="661" w:type="pct"/>
            <w:vAlign w:val="center"/>
          </w:tcPr>
          <w:p w14:paraId="6AED06FE">
            <w:pPr>
              <w:pStyle w:val="72"/>
              <w:rPr>
                <w:rFonts w:ascii="Times New Roman" w:hAnsi="Times New Roman"/>
              </w:rPr>
            </w:pPr>
            <w:r>
              <w:rPr>
                <w:rFonts w:ascii="Times New Roman" w:hAnsi="Times New Roman"/>
              </w:rPr>
              <w:t>自卸汽车10t</w:t>
            </w:r>
          </w:p>
        </w:tc>
        <w:tc>
          <w:tcPr>
            <w:tcW w:w="334" w:type="pct"/>
            <w:vAlign w:val="center"/>
          </w:tcPr>
          <w:p w14:paraId="22323363">
            <w:pPr>
              <w:pStyle w:val="72"/>
              <w:rPr>
                <w:rFonts w:hint="eastAsia" w:ascii="Times New Roman" w:hAnsi="Times New Roman" w:eastAsia="仿宋"/>
                <w:lang w:eastAsia="zh-CN"/>
              </w:rPr>
            </w:pPr>
            <w:r>
              <w:rPr>
                <w:rFonts w:ascii="Times New Roman" w:hAnsi="Times New Roman"/>
              </w:rPr>
              <w:t>129.66</w:t>
            </w:r>
          </w:p>
        </w:tc>
        <w:tc>
          <w:tcPr>
            <w:tcW w:w="334" w:type="pct"/>
            <w:vAlign w:val="center"/>
          </w:tcPr>
          <w:p w14:paraId="7AEA3334">
            <w:pPr>
              <w:pStyle w:val="72"/>
              <w:rPr>
                <w:rFonts w:hint="eastAsia" w:ascii="Times New Roman" w:hAnsi="Times New Roman" w:eastAsia="仿宋"/>
                <w:lang w:eastAsia="zh-CN"/>
              </w:rPr>
            </w:pPr>
            <w:r>
              <w:rPr>
                <w:rFonts w:ascii="Times New Roman" w:hAnsi="Times New Roman"/>
              </w:rPr>
              <w:t>80.68</w:t>
            </w:r>
          </w:p>
        </w:tc>
        <w:tc>
          <w:tcPr>
            <w:tcW w:w="334" w:type="pct"/>
            <w:vAlign w:val="center"/>
          </w:tcPr>
          <w:p w14:paraId="05BB54B8">
            <w:pPr>
              <w:pStyle w:val="72"/>
              <w:rPr>
                <w:rFonts w:ascii="Times New Roman" w:hAnsi="Times New Roman"/>
              </w:rPr>
            </w:pPr>
            <w:r>
              <w:rPr>
                <w:rFonts w:ascii="Times New Roman" w:hAnsi="Times New Roman"/>
              </w:rPr>
              <w:t>　</w:t>
            </w:r>
          </w:p>
        </w:tc>
        <w:tc>
          <w:tcPr>
            <w:tcW w:w="334" w:type="pct"/>
            <w:vAlign w:val="center"/>
          </w:tcPr>
          <w:p w14:paraId="7EADD003">
            <w:pPr>
              <w:pStyle w:val="72"/>
              <w:rPr>
                <w:rFonts w:hint="eastAsia" w:ascii="Times New Roman" w:hAnsi="Times New Roman" w:eastAsia="仿宋"/>
                <w:lang w:eastAsia="zh-CN"/>
              </w:rPr>
            </w:pPr>
            <w:r>
              <w:rPr>
                <w:rFonts w:ascii="Times New Roman" w:hAnsi="Times New Roman"/>
              </w:rPr>
              <w:t>210.34</w:t>
            </w:r>
          </w:p>
        </w:tc>
        <w:tc>
          <w:tcPr>
            <w:tcW w:w="334" w:type="pct"/>
            <w:vAlign w:val="center"/>
          </w:tcPr>
          <w:p w14:paraId="6D11F3A1">
            <w:pPr>
              <w:pStyle w:val="72"/>
              <w:rPr>
                <w:rFonts w:hint="eastAsia" w:ascii="Times New Roman" w:hAnsi="Times New Roman" w:eastAsia="仿宋"/>
                <w:lang w:eastAsia="zh-CN"/>
              </w:rPr>
            </w:pPr>
            <w:r>
              <w:rPr>
                <w:rFonts w:ascii="Times New Roman" w:hAnsi="Times New Roman"/>
              </w:rPr>
              <w:t>102.08</w:t>
            </w:r>
          </w:p>
        </w:tc>
        <w:tc>
          <w:tcPr>
            <w:tcW w:w="334" w:type="pct"/>
            <w:vAlign w:val="center"/>
          </w:tcPr>
          <w:p w14:paraId="64BC6118">
            <w:pPr>
              <w:pStyle w:val="72"/>
              <w:rPr>
                <w:rFonts w:ascii="Times New Roman" w:hAnsi="Times New Roman"/>
              </w:rPr>
            </w:pPr>
            <w:r>
              <w:rPr>
                <w:rFonts w:ascii="Times New Roman" w:hAnsi="Times New Roman"/>
              </w:rPr>
              <w:t>　</w:t>
            </w:r>
          </w:p>
        </w:tc>
        <w:tc>
          <w:tcPr>
            <w:tcW w:w="334" w:type="pct"/>
            <w:vAlign w:val="center"/>
          </w:tcPr>
          <w:p w14:paraId="29E5CE6E">
            <w:pPr>
              <w:pStyle w:val="72"/>
              <w:rPr>
                <w:rFonts w:hint="eastAsia" w:ascii="Times New Roman" w:hAnsi="Times New Roman" w:eastAsia="仿宋"/>
                <w:lang w:eastAsia="zh-CN"/>
              </w:rPr>
            </w:pPr>
            <w:r>
              <w:rPr>
                <w:rFonts w:ascii="Times New Roman" w:hAnsi="Times New Roman"/>
              </w:rPr>
              <w:t>238.50</w:t>
            </w:r>
          </w:p>
        </w:tc>
        <w:tc>
          <w:tcPr>
            <w:tcW w:w="334" w:type="pct"/>
            <w:vAlign w:val="center"/>
          </w:tcPr>
          <w:p w14:paraId="702D1D56">
            <w:pPr>
              <w:pStyle w:val="72"/>
              <w:rPr>
                <w:rFonts w:ascii="Times New Roman" w:hAnsi="Times New Roman"/>
              </w:rPr>
            </w:pPr>
            <w:r>
              <w:rPr>
                <w:rFonts w:ascii="Times New Roman" w:hAnsi="Times New Roman"/>
              </w:rPr>
              <w:t>　</w:t>
            </w:r>
          </w:p>
        </w:tc>
        <w:tc>
          <w:tcPr>
            <w:tcW w:w="334" w:type="pct"/>
            <w:vAlign w:val="center"/>
          </w:tcPr>
          <w:p w14:paraId="0DCB621C">
            <w:pPr>
              <w:pStyle w:val="72"/>
              <w:rPr>
                <w:rFonts w:ascii="Times New Roman" w:hAnsi="Times New Roman"/>
              </w:rPr>
            </w:pPr>
            <w:r>
              <w:rPr>
                <w:rFonts w:ascii="Times New Roman" w:hAnsi="Times New Roman"/>
              </w:rPr>
              <w:t>　</w:t>
            </w:r>
          </w:p>
        </w:tc>
        <w:tc>
          <w:tcPr>
            <w:tcW w:w="337" w:type="pct"/>
            <w:vAlign w:val="center"/>
          </w:tcPr>
          <w:p w14:paraId="4E7F7502">
            <w:pPr>
              <w:pStyle w:val="72"/>
              <w:rPr>
                <w:rFonts w:ascii="Times New Roman" w:hAnsi="Times New Roman"/>
              </w:rPr>
            </w:pPr>
            <w:r>
              <w:rPr>
                <w:rFonts w:ascii="Times New Roman" w:hAnsi="Times New Roman"/>
              </w:rPr>
              <w:t>　</w:t>
            </w:r>
          </w:p>
        </w:tc>
        <w:tc>
          <w:tcPr>
            <w:tcW w:w="334" w:type="pct"/>
            <w:vAlign w:val="center"/>
          </w:tcPr>
          <w:p w14:paraId="0AB8A758">
            <w:pPr>
              <w:pStyle w:val="72"/>
              <w:rPr>
                <w:rFonts w:hint="eastAsia" w:ascii="Times New Roman" w:hAnsi="Times New Roman" w:eastAsia="仿宋"/>
                <w:lang w:eastAsia="zh-CN"/>
              </w:rPr>
            </w:pPr>
            <w:r>
              <w:rPr>
                <w:rFonts w:ascii="Times New Roman" w:hAnsi="Times New Roman"/>
              </w:rPr>
              <w:t>340.58</w:t>
            </w:r>
          </w:p>
        </w:tc>
        <w:tc>
          <w:tcPr>
            <w:tcW w:w="328" w:type="pct"/>
            <w:vAlign w:val="center"/>
          </w:tcPr>
          <w:p w14:paraId="68F897BC">
            <w:pPr>
              <w:pStyle w:val="72"/>
              <w:rPr>
                <w:rFonts w:hint="eastAsia" w:ascii="Times New Roman" w:hAnsi="Times New Roman" w:eastAsia="仿宋"/>
                <w:lang w:eastAsia="zh-CN"/>
              </w:rPr>
            </w:pPr>
            <w:r>
              <w:rPr>
                <w:rFonts w:ascii="Times New Roman" w:hAnsi="Times New Roman"/>
              </w:rPr>
              <w:t>550.92</w:t>
            </w:r>
          </w:p>
        </w:tc>
      </w:tr>
      <w:tr w14:paraId="4805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34" w:type="pct"/>
            <w:vAlign w:val="center"/>
          </w:tcPr>
          <w:p w14:paraId="2D4FD8D3">
            <w:pPr>
              <w:pStyle w:val="72"/>
              <w:rPr>
                <w:rFonts w:ascii="Times New Roman" w:hAnsi="Times New Roman"/>
              </w:rPr>
            </w:pPr>
            <w:r>
              <w:rPr>
                <w:rFonts w:ascii="Times New Roman" w:hAnsi="Times New Roman"/>
              </w:rPr>
              <w:t>1025</w:t>
            </w:r>
          </w:p>
        </w:tc>
        <w:tc>
          <w:tcPr>
            <w:tcW w:w="661" w:type="pct"/>
            <w:vAlign w:val="center"/>
          </w:tcPr>
          <w:p w14:paraId="6B3DECF8">
            <w:pPr>
              <w:pStyle w:val="72"/>
              <w:rPr>
                <w:rFonts w:ascii="Times New Roman" w:hAnsi="Times New Roman"/>
              </w:rPr>
            </w:pPr>
            <w:r>
              <w:rPr>
                <w:rFonts w:ascii="Times New Roman" w:hAnsi="Times New Roman"/>
              </w:rPr>
              <w:t>铲运机2.5</w:t>
            </w:r>
            <w:r>
              <w:rPr>
                <w:rFonts w:hint="eastAsia" w:ascii="Times New Roman" w:hAnsi="Times New Roman"/>
              </w:rPr>
              <w:t>m³</w:t>
            </w:r>
          </w:p>
        </w:tc>
        <w:tc>
          <w:tcPr>
            <w:tcW w:w="334" w:type="pct"/>
            <w:vAlign w:val="center"/>
          </w:tcPr>
          <w:p w14:paraId="41B8C986">
            <w:pPr>
              <w:pStyle w:val="72"/>
              <w:rPr>
                <w:rFonts w:hint="eastAsia" w:ascii="Times New Roman" w:hAnsi="Times New Roman" w:eastAsia="仿宋"/>
                <w:lang w:eastAsia="zh-CN"/>
              </w:rPr>
            </w:pPr>
            <w:r>
              <w:rPr>
                <w:rFonts w:ascii="Times New Roman" w:hAnsi="Times New Roman"/>
              </w:rPr>
              <w:t>20.14</w:t>
            </w:r>
          </w:p>
        </w:tc>
        <w:tc>
          <w:tcPr>
            <w:tcW w:w="334" w:type="pct"/>
            <w:vAlign w:val="center"/>
          </w:tcPr>
          <w:p w14:paraId="6917F504">
            <w:pPr>
              <w:pStyle w:val="72"/>
              <w:rPr>
                <w:rFonts w:hint="eastAsia" w:ascii="Times New Roman" w:hAnsi="Times New Roman" w:eastAsia="仿宋"/>
                <w:lang w:eastAsia="zh-CN"/>
              </w:rPr>
            </w:pPr>
            <w:r>
              <w:rPr>
                <w:rFonts w:ascii="Times New Roman" w:hAnsi="Times New Roman"/>
              </w:rPr>
              <w:t>26.94</w:t>
            </w:r>
          </w:p>
        </w:tc>
        <w:tc>
          <w:tcPr>
            <w:tcW w:w="334" w:type="pct"/>
            <w:vAlign w:val="center"/>
          </w:tcPr>
          <w:p w14:paraId="571F8467">
            <w:pPr>
              <w:pStyle w:val="72"/>
              <w:rPr>
                <w:rFonts w:hint="eastAsia" w:ascii="Times New Roman" w:hAnsi="Times New Roman" w:eastAsia="仿宋"/>
                <w:lang w:eastAsia="zh-CN"/>
              </w:rPr>
            </w:pPr>
            <w:r>
              <w:rPr>
                <w:rFonts w:ascii="Times New Roman" w:hAnsi="Times New Roman"/>
              </w:rPr>
              <w:t>2.98</w:t>
            </w:r>
          </w:p>
        </w:tc>
        <w:tc>
          <w:tcPr>
            <w:tcW w:w="334" w:type="pct"/>
            <w:vAlign w:val="center"/>
          </w:tcPr>
          <w:p w14:paraId="6F27371C">
            <w:pPr>
              <w:pStyle w:val="72"/>
              <w:rPr>
                <w:rFonts w:hint="eastAsia" w:ascii="Times New Roman" w:hAnsi="Times New Roman" w:eastAsia="仿宋"/>
                <w:lang w:eastAsia="zh-CN"/>
              </w:rPr>
            </w:pPr>
            <w:r>
              <w:rPr>
                <w:rFonts w:ascii="Times New Roman" w:hAnsi="Times New Roman"/>
              </w:rPr>
              <w:t>50.06</w:t>
            </w:r>
          </w:p>
        </w:tc>
        <w:tc>
          <w:tcPr>
            <w:tcW w:w="334" w:type="pct"/>
            <w:vAlign w:val="center"/>
          </w:tcPr>
          <w:p w14:paraId="4E7A2941">
            <w:pPr>
              <w:pStyle w:val="72"/>
              <w:rPr>
                <w:rFonts w:ascii="Times New Roman" w:hAnsi="Times New Roman"/>
              </w:rPr>
            </w:pPr>
            <w:r>
              <w:rPr>
                <w:rFonts w:ascii="Times New Roman" w:hAnsi="Times New Roman"/>
              </w:rPr>
              <w:t>　</w:t>
            </w:r>
          </w:p>
        </w:tc>
        <w:tc>
          <w:tcPr>
            <w:tcW w:w="334" w:type="pct"/>
            <w:vAlign w:val="center"/>
          </w:tcPr>
          <w:p w14:paraId="3F8D74A9">
            <w:pPr>
              <w:pStyle w:val="72"/>
              <w:rPr>
                <w:rFonts w:ascii="Times New Roman" w:hAnsi="Times New Roman"/>
              </w:rPr>
            </w:pPr>
            <w:r>
              <w:rPr>
                <w:rFonts w:ascii="Times New Roman" w:hAnsi="Times New Roman"/>
              </w:rPr>
              <w:t>　</w:t>
            </w:r>
          </w:p>
        </w:tc>
        <w:tc>
          <w:tcPr>
            <w:tcW w:w="334" w:type="pct"/>
            <w:vAlign w:val="center"/>
          </w:tcPr>
          <w:p w14:paraId="30C14D43">
            <w:pPr>
              <w:pStyle w:val="72"/>
              <w:rPr>
                <w:rFonts w:ascii="Times New Roman" w:hAnsi="Times New Roman"/>
              </w:rPr>
            </w:pPr>
            <w:r>
              <w:rPr>
                <w:rFonts w:ascii="Times New Roman" w:hAnsi="Times New Roman"/>
              </w:rPr>
              <w:t>　</w:t>
            </w:r>
          </w:p>
        </w:tc>
        <w:tc>
          <w:tcPr>
            <w:tcW w:w="334" w:type="pct"/>
            <w:vAlign w:val="center"/>
          </w:tcPr>
          <w:p w14:paraId="02BDE354">
            <w:pPr>
              <w:pStyle w:val="72"/>
              <w:rPr>
                <w:rFonts w:ascii="Times New Roman" w:hAnsi="Times New Roman"/>
              </w:rPr>
            </w:pPr>
            <w:r>
              <w:rPr>
                <w:rFonts w:ascii="Times New Roman" w:hAnsi="Times New Roman"/>
              </w:rPr>
              <w:t>　</w:t>
            </w:r>
          </w:p>
        </w:tc>
        <w:tc>
          <w:tcPr>
            <w:tcW w:w="334" w:type="pct"/>
            <w:vAlign w:val="center"/>
          </w:tcPr>
          <w:p w14:paraId="49C6B4C7">
            <w:pPr>
              <w:pStyle w:val="72"/>
              <w:rPr>
                <w:rFonts w:ascii="Times New Roman" w:hAnsi="Times New Roman"/>
              </w:rPr>
            </w:pPr>
            <w:r>
              <w:rPr>
                <w:rFonts w:ascii="Times New Roman" w:hAnsi="Times New Roman"/>
              </w:rPr>
              <w:t>　</w:t>
            </w:r>
          </w:p>
        </w:tc>
        <w:tc>
          <w:tcPr>
            <w:tcW w:w="337" w:type="pct"/>
            <w:vAlign w:val="center"/>
          </w:tcPr>
          <w:p w14:paraId="67121707">
            <w:pPr>
              <w:pStyle w:val="72"/>
              <w:rPr>
                <w:rFonts w:ascii="Times New Roman" w:hAnsi="Times New Roman"/>
              </w:rPr>
            </w:pPr>
            <w:r>
              <w:rPr>
                <w:rFonts w:ascii="Times New Roman" w:hAnsi="Times New Roman"/>
              </w:rPr>
              <w:t>　</w:t>
            </w:r>
          </w:p>
        </w:tc>
        <w:tc>
          <w:tcPr>
            <w:tcW w:w="334" w:type="pct"/>
            <w:vAlign w:val="center"/>
          </w:tcPr>
          <w:p w14:paraId="3C0A4521">
            <w:pPr>
              <w:pStyle w:val="72"/>
              <w:rPr>
                <w:rFonts w:ascii="Times New Roman" w:hAnsi="Times New Roman"/>
              </w:rPr>
            </w:pPr>
            <w:r>
              <w:rPr>
                <w:rFonts w:ascii="Times New Roman" w:hAnsi="Times New Roman"/>
              </w:rPr>
              <w:t>　</w:t>
            </w:r>
          </w:p>
        </w:tc>
        <w:tc>
          <w:tcPr>
            <w:tcW w:w="328" w:type="pct"/>
            <w:vAlign w:val="center"/>
          </w:tcPr>
          <w:p w14:paraId="710AD7CE">
            <w:pPr>
              <w:pStyle w:val="72"/>
              <w:rPr>
                <w:rFonts w:hint="eastAsia" w:ascii="Times New Roman" w:hAnsi="Times New Roman" w:eastAsia="仿宋"/>
                <w:lang w:eastAsia="zh-CN"/>
              </w:rPr>
            </w:pPr>
            <w:r>
              <w:rPr>
                <w:rFonts w:ascii="Times New Roman" w:hAnsi="Times New Roman"/>
              </w:rPr>
              <w:t>50.06</w:t>
            </w:r>
          </w:p>
        </w:tc>
      </w:tr>
      <w:tr w14:paraId="345E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2622BCBB">
            <w:pPr>
              <w:pStyle w:val="72"/>
              <w:rPr>
                <w:rFonts w:ascii="Times New Roman" w:hAnsi="Times New Roman"/>
              </w:rPr>
            </w:pPr>
            <w:r>
              <w:rPr>
                <w:rFonts w:ascii="Times New Roman" w:hAnsi="Times New Roman"/>
              </w:rPr>
              <w:t>1020</w:t>
            </w:r>
          </w:p>
        </w:tc>
        <w:tc>
          <w:tcPr>
            <w:tcW w:w="661" w:type="pct"/>
            <w:vAlign w:val="center"/>
          </w:tcPr>
          <w:p w14:paraId="1DAF0E07">
            <w:pPr>
              <w:pStyle w:val="72"/>
              <w:rPr>
                <w:rFonts w:ascii="Times New Roman" w:hAnsi="Times New Roman"/>
              </w:rPr>
            </w:pPr>
            <w:r>
              <w:rPr>
                <w:rFonts w:ascii="Times New Roman" w:hAnsi="Times New Roman"/>
              </w:rPr>
              <w:t>拖拉机55kW</w:t>
            </w:r>
          </w:p>
        </w:tc>
        <w:tc>
          <w:tcPr>
            <w:tcW w:w="334" w:type="pct"/>
            <w:vAlign w:val="center"/>
          </w:tcPr>
          <w:p w14:paraId="5FB9EFF1">
            <w:pPr>
              <w:pStyle w:val="72"/>
              <w:rPr>
                <w:rFonts w:hint="eastAsia" w:ascii="Times New Roman" w:hAnsi="Times New Roman" w:eastAsia="仿宋"/>
                <w:lang w:eastAsia="zh-CN"/>
              </w:rPr>
            </w:pPr>
            <w:r>
              <w:rPr>
                <w:rFonts w:ascii="Times New Roman" w:hAnsi="Times New Roman"/>
              </w:rPr>
              <w:t>27.49</w:t>
            </w:r>
          </w:p>
        </w:tc>
        <w:tc>
          <w:tcPr>
            <w:tcW w:w="334" w:type="pct"/>
            <w:vAlign w:val="center"/>
          </w:tcPr>
          <w:p w14:paraId="7B36E2BD">
            <w:pPr>
              <w:pStyle w:val="72"/>
              <w:rPr>
                <w:rFonts w:hint="eastAsia" w:ascii="Times New Roman" w:hAnsi="Times New Roman" w:eastAsia="仿宋"/>
                <w:lang w:eastAsia="zh-CN"/>
              </w:rPr>
            </w:pPr>
            <w:r>
              <w:rPr>
                <w:rFonts w:ascii="Times New Roman" w:hAnsi="Times New Roman"/>
              </w:rPr>
              <w:t>34.19</w:t>
            </w:r>
          </w:p>
        </w:tc>
        <w:tc>
          <w:tcPr>
            <w:tcW w:w="334" w:type="pct"/>
            <w:vAlign w:val="center"/>
          </w:tcPr>
          <w:p w14:paraId="03A565F9">
            <w:pPr>
              <w:pStyle w:val="72"/>
              <w:rPr>
                <w:rFonts w:hint="eastAsia" w:ascii="Times New Roman" w:hAnsi="Times New Roman" w:eastAsia="仿宋"/>
                <w:lang w:eastAsia="zh-CN"/>
              </w:rPr>
            </w:pPr>
            <w:r>
              <w:rPr>
                <w:rFonts w:ascii="Times New Roman" w:hAnsi="Times New Roman"/>
              </w:rPr>
              <w:t>1.79</w:t>
            </w:r>
          </w:p>
        </w:tc>
        <w:tc>
          <w:tcPr>
            <w:tcW w:w="334" w:type="pct"/>
            <w:vAlign w:val="center"/>
          </w:tcPr>
          <w:p w14:paraId="7B45B7ED">
            <w:pPr>
              <w:pStyle w:val="72"/>
              <w:rPr>
                <w:rFonts w:hint="eastAsia" w:ascii="Times New Roman" w:hAnsi="Times New Roman" w:eastAsia="仿宋"/>
                <w:lang w:eastAsia="zh-CN"/>
              </w:rPr>
            </w:pPr>
            <w:r>
              <w:rPr>
                <w:rFonts w:ascii="Times New Roman" w:hAnsi="Times New Roman"/>
              </w:rPr>
              <w:t>63.47</w:t>
            </w:r>
          </w:p>
        </w:tc>
        <w:tc>
          <w:tcPr>
            <w:tcW w:w="334" w:type="pct"/>
            <w:vAlign w:val="center"/>
          </w:tcPr>
          <w:p w14:paraId="3CAE0153">
            <w:pPr>
              <w:pStyle w:val="72"/>
              <w:rPr>
                <w:rFonts w:hint="eastAsia" w:ascii="Times New Roman" w:hAnsi="Times New Roman" w:eastAsia="仿宋"/>
                <w:lang w:eastAsia="zh-CN"/>
              </w:rPr>
            </w:pPr>
            <w:r>
              <w:rPr>
                <w:rFonts w:ascii="Times New Roman" w:hAnsi="Times New Roman"/>
              </w:rPr>
              <w:t>102.08</w:t>
            </w:r>
          </w:p>
        </w:tc>
        <w:tc>
          <w:tcPr>
            <w:tcW w:w="334" w:type="pct"/>
            <w:vAlign w:val="center"/>
          </w:tcPr>
          <w:p w14:paraId="7A759B4D">
            <w:pPr>
              <w:pStyle w:val="72"/>
              <w:rPr>
                <w:rFonts w:ascii="Times New Roman" w:hAnsi="Times New Roman"/>
              </w:rPr>
            </w:pPr>
            <w:r>
              <w:rPr>
                <w:rFonts w:ascii="Times New Roman" w:hAnsi="Times New Roman"/>
              </w:rPr>
              <w:t>　</w:t>
            </w:r>
          </w:p>
        </w:tc>
        <w:tc>
          <w:tcPr>
            <w:tcW w:w="334" w:type="pct"/>
            <w:vAlign w:val="center"/>
          </w:tcPr>
          <w:p w14:paraId="0CD3C420">
            <w:pPr>
              <w:pStyle w:val="72"/>
              <w:rPr>
                <w:rFonts w:hint="eastAsia" w:ascii="Times New Roman" w:hAnsi="Times New Roman" w:eastAsia="仿宋"/>
                <w:lang w:eastAsia="zh-CN"/>
              </w:rPr>
            </w:pPr>
            <w:r>
              <w:rPr>
                <w:rFonts w:ascii="Times New Roman" w:hAnsi="Times New Roman"/>
              </w:rPr>
              <w:t>193.50</w:t>
            </w:r>
          </w:p>
        </w:tc>
        <w:tc>
          <w:tcPr>
            <w:tcW w:w="334" w:type="pct"/>
            <w:vAlign w:val="center"/>
          </w:tcPr>
          <w:p w14:paraId="3317A983">
            <w:pPr>
              <w:pStyle w:val="72"/>
              <w:rPr>
                <w:rFonts w:ascii="Times New Roman" w:hAnsi="Times New Roman"/>
              </w:rPr>
            </w:pPr>
            <w:r>
              <w:rPr>
                <w:rFonts w:ascii="Times New Roman" w:hAnsi="Times New Roman"/>
              </w:rPr>
              <w:t>　</w:t>
            </w:r>
          </w:p>
        </w:tc>
        <w:tc>
          <w:tcPr>
            <w:tcW w:w="334" w:type="pct"/>
            <w:vAlign w:val="center"/>
          </w:tcPr>
          <w:p w14:paraId="2DCECEAC">
            <w:pPr>
              <w:pStyle w:val="72"/>
              <w:rPr>
                <w:rFonts w:ascii="Times New Roman" w:hAnsi="Times New Roman"/>
              </w:rPr>
            </w:pPr>
            <w:r>
              <w:rPr>
                <w:rFonts w:ascii="Times New Roman" w:hAnsi="Times New Roman"/>
              </w:rPr>
              <w:t>　</w:t>
            </w:r>
          </w:p>
        </w:tc>
        <w:tc>
          <w:tcPr>
            <w:tcW w:w="337" w:type="pct"/>
            <w:vAlign w:val="center"/>
          </w:tcPr>
          <w:p w14:paraId="71DB6C48">
            <w:pPr>
              <w:pStyle w:val="72"/>
              <w:rPr>
                <w:rFonts w:ascii="Times New Roman" w:hAnsi="Times New Roman"/>
              </w:rPr>
            </w:pPr>
            <w:r>
              <w:rPr>
                <w:rFonts w:ascii="Times New Roman" w:hAnsi="Times New Roman"/>
              </w:rPr>
              <w:t>　</w:t>
            </w:r>
          </w:p>
        </w:tc>
        <w:tc>
          <w:tcPr>
            <w:tcW w:w="334" w:type="pct"/>
            <w:vAlign w:val="center"/>
          </w:tcPr>
          <w:p w14:paraId="09D5F128">
            <w:pPr>
              <w:pStyle w:val="72"/>
              <w:rPr>
                <w:rFonts w:hint="eastAsia" w:ascii="Times New Roman" w:hAnsi="Times New Roman" w:eastAsia="仿宋"/>
                <w:lang w:eastAsia="zh-CN"/>
              </w:rPr>
            </w:pPr>
            <w:r>
              <w:rPr>
                <w:rFonts w:ascii="Times New Roman" w:hAnsi="Times New Roman"/>
              </w:rPr>
              <w:t>295.58</w:t>
            </w:r>
          </w:p>
        </w:tc>
        <w:tc>
          <w:tcPr>
            <w:tcW w:w="328" w:type="pct"/>
            <w:vAlign w:val="center"/>
          </w:tcPr>
          <w:p w14:paraId="6F914DB1">
            <w:pPr>
              <w:pStyle w:val="72"/>
              <w:rPr>
                <w:rFonts w:hint="eastAsia" w:ascii="Times New Roman" w:hAnsi="Times New Roman" w:eastAsia="仿宋"/>
                <w:lang w:eastAsia="zh-CN"/>
              </w:rPr>
            </w:pPr>
            <w:r>
              <w:rPr>
                <w:rFonts w:ascii="Times New Roman" w:hAnsi="Times New Roman"/>
              </w:rPr>
              <w:t>359.05</w:t>
            </w:r>
          </w:p>
        </w:tc>
      </w:tr>
      <w:tr w14:paraId="4C7A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5B417FFB">
            <w:pPr>
              <w:pStyle w:val="72"/>
              <w:rPr>
                <w:rFonts w:ascii="Times New Roman" w:hAnsi="Times New Roman"/>
              </w:rPr>
            </w:pPr>
            <w:r>
              <w:rPr>
                <w:rFonts w:ascii="Times New Roman" w:hAnsi="Times New Roman"/>
              </w:rPr>
              <w:t>1041</w:t>
            </w:r>
          </w:p>
        </w:tc>
        <w:tc>
          <w:tcPr>
            <w:tcW w:w="661" w:type="pct"/>
            <w:noWrap/>
            <w:vAlign w:val="center"/>
          </w:tcPr>
          <w:p w14:paraId="7AD79A2B">
            <w:pPr>
              <w:pStyle w:val="72"/>
              <w:rPr>
                <w:rFonts w:ascii="Times New Roman" w:hAnsi="Times New Roman"/>
              </w:rPr>
            </w:pPr>
            <w:r>
              <w:rPr>
                <w:rFonts w:ascii="Times New Roman" w:hAnsi="Times New Roman"/>
              </w:rPr>
              <w:t>风钻手持式</w:t>
            </w:r>
          </w:p>
        </w:tc>
        <w:tc>
          <w:tcPr>
            <w:tcW w:w="334" w:type="pct"/>
            <w:vAlign w:val="center"/>
          </w:tcPr>
          <w:p w14:paraId="3C426998">
            <w:pPr>
              <w:pStyle w:val="72"/>
              <w:rPr>
                <w:rFonts w:hint="eastAsia" w:ascii="Times New Roman" w:hAnsi="Times New Roman" w:eastAsia="仿宋"/>
                <w:lang w:eastAsia="zh-CN"/>
              </w:rPr>
            </w:pPr>
            <w:r>
              <w:rPr>
                <w:rFonts w:ascii="Times New Roman" w:hAnsi="Times New Roman"/>
              </w:rPr>
              <w:t>1.58</w:t>
            </w:r>
          </w:p>
        </w:tc>
        <w:tc>
          <w:tcPr>
            <w:tcW w:w="334" w:type="pct"/>
            <w:vAlign w:val="center"/>
          </w:tcPr>
          <w:p w14:paraId="5AD9BD5D">
            <w:pPr>
              <w:pStyle w:val="72"/>
              <w:rPr>
                <w:rFonts w:hint="eastAsia" w:ascii="Times New Roman" w:hAnsi="Times New Roman" w:eastAsia="仿宋"/>
                <w:lang w:eastAsia="zh-CN"/>
              </w:rPr>
            </w:pPr>
            <w:r>
              <w:rPr>
                <w:rFonts w:ascii="Times New Roman" w:hAnsi="Times New Roman"/>
              </w:rPr>
              <w:t>5.70</w:t>
            </w:r>
          </w:p>
        </w:tc>
        <w:tc>
          <w:tcPr>
            <w:tcW w:w="334" w:type="pct"/>
            <w:vAlign w:val="center"/>
          </w:tcPr>
          <w:p w14:paraId="6E428E1F">
            <w:pPr>
              <w:pStyle w:val="72"/>
              <w:rPr>
                <w:rFonts w:ascii="Times New Roman" w:hAnsi="Times New Roman"/>
              </w:rPr>
            </w:pPr>
            <w:r>
              <w:rPr>
                <w:rFonts w:ascii="Times New Roman" w:hAnsi="Times New Roman"/>
              </w:rPr>
              <w:t>　</w:t>
            </w:r>
          </w:p>
        </w:tc>
        <w:tc>
          <w:tcPr>
            <w:tcW w:w="334" w:type="pct"/>
            <w:vAlign w:val="center"/>
          </w:tcPr>
          <w:p w14:paraId="0A532656">
            <w:pPr>
              <w:pStyle w:val="72"/>
              <w:rPr>
                <w:rFonts w:hint="eastAsia" w:ascii="Times New Roman" w:hAnsi="Times New Roman" w:eastAsia="仿宋"/>
                <w:lang w:eastAsia="zh-CN"/>
              </w:rPr>
            </w:pPr>
            <w:r>
              <w:rPr>
                <w:rFonts w:ascii="Times New Roman" w:hAnsi="Times New Roman"/>
              </w:rPr>
              <w:t>7.27</w:t>
            </w:r>
          </w:p>
        </w:tc>
        <w:tc>
          <w:tcPr>
            <w:tcW w:w="334" w:type="pct"/>
            <w:vAlign w:val="center"/>
          </w:tcPr>
          <w:p w14:paraId="32F27A73">
            <w:pPr>
              <w:pStyle w:val="72"/>
              <w:rPr>
                <w:rFonts w:ascii="Times New Roman" w:hAnsi="Times New Roman"/>
              </w:rPr>
            </w:pPr>
            <w:r>
              <w:rPr>
                <w:rFonts w:ascii="Times New Roman" w:hAnsi="Times New Roman"/>
              </w:rPr>
              <w:t>　</w:t>
            </w:r>
          </w:p>
        </w:tc>
        <w:tc>
          <w:tcPr>
            <w:tcW w:w="334" w:type="pct"/>
            <w:vAlign w:val="center"/>
          </w:tcPr>
          <w:p w14:paraId="1B505303">
            <w:pPr>
              <w:pStyle w:val="72"/>
              <w:rPr>
                <w:rFonts w:ascii="Times New Roman" w:hAnsi="Times New Roman"/>
              </w:rPr>
            </w:pPr>
            <w:r>
              <w:rPr>
                <w:rFonts w:ascii="Times New Roman" w:hAnsi="Times New Roman"/>
              </w:rPr>
              <w:t>　</w:t>
            </w:r>
          </w:p>
        </w:tc>
        <w:tc>
          <w:tcPr>
            <w:tcW w:w="334" w:type="pct"/>
            <w:vAlign w:val="center"/>
          </w:tcPr>
          <w:p w14:paraId="738D6DA2">
            <w:pPr>
              <w:pStyle w:val="72"/>
              <w:rPr>
                <w:rFonts w:ascii="Times New Roman" w:hAnsi="Times New Roman"/>
              </w:rPr>
            </w:pPr>
            <w:r>
              <w:rPr>
                <w:rFonts w:ascii="Times New Roman" w:hAnsi="Times New Roman"/>
              </w:rPr>
              <w:t>　</w:t>
            </w:r>
          </w:p>
        </w:tc>
        <w:tc>
          <w:tcPr>
            <w:tcW w:w="334" w:type="pct"/>
            <w:vAlign w:val="center"/>
          </w:tcPr>
          <w:p w14:paraId="13B3CE00">
            <w:pPr>
              <w:pStyle w:val="72"/>
              <w:rPr>
                <w:rFonts w:ascii="Times New Roman" w:hAnsi="Times New Roman"/>
              </w:rPr>
            </w:pPr>
            <w:r>
              <w:rPr>
                <w:rFonts w:ascii="Times New Roman" w:hAnsi="Times New Roman"/>
              </w:rPr>
              <w:t>　</w:t>
            </w:r>
          </w:p>
        </w:tc>
        <w:tc>
          <w:tcPr>
            <w:tcW w:w="334" w:type="pct"/>
            <w:vAlign w:val="center"/>
          </w:tcPr>
          <w:p w14:paraId="73F28A13">
            <w:pPr>
              <w:pStyle w:val="72"/>
              <w:rPr>
                <w:rFonts w:hint="eastAsia" w:ascii="Times New Roman" w:hAnsi="Times New Roman" w:eastAsia="仿宋"/>
                <w:lang w:eastAsia="zh-CN"/>
              </w:rPr>
            </w:pPr>
            <w:r>
              <w:rPr>
                <w:rFonts w:ascii="Times New Roman" w:hAnsi="Times New Roman"/>
              </w:rPr>
              <w:t>159.00</w:t>
            </w:r>
          </w:p>
        </w:tc>
        <w:tc>
          <w:tcPr>
            <w:tcW w:w="337" w:type="pct"/>
            <w:vAlign w:val="center"/>
          </w:tcPr>
          <w:p w14:paraId="3AA7DDF5">
            <w:pPr>
              <w:pStyle w:val="72"/>
              <w:rPr>
                <w:rFonts w:hint="eastAsia" w:ascii="Times New Roman" w:hAnsi="Times New Roman" w:eastAsia="仿宋"/>
                <w:lang w:eastAsia="zh-CN"/>
              </w:rPr>
            </w:pPr>
            <w:r>
              <w:rPr>
                <w:rFonts w:ascii="Times New Roman" w:hAnsi="Times New Roman"/>
              </w:rPr>
              <w:t>0.55</w:t>
            </w:r>
          </w:p>
        </w:tc>
        <w:tc>
          <w:tcPr>
            <w:tcW w:w="334" w:type="pct"/>
            <w:vAlign w:val="center"/>
          </w:tcPr>
          <w:p w14:paraId="54FADEF0">
            <w:pPr>
              <w:pStyle w:val="72"/>
              <w:rPr>
                <w:rFonts w:hint="eastAsia" w:ascii="Times New Roman" w:hAnsi="Times New Roman" w:eastAsia="仿宋"/>
                <w:lang w:eastAsia="zh-CN"/>
              </w:rPr>
            </w:pPr>
            <w:r>
              <w:rPr>
                <w:rFonts w:ascii="Times New Roman" w:hAnsi="Times New Roman"/>
              </w:rPr>
              <w:t>159.55</w:t>
            </w:r>
          </w:p>
        </w:tc>
        <w:tc>
          <w:tcPr>
            <w:tcW w:w="328" w:type="pct"/>
            <w:vAlign w:val="center"/>
          </w:tcPr>
          <w:p w14:paraId="37477C59">
            <w:pPr>
              <w:pStyle w:val="72"/>
              <w:rPr>
                <w:rFonts w:hint="eastAsia" w:ascii="Times New Roman" w:hAnsi="Times New Roman" w:eastAsia="仿宋"/>
                <w:lang w:eastAsia="zh-CN"/>
              </w:rPr>
            </w:pPr>
            <w:r>
              <w:rPr>
                <w:rFonts w:ascii="Times New Roman" w:hAnsi="Times New Roman"/>
              </w:rPr>
              <w:t>166.82</w:t>
            </w:r>
          </w:p>
        </w:tc>
      </w:tr>
      <w:tr w14:paraId="7E32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06918A9C">
            <w:pPr>
              <w:pStyle w:val="72"/>
              <w:rPr>
                <w:rFonts w:ascii="Times New Roman" w:hAnsi="Times New Roman"/>
              </w:rPr>
            </w:pPr>
            <w:r>
              <w:rPr>
                <w:rFonts w:ascii="Times New Roman" w:hAnsi="Times New Roman"/>
              </w:rPr>
              <w:t>1046</w:t>
            </w:r>
          </w:p>
        </w:tc>
        <w:tc>
          <w:tcPr>
            <w:tcW w:w="661" w:type="pct"/>
            <w:noWrap/>
            <w:vAlign w:val="center"/>
          </w:tcPr>
          <w:p w14:paraId="187F4523">
            <w:pPr>
              <w:pStyle w:val="72"/>
              <w:rPr>
                <w:rFonts w:ascii="Times New Roman" w:hAnsi="Times New Roman"/>
              </w:rPr>
            </w:pPr>
            <w:r>
              <w:rPr>
                <w:rFonts w:ascii="Times New Roman" w:hAnsi="Times New Roman"/>
              </w:rPr>
              <w:t>修钎设备</w:t>
            </w:r>
          </w:p>
        </w:tc>
        <w:tc>
          <w:tcPr>
            <w:tcW w:w="1002" w:type="pct"/>
            <w:gridSpan w:val="3"/>
            <w:noWrap/>
            <w:vAlign w:val="center"/>
          </w:tcPr>
          <w:p w14:paraId="658C079C">
            <w:pPr>
              <w:pStyle w:val="72"/>
              <w:rPr>
                <w:rFonts w:ascii="Times New Roman" w:hAnsi="Times New Roman"/>
              </w:rPr>
            </w:pPr>
            <w:r>
              <w:rPr>
                <w:rFonts w:ascii="Times New Roman" w:hAnsi="Times New Roman"/>
              </w:rPr>
              <w:t>包括（锻、修、磨机）</w:t>
            </w:r>
          </w:p>
        </w:tc>
        <w:tc>
          <w:tcPr>
            <w:tcW w:w="334" w:type="pct"/>
            <w:noWrap/>
            <w:vAlign w:val="center"/>
          </w:tcPr>
          <w:p w14:paraId="480CD8D8">
            <w:pPr>
              <w:pStyle w:val="72"/>
              <w:rPr>
                <w:rFonts w:ascii="Times New Roman" w:hAnsi="Times New Roman"/>
              </w:rPr>
            </w:pPr>
            <w:r>
              <w:rPr>
                <w:rFonts w:ascii="Times New Roman" w:hAnsi="Times New Roman"/>
              </w:rPr>
              <w:t>423.03</w:t>
            </w:r>
          </w:p>
        </w:tc>
        <w:tc>
          <w:tcPr>
            <w:tcW w:w="2007" w:type="pct"/>
            <w:gridSpan w:val="6"/>
            <w:noWrap/>
            <w:vAlign w:val="center"/>
          </w:tcPr>
          <w:p w14:paraId="2FE7A2E6">
            <w:pPr>
              <w:pStyle w:val="72"/>
              <w:rPr>
                <w:rFonts w:ascii="Times New Roman" w:hAnsi="Times New Roman"/>
              </w:rPr>
            </w:pPr>
            <w:r>
              <w:rPr>
                <w:rFonts w:ascii="Times New Roman" w:hAnsi="Times New Roman"/>
              </w:rPr>
              <w:t>包括（人工、燃料、淬火材料）</w:t>
            </w:r>
          </w:p>
        </w:tc>
        <w:tc>
          <w:tcPr>
            <w:tcW w:w="334" w:type="pct"/>
            <w:noWrap/>
            <w:vAlign w:val="center"/>
          </w:tcPr>
          <w:p w14:paraId="64610F85">
            <w:pPr>
              <w:pStyle w:val="72"/>
              <w:rPr>
                <w:rFonts w:ascii="Times New Roman" w:hAnsi="Times New Roman"/>
              </w:rPr>
            </w:pPr>
            <w:r>
              <w:rPr>
                <w:rFonts w:ascii="Times New Roman" w:hAnsi="Times New Roman"/>
              </w:rPr>
              <w:t>94.08</w:t>
            </w:r>
          </w:p>
        </w:tc>
        <w:tc>
          <w:tcPr>
            <w:tcW w:w="328" w:type="pct"/>
            <w:vAlign w:val="center"/>
          </w:tcPr>
          <w:p w14:paraId="7A9D4378">
            <w:pPr>
              <w:pStyle w:val="72"/>
              <w:rPr>
                <w:rFonts w:hint="eastAsia" w:ascii="Times New Roman" w:hAnsi="Times New Roman" w:eastAsia="仿宋"/>
                <w:lang w:eastAsia="zh-CN"/>
              </w:rPr>
            </w:pPr>
            <w:r>
              <w:rPr>
                <w:rFonts w:ascii="Times New Roman" w:hAnsi="Times New Roman"/>
              </w:rPr>
              <w:t>517.11</w:t>
            </w:r>
          </w:p>
        </w:tc>
      </w:tr>
      <w:tr w14:paraId="224D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34" w:type="pct"/>
            <w:vAlign w:val="center"/>
          </w:tcPr>
          <w:p w14:paraId="6B547137">
            <w:pPr>
              <w:pStyle w:val="72"/>
              <w:rPr>
                <w:rFonts w:ascii="Times New Roman" w:hAnsi="Times New Roman"/>
              </w:rPr>
            </w:pPr>
            <w:r>
              <w:rPr>
                <w:rFonts w:ascii="Times New Roman" w:hAnsi="Times New Roman"/>
              </w:rPr>
              <w:t>1005</w:t>
            </w:r>
          </w:p>
        </w:tc>
        <w:tc>
          <w:tcPr>
            <w:tcW w:w="661" w:type="pct"/>
            <w:vAlign w:val="center"/>
          </w:tcPr>
          <w:p w14:paraId="218849D6">
            <w:pPr>
              <w:pStyle w:val="72"/>
              <w:rPr>
                <w:rFonts w:ascii="Times New Roman" w:hAnsi="Times New Roman"/>
              </w:rPr>
            </w:pPr>
            <w:r>
              <w:rPr>
                <w:rFonts w:ascii="Times New Roman" w:hAnsi="Times New Roman"/>
              </w:rPr>
              <w:t>挖掘机油动1.2</w:t>
            </w:r>
            <w:r>
              <w:rPr>
                <w:rFonts w:hint="eastAsia" w:ascii="Times New Roman" w:hAnsi="Times New Roman"/>
              </w:rPr>
              <w:t>m³</w:t>
            </w:r>
          </w:p>
        </w:tc>
        <w:tc>
          <w:tcPr>
            <w:tcW w:w="334" w:type="pct"/>
            <w:vAlign w:val="center"/>
          </w:tcPr>
          <w:p w14:paraId="04855E27">
            <w:pPr>
              <w:pStyle w:val="72"/>
              <w:rPr>
                <w:rFonts w:hint="eastAsia" w:ascii="Times New Roman" w:hAnsi="Times New Roman" w:eastAsia="仿宋"/>
                <w:lang w:eastAsia="zh-CN"/>
              </w:rPr>
            </w:pPr>
            <w:r>
              <w:rPr>
                <w:rFonts w:ascii="Times New Roman" w:hAnsi="Times New Roman"/>
              </w:rPr>
              <w:t>158.63</w:t>
            </w:r>
          </w:p>
        </w:tc>
        <w:tc>
          <w:tcPr>
            <w:tcW w:w="334" w:type="pct"/>
            <w:vAlign w:val="center"/>
          </w:tcPr>
          <w:p w14:paraId="0B79B59E">
            <w:pPr>
              <w:pStyle w:val="72"/>
              <w:rPr>
                <w:rFonts w:hint="eastAsia" w:ascii="Times New Roman" w:hAnsi="Times New Roman" w:eastAsia="仿宋"/>
                <w:lang w:eastAsia="zh-CN"/>
              </w:rPr>
            </w:pPr>
            <w:r>
              <w:rPr>
                <w:rFonts w:ascii="Times New Roman" w:hAnsi="Times New Roman"/>
              </w:rPr>
              <w:t>176.35</w:t>
            </w:r>
          </w:p>
        </w:tc>
        <w:tc>
          <w:tcPr>
            <w:tcW w:w="334" w:type="pct"/>
            <w:vAlign w:val="center"/>
          </w:tcPr>
          <w:p w14:paraId="573931C2">
            <w:pPr>
              <w:pStyle w:val="72"/>
              <w:rPr>
                <w:rFonts w:hint="eastAsia" w:ascii="Times New Roman" w:hAnsi="Times New Roman" w:eastAsia="仿宋"/>
                <w:lang w:eastAsia="zh-CN"/>
              </w:rPr>
            </w:pPr>
            <w:r>
              <w:rPr>
                <w:rFonts w:ascii="Times New Roman" w:hAnsi="Times New Roman"/>
              </w:rPr>
              <w:t>16.38</w:t>
            </w:r>
          </w:p>
        </w:tc>
        <w:tc>
          <w:tcPr>
            <w:tcW w:w="334" w:type="pct"/>
            <w:vAlign w:val="center"/>
          </w:tcPr>
          <w:p w14:paraId="4836C4A1">
            <w:pPr>
              <w:pStyle w:val="72"/>
              <w:rPr>
                <w:rFonts w:hint="eastAsia" w:ascii="Times New Roman" w:hAnsi="Times New Roman" w:eastAsia="仿宋"/>
                <w:lang w:eastAsia="zh-CN"/>
              </w:rPr>
            </w:pPr>
            <w:r>
              <w:rPr>
                <w:rFonts w:ascii="Times New Roman" w:hAnsi="Times New Roman"/>
              </w:rPr>
              <w:t>351.36</w:t>
            </w:r>
          </w:p>
        </w:tc>
        <w:tc>
          <w:tcPr>
            <w:tcW w:w="334" w:type="pct"/>
            <w:vAlign w:val="center"/>
          </w:tcPr>
          <w:p w14:paraId="78223691">
            <w:pPr>
              <w:pStyle w:val="72"/>
              <w:rPr>
                <w:rFonts w:hint="eastAsia" w:ascii="Times New Roman" w:hAnsi="Times New Roman" w:eastAsia="仿宋"/>
                <w:lang w:eastAsia="zh-CN"/>
              </w:rPr>
            </w:pPr>
            <w:r>
              <w:rPr>
                <w:rFonts w:ascii="Times New Roman" w:hAnsi="Times New Roman"/>
              </w:rPr>
              <w:t>102.08</w:t>
            </w:r>
          </w:p>
        </w:tc>
        <w:tc>
          <w:tcPr>
            <w:tcW w:w="334" w:type="pct"/>
            <w:vAlign w:val="center"/>
          </w:tcPr>
          <w:p w14:paraId="53944FF6">
            <w:pPr>
              <w:pStyle w:val="72"/>
              <w:rPr>
                <w:rFonts w:ascii="Times New Roman" w:hAnsi="Times New Roman"/>
              </w:rPr>
            </w:pPr>
            <w:r>
              <w:rPr>
                <w:rFonts w:ascii="Times New Roman" w:hAnsi="Times New Roman"/>
              </w:rPr>
              <w:t>　</w:t>
            </w:r>
          </w:p>
        </w:tc>
        <w:tc>
          <w:tcPr>
            <w:tcW w:w="334" w:type="pct"/>
            <w:vAlign w:val="center"/>
          </w:tcPr>
          <w:p w14:paraId="7BCC70CC">
            <w:pPr>
              <w:pStyle w:val="72"/>
              <w:rPr>
                <w:rFonts w:hint="eastAsia" w:ascii="Times New Roman" w:hAnsi="Times New Roman" w:eastAsia="仿宋"/>
                <w:lang w:eastAsia="zh-CN"/>
              </w:rPr>
            </w:pPr>
            <w:r>
              <w:rPr>
                <w:rFonts w:ascii="Times New Roman" w:hAnsi="Times New Roman"/>
              </w:rPr>
              <w:t>387.00</w:t>
            </w:r>
          </w:p>
        </w:tc>
        <w:tc>
          <w:tcPr>
            <w:tcW w:w="334" w:type="pct"/>
            <w:vAlign w:val="center"/>
          </w:tcPr>
          <w:p w14:paraId="6D10398B">
            <w:pPr>
              <w:pStyle w:val="72"/>
              <w:rPr>
                <w:rFonts w:ascii="Times New Roman" w:hAnsi="Times New Roman"/>
              </w:rPr>
            </w:pPr>
            <w:r>
              <w:rPr>
                <w:rFonts w:ascii="Times New Roman" w:hAnsi="Times New Roman"/>
              </w:rPr>
              <w:t>　</w:t>
            </w:r>
          </w:p>
        </w:tc>
        <w:tc>
          <w:tcPr>
            <w:tcW w:w="334" w:type="pct"/>
            <w:vAlign w:val="center"/>
          </w:tcPr>
          <w:p w14:paraId="227C7804">
            <w:pPr>
              <w:pStyle w:val="72"/>
              <w:rPr>
                <w:rFonts w:ascii="Times New Roman" w:hAnsi="Times New Roman"/>
              </w:rPr>
            </w:pPr>
            <w:r>
              <w:rPr>
                <w:rFonts w:ascii="Times New Roman" w:hAnsi="Times New Roman"/>
              </w:rPr>
              <w:t>　</w:t>
            </w:r>
          </w:p>
        </w:tc>
        <w:tc>
          <w:tcPr>
            <w:tcW w:w="337" w:type="pct"/>
            <w:vAlign w:val="center"/>
          </w:tcPr>
          <w:p w14:paraId="1C15084C">
            <w:pPr>
              <w:pStyle w:val="72"/>
              <w:rPr>
                <w:rFonts w:ascii="Times New Roman" w:hAnsi="Times New Roman"/>
              </w:rPr>
            </w:pPr>
            <w:r>
              <w:rPr>
                <w:rFonts w:ascii="Times New Roman" w:hAnsi="Times New Roman"/>
              </w:rPr>
              <w:t>　</w:t>
            </w:r>
          </w:p>
        </w:tc>
        <w:tc>
          <w:tcPr>
            <w:tcW w:w="334" w:type="pct"/>
            <w:vAlign w:val="center"/>
          </w:tcPr>
          <w:p w14:paraId="6DEC1317">
            <w:pPr>
              <w:pStyle w:val="72"/>
              <w:rPr>
                <w:rFonts w:hint="eastAsia" w:ascii="Times New Roman" w:hAnsi="Times New Roman" w:eastAsia="仿宋"/>
                <w:lang w:eastAsia="zh-CN"/>
              </w:rPr>
            </w:pPr>
            <w:r>
              <w:rPr>
                <w:rFonts w:ascii="Times New Roman" w:hAnsi="Times New Roman"/>
              </w:rPr>
              <w:t>489.08</w:t>
            </w:r>
          </w:p>
        </w:tc>
        <w:tc>
          <w:tcPr>
            <w:tcW w:w="328" w:type="pct"/>
            <w:vAlign w:val="center"/>
          </w:tcPr>
          <w:p w14:paraId="14A53E23">
            <w:pPr>
              <w:pStyle w:val="72"/>
              <w:rPr>
                <w:rFonts w:hint="eastAsia" w:ascii="Times New Roman" w:hAnsi="Times New Roman" w:eastAsia="仿宋"/>
                <w:lang w:eastAsia="zh-CN"/>
              </w:rPr>
            </w:pPr>
            <w:r>
              <w:rPr>
                <w:rFonts w:ascii="Times New Roman" w:hAnsi="Times New Roman"/>
              </w:rPr>
              <w:t>840.44</w:t>
            </w:r>
          </w:p>
        </w:tc>
      </w:tr>
      <w:tr w14:paraId="4E18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12CEED0B">
            <w:pPr>
              <w:pStyle w:val="72"/>
              <w:rPr>
                <w:rFonts w:ascii="Times New Roman" w:hAnsi="Times New Roman"/>
              </w:rPr>
            </w:pPr>
            <w:r>
              <w:rPr>
                <w:rFonts w:ascii="Times New Roman" w:hAnsi="Times New Roman"/>
              </w:rPr>
              <w:t>1014</w:t>
            </w:r>
          </w:p>
        </w:tc>
        <w:tc>
          <w:tcPr>
            <w:tcW w:w="661" w:type="pct"/>
            <w:vAlign w:val="center"/>
          </w:tcPr>
          <w:p w14:paraId="27687313">
            <w:pPr>
              <w:pStyle w:val="72"/>
              <w:rPr>
                <w:rFonts w:ascii="Times New Roman" w:hAnsi="Times New Roman"/>
              </w:rPr>
            </w:pPr>
            <w:r>
              <w:rPr>
                <w:rFonts w:ascii="Times New Roman" w:hAnsi="Times New Roman"/>
              </w:rPr>
              <w:t>推土机74kW</w:t>
            </w:r>
          </w:p>
        </w:tc>
        <w:tc>
          <w:tcPr>
            <w:tcW w:w="334" w:type="pct"/>
            <w:vAlign w:val="center"/>
          </w:tcPr>
          <w:p w14:paraId="6D135C98">
            <w:pPr>
              <w:pStyle w:val="72"/>
              <w:rPr>
                <w:rFonts w:hint="eastAsia" w:ascii="Times New Roman" w:hAnsi="Times New Roman" w:eastAsia="仿宋"/>
                <w:lang w:eastAsia="zh-CN"/>
              </w:rPr>
            </w:pPr>
            <w:r>
              <w:rPr>
                <w:rFonts w:ascii="Times New Roman" w:hAnsi="Times New Roman"/>
              </w:rPr>
              <w:t>81.76</w:t>
            </w:r>
          </w:p>
        </w:tc>
        <w:tc>
          <w:tcPr>
            <w:tcW w:w="334" w:type="pct"/>
            <w:vAlign w:val="center"/>
          </w:tcPr>
          <w:p w14:paraId="1AD41201">
            <w:pPr>
              <w:pStyle w:val="72"/>
              <w:rPr>
                <w:rFonts w:hint="eastAsia" w:ascii="Times New Roman" w:hAnsi="Times New Roman" w:eastAsia="仿宋"/>
                <w:lang w:eastAsia="zh-CN"/>
              </w:rPr>
            </w:pPr>
            <w:r>
              <w:rPr>
                <w:rFonts w:ascii="Times New Roman" w:hAnsi="Times New Roman"/>
              </w:rPr>
              <w:t>101.76</w:t>
            </w:r>
          </w:p>
        </w:tc>
        <w:tc>
          <w:tcPr>
            <w:tcW w:w="334" w:type="pct"/>
            <w:vAlign w:val="center"/>
          </w:tcPr>
          <w:p w14:paraId="54C381A9">
            <w:pPr>
              <w:pStyle w:val="72"/>
              <w:rPr>
                <w:rFonts w:hint="eastAsia" w:ascii="Times New Roman" w:hAnsi="Times New Roman" w:eastAsia="仿宋"/>
                <w:lang w:eastAsia="zh-CN"/>
              </w:rPr>
            </w:pPr>
            <w:r>
              <w:rPr>
                <w:rFonts w:ascii="Times New Roman" w:hAnsi="Times New Roman"/>
              </w:rPr>
              <w:t>4.18</w:t>
            </w:r>
          </w:p>
        </w:tc>
        <w:tc>
          <w:tcPr>
            <w:tcW w:w="334" w:type="pct"/>
            <w:vAlign w:val="center"/>
          </w:tcPr>
          <w:p w14:paraId="6B520D4E">
            <w:pPr>
              <w:pStyle w:val="72"/>
              <w:rPr>
                <w:rFonts w:hint="eastAsia" w:ascii="Times New Roman" w:hAnsi="Times New Roman" w:eastAsia="仿宋"/>
                <w:lang w:eastAsia="zh-CN"/>
              </w:rPr>
            </w:pPr>
            <w:r>
              <w:rPr>
                <w:rFonts w:ascii="Times New Roman" w:hAnsi="Times New Roman"/>
              </w:rPr>
              <w:t>187.70</w:t>
            </w:r>
          </w:p>
        </w:tc>
        <w:tc>
          <w:tcPr>
            <w:tcW w:w="334" w:type="pct"/>
            <w:vAlign w:val="center"/>
          </w:tcPr>
          <w:p w14:paraId="45D54C2B">
            <w:pPr>
              <w:pStyle w:val="72"/>
              <w:rPr>
                <w:rFonts w:hint="eastAsia" w:ascii="Times New Roman" w:hAnsi="Times New Roman" w:eastAsia="仿宋"/>
                <w:lang w:eastAsia="zh-CN"/>
              </w:rPr>
            </w:pPr>
            <w:r>
              <w:rPr>
                <w:rFonts w:ascii="Times New Roman" w:hAnsi="Times New Roman"/>
              </w:rPr>
              <w:t>102.08</w:t>
            </w:r>
          </w:p>
        </w:tc>
        <w:tc>
          <w:tcPr>
            <w:tcW w:w="334" w:type="pct"/>
            <w:noWrap/>
            <w:vAlign w:val="center"/>
          </w:tcPr>
          <w:p w14:paraId="22D7D794">
            <w:pPr>
              <w:pStyle w:val="72"/>
              <w:rPr>
                <w:rFonts w:ascii="Times New Roman" w:hAnsi="Times New Roman"/>
              </w:rPr>
            </w:pPr>
            <w:r>
              <w:rPr>
                <w:rFonts w:ascii="Times New Roman" w:hAnsi="Times New Roman"/>
              </w:rPr>
              <w:t>　</w:t>
            </w:r>
          </w:p>
        </w:tc>
        <w:tc>
          <w:tcPr>
            <w:tcW w:w="334" w:type="pct"/>
            <w:vAlign w:val="center"/>
          </w:tcPr>
          <w:p w14:paraId="4D7606F5">
            <w:pPr>
              <w:pStyle w:val="72"/>
              <w:rPr>
                <w:rFonts w:hint="eastAsia" w:ascii="Times New Roman" w:hAnsi="Times New Roman" w:eastAsia="仿宋"/>
                <w:lang w:eastAsia="zh-CN"/>
              </w:rPr>
            </w:pPr>
            <w:r>
              <w:rPr>
                <w:rFonts w:ascii="Times New Roman" w:hAnsi="Times New Roman"/>
              </w:rPr>
              <w:t>247.50</w:t>
            </w:r>
          </w:p>
        </w:tc>
        <w:tc>
          <w:tcPr>
            <w:tcW w:w="334" w:type="pct"/>
            <w:vAlign w:val="center"/>
          </w:tcPr>
          <w:p w14:paraId="43F5B5B4">
            <w:pPr>
              <w:pStyle w:val="72"/>
              <w:rPr>
                <w:rFonts w:ascii="Times New Roman" w:hAnsi="Times New Roman"/>
              </w:rPr>
            </w:pPr>
            <w:r>
              <w:rPr>
                <w:rFonts w:ascii="Times New Roman" w:hAnsi="Times New Roman"/>
              </w:rPr>
              <w:t>　</w:t>
            </w:r>
          </w:p>
        </w:tc>
        <w:tc>
          <w:tcPr>
            <w:tcW w:w="334" w:type="pct"/>
            <w:noWrap/>
            <w:vAlign w:val="center"/>
          </w:tcPr>
          <w:p w14:paraId="444885EB">
            <w:pPr>
              <w:pStyle w:val="72"/>
              <w:rPr>
                <w:rFonts w:ascii="Times New Roman" w:hAnsi="Times New Roman"/>
              </w:rPr>
            </w:pPr>
            <w:r>
              <w:rPr>
                <w:rFonts w:ascii="Times New Roman" w:hAnsi="Times New Roman"/>
              </w:rPr>
              <w:t>　</w:t>
            </w:r>
          </w:p>
        </w:tc>
        <w:tc>
          <w:tcPr>
            <w:tcW w:w="337" w:type="pct"/>
            <w:noWrap/>
            <w:vAlign w:val="center"/>
          </w:tcPr>
          <w:p w14:paraId="2D4665CF">
            <w:pPr>
              <w:pStyle w:val="72"/>
              <w:rPr>
                <w:rFonts w:ascii="Times New Roman" w:hAnsi="Times New Roman"/>
              </w:rPr>
            </w:pPr>
            <w:r>
              <w:rPr>
                <w:rFonts w:ascii="Times New Roman" w:hAnsi="Times New Roman"/>
              </w:rPr>
              <w:t>　</w:t>
            </w:r>
          </w:p>
        </w:tc>
        <w:tc>
          <w:tcPr>
            <w:tcW w:w="334" w:type="pct"/>
            <w:vAlign w:val="center"/>
          </w:tcPr>
          <w:p w14:paraId="00BC7D16">
            <w:pPr>
              <w:pStyle w:val="72"/>
              <w:rPr>
                <w:rFonts w:hint="eastAsia" w:ascii="Times New Roman" w:hAnsi="Times New Roman" w:eastAsia="仿宋"/>
                <w:lang w:eastAsia="zh-CN"/>
              </w:rPr>
            </w:pPr>
            <w:r>
              <w:rPr>
                <w:rFonts w:ascii="Times New Roman" w:hAnsi="Times New Roman"/>
              </w:rPr>
              <w:t>349.58</w:t>
            </w:r>
          </w:p>
        </w:tc>
        <w:tc>
          <w:tcPr>
            <w:tcW w:w="328" w:type="pct"/>
            <w:vAlign w:val="center"/>
          </w:tcPr>
          <w:p w14:paraId="5A176206">
            <w:pPr>
              <w:pStyle w:val="72"/>
              <w:rPr>
                <w:rFonts w:hint="eastAsia" w:ascii="Times New Roman" w:hAnsi="Times New Roman" w:eastAsia="仿宋"/>
                <w:lang w:eastAsia="zh-CN"/>
              </w:rPr>
            </w:pPr>
            <w:r>
              <w:rPr>
                <w:rFonts w:ascii="Times New Roman" w:hAnsi="Times New Roman"/>
              </w:rPr>
              <w:t>537.28</w:t>
            </w:r>
          </w:p>
        </w:tc>
      </w:tr>
    </w:tbl>
    <w:p w14:paraId="1836A3F6">
      <w:pPr>
        <w:spacing w:line="240" w:lineRule="auto"/>
        <w:ind w:firstLine="0" w:firstLineChars="0"/>
        <w:rPr>
          <w:kern w:val="0"/>
          <w:sz w:val="21"/>
          <w:szCs w:val="21"/>
        </w:rPr>
      </w:pPr>
    </w:p>
    <w:p w14:paraId="033CE0B9">
      <w:pPr>
        <w:ind w:firstLine="560"/>
        <w:rPr>
          <w:color w:val="FF0000"/>
        </w:rPr>
        <w:sectPr>
          <w:pgSz w:w="16838" w:h="11906" w:orient="landscape"/>
          <w:pgMar w:top="1134" w:right="1134" w:bottom="1134" w:left="1418" w:header="851" w:footer="992" w:gutter="0"/>
          <w:pgNumType w:fmt="decimal"/>
          <w:cols w:space="720" w:num="1"/>
          <w:docGrid w:type="linesAndChars" w:linePitch="312" w:charSpace="0"/>
        </w:sectPr>
      </w:pPr>
    </w:p>
    <w:p w14:paraId="5185D034">
      <w:pPr>
        <w:pStyle w:val="57"/>
        <w:rPr>
          <w:rFonts w:ascii="Times New Roman" w:hAnsi="Times New Roman"/>
        </w:rPr>
      </w:pPr>
      <w:r>
        <w:rPr>
          <w:rFonts w:ascii="Times New Roman" w:hAnsi="Times New Roman"/>
        </w:rPr>
        <w:t>表6-14工程施工费单价分析表</w:t>
      </w:r>
    </w:p>
    <w:p w14:paraId="1591412C">
      <w:pPr>
        <w:pStyle w:val="41"/>
        <w:spacing w:after="0" w:line="240" w:lineRule="auto"/>
        <w:ind w:left="0" w:leftChars="0" w:firstLine="0" w:firstLineChars="0"/>
        <w:jc w:val="center"/>
        <w:rPr>
          <w:rFonts w:eastAsia="黑体"/>
          <w:bCs/>
          <w:sz w:val="24"/>
          <w:szCs w:val="24"/>
        </w:rPr>
      </w:pPr>
      <w:r>
        <w:rPr>
          <w:rFonts w:eastAsia="黑体"/>
          <w:bCs/>
          <w:sz w:val="24"/>
          <w:szCs w:val="24"/>
        </w:rPr>
        <w:t>1.</w:t>
      </w:r>
      <w:r>
        <w:rPr>
          <w:rFonts w:hint="eastAsia" w:eastAsia="黑体"/>
          <w:bCs/>
          <w:sz w:val="24"/>
          <w:szCs w:val="24"/>
        </w:rPr>
        <w:t>地裂缝回填、井口回填</w:t>
      </w:r>
    </w:p>
    <w:tbl>
      <w:tblPr>
        <w:tblStyle w:val="42"/>
        <w:tblW w:w="4991" w:type="pct"/>
        <w:tblInd w:w="0" w:type="dxa"/>
        <w:tblLayout w:type="autofit"/>
        <w:tblCellMar>
          <w:top w:w="0" w:type="dxa"/>
          <w:left w:w="108" w:type="dxa"/>
          <w:bottom w:w="0" w:type="dxa"/>
          <w:right w:w="108" w:type="dxa"/>
        </w:tblCellMar>
      </w:tblPr>
      <w:tblGrid>
        <w:gridCol w:w="1355"/>
        <w:gridCol w:w="2163"/>
        <w:gridCol w:w="1532"/>
        <w:gridCol w:w="1494"/>
        <w:gridCol w:w="1494"/>
        <w:gridCol w:w="1515"/>
      </w:tblGrid>
      <w:tr w14:paraId="09D913C9">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2F270AA">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定额编号：20294定额单位：100m</w:t>
            </w:r>
            <w:r>
              <w:rPr>
                <w:rFonts w:hint="eastAsia" w:ascii="仿宋" w:hAnsi="仿宋" w:eastAsia="仿宋" w:cs="宋体"/>
                <w:kern w:val="0"/>
                <w:sz w:val="21"/>
                <w:szCs w:val="21"/>
                <w:vertAlign w:val="superscript"/>
              </w:rPr>
              <w:t>3</w:t>
            </w:r>
          </w:p>
        </w:tc>
      </w:tr>
      <w:tr w14:paraId="0070AD64">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7D8BA51">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施工方法：装、运、卸、空回。运距0-0.5km。</w:t>
            </w:r>
          </w:p>
        </w:tc>
      </w:tr>
      <w:tr w14:paraId="0761DB45">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7DB88162">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序号</w:t>
            </w:r>
          </w:p>
        </w:tc>
        <w:tc>
          <w:tcPr>
            <w:tcW w:w="1132" w:type="pct"/>
            <w:tcBorders>
              <w:top w:val="nil"/>
              <w:left w:val="nil"/>
              <w:bottom w:val="single" w:color="auto" w:sz="4" w:space="0"/>
              <w:right w:val="single" w:color="auto" w:sz="4" w:space="0"/>
            </w:tcBorders>
            <w:vAlign w:val="center"/>
          </w:tcPr>
          <w:p w14:paraId="2A488550">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项目名称</w:t>
            </w:r>
          </w:p>
        </w:tc>
        <w:tc>
          <w:tcPr>
            <w:tcW w:w="802" w:type="pct"/>
            <w:tcBorders>
              <w:top w:val="nil"/>
              <w:left w:val="nil"/>
              <w:bottom w:val="single" w:color="auto" w:sz="4" w:space="0"/>
              <w:right w:val="single" w:color="auto" w:sz="4" w:space="0"/>
            </w:tcBorders>
            <w:vAlign w:val="center"/>
          </w:tcPr>
          <w:p w14:paraId="3B2F250E">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单位</w:t>
            </w:r>
          </w:p>
        </w:tc>
        <w:tc>
          <w:tcPr>
            <w:tcW w:w="782" w:type="pct"/>
            <w:tcBorders>
              <w:top w:val="nil"/>
              <w:left w:val="nil"/>
              <w:bottom w:val="single" w:color="auto" w:sz="4" w:space="0"/>
              <w:right w:val="single" w:color="auto" w:sz="4" w:space="0"/>
            </w:tcBorders>
            <w:vAlign w:val="center"/>
          </w:tcPr>
          <w:p w14:paraId="1AAD5F82">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数量</w:t>
            </w:r>
          </w:p>
        </w:tc>
        <w:tc>
          <w:tcPr>
            <w:tcW w:w="782" w:type="pct"/>
            <w:tcBorders>
              <w:top w:val="nil"/>
              <w:left w:val="nil"/>
              <w:bottom w:val="single" w:color="auto" w:sz="4" w:space="0"/>
              <w:right w:val="single" w:color="auto" w:sz="4" w:space="0"/>
            </w:tcBorders>
            <w:vAlign w:val="center"/>
          </w:tcPr>
          <w:p w14:paraId="0835B467">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单价</w:t>
            </w:r>
          </w:p>
        </w:tc>
        <w:tc>
          <w:tcPr>
            <w:tcW w:w="792" w:type="pct"/>
            <w:tcBorders>
              <w:top w:val="nil"/>
              <w:left w:val="nil"/>
              <w:bottom w:val="single" w:color="auto" w:sz="4" w:space="0"/>
              <w:right w:val="single" w:color="auto" w:sz="4" w:space="0"/>
            </w:tcBorders>
            <w:vAlign w:val="center"/>
          </w:tcPr>
          <w:p w14:paraId="0F569369">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小计（元）</w:t>
            </w:r>
          </w:p>
        </w:tc>
      </w:tr>
      <w:tr w14:paraId="1A7DBAAF">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50259B6A">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一</w:t>
            </w:r>
          </w:p>
        </w:tc>
        <w:tc>
          <w:tcPr>
            <w:tcW w:w="1132" w:type="pct"/>
            <w:tcBorders>
              <w:top w:val="nil"/>
              <w:left w:val="nil"/>
              <w:bottom w:val="single" w:color="auto" w:sz="4" w:space="0"/>
              <w:right w:val="single" w:color="auto" w:sz="4" w:space="0"/>
            </w:tcBorders>
            <w:vAlign w:val="center"/>
          </w:tcPr>
          <w:p w14:paraId="4DC817EF">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直接费</w:t>
            </w:r>
          </w:p>
        </w:tc>
        <w:tc>
          <w:tcPr>
            <w:tcW w:w="802" w:type="pct"/>
            <w:tcBorders>
              <w:top w:val="nil"/>
              <w:left w:val="nil"/>
              <w:bottom w:val="single" w:color="auto" w:sz="4" w:space="0"/>
              <w:right w:val="single" w:color="auto" w:sz="4" w:space="0"/>
            </w:tcBorders>
            <w:vAlign w:val="center"/>
          </w:tcPr>
          <w:p w14:paraId="104B1148">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82" w:type="pct"/>
            <w:tcBorders>
              <w:top w:val="nil"/>
              <w:left w:val="nil"/>
              <w:bottom w:val="single" w:color="auto" w:sz="4" w:space="0"/>
              <w:right w:val="single" w:color="auto" w:sz="4" w:space="0"/>
            </w:tcBorders>
            <w:vAlign w:val="center"/>
          </w:tcPr>
          <w:p w14:paraId="2AE2A863">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82" w:type="pct"/>
            <w:tcBorders>
              <w:top w:val="nil"/>
              <w:left w:val="nil"/>
              <w:bottom w:val="single" w:color="auto" w:sz="4" w:space="0"/>
              <w:right w:val="single" w:color="auto" w:sz="4" w:space="0"/>
            </w:tcBorders>
            <w:vAlign w:val="center"/>
          </w:tcPr>
          <w:p w14:paraId="54629E67">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92" w:type="pct"/>
            <w:tcBorders>
              <w:top w:val="nil"/>
              <w:left w:val="nil"/>
              <w:bottom w:val="single" w:color="auto" w:sz="4" w:space="0"/>
              <w:right w:val="single" w:color="auto" w:sz="4" w:space="0"/>
            </w:tcBorders>
            <w:vAlign w:val="center"/>
          </w:tcPr>
          <w:p w14:paraId="6663B759">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1262.66</w:t>
            </w:r>
          </w:p>
        </w:tc>
      </w:tr>
      <w:tr w14:paraId="21BE9F1A">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646F8DE2">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（一）</w:t>
            </w:r>
          </w:p>
        </w:tc>
        <w:tc>
          <w:tcPr>
            <w:tcW w:w="1132" w:type="pct"/>
            <w:tcBorders>
              <w:top w:val="nil"/>
              <w:left w:val="nil"/>
              <w:bottom w:val="single" w:color="auto" w:sz="4" w:space="0"/>
              <w:right w:val="single" w:color="auto" w:sz="4" w:space="0"/>
            </w:tcBorders>
            <w:vAlign w:val="center"/>
          </w:tcPr>
          <w:p w14:paraId="26A30DCA">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直接工程费</w:t>
            </w:r>
          </w:p>
        </w:tc>
        <w:tc>
          <w:tcPr>
            <w:tcW w:w="802" w:type="pct"/>
            <w:tcBorders>
              <w:top w:val="nil"/>
              <w:left w:val="nil"/>
              <w:bottom w:val="single" w:color="auto" w:sz="4" w:space="0"/>
              <w:right w:val="single" w:color="auto" w:sz="4" w:space="0"/>
            </w:tcBorders>
            <w:vAlign w:val="center"/>
          </w:tcPr>
          <w:p w14:paraId="5854CD6E">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82" w:type="pct"/>
            <w:tcBorders>
              <w:top w:val="nil"/>
              <w:left w:val="nil"/>
              <w:bottom w:val="single" w:color="auto" w:sz="4" w:space="0"/>
              <w:right w:val="single" w:color="auto" w:sz="4" w:space="0"/>
            </w:tcBorders>
            <w:vAlign w:val="center"/>
          </w:tcPr>
          <w:p w14:paraId="4859E700">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82" w:type="pct"/>
            <w:tcBorders>
              <w:top w:val="nil"/>
              <w:left w:val="nil"/>
              <w:bottom w:val="single" w:color="auto" w:sz="4" w:space="0"/>
              <w:right w:val="single" w:color="auto" w:sz="4" w:space="0"/>
            </w:tcBorders>
            <w:vAlign w:val="center"/>
          </w:tcPr>
          <w:p w14:paraId="3BFFD65F">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92" w:type="pct"/>
            <w:tcBorders>
              <w:top w:val="nil"/>
              <w:left w:val="nil"/>
              <w:bottom w:val="single" w:color="auto" w:sz="4" w:space="0"/>
              <w:right w:val="single" w:color="auto" w:sz="4" w:space="0"/>
            </w:tcBorders>
            <w:vAlign w:val="center"/>
          </w:tcPr>
          <w:p w14:paraId="60CFDF83">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1216.43</w:t>
            </w:r>
          </w:p>
        </w:tc>
      </w:tr>
      <w:tr w14:paraId="134CC0A6">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28EA5B40">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1</w:t>
            </w:r>
          </w:p>
        </w:tc>
        <w:tc>
          <w:tcPr>
            <w:tcW w:w="1132" w:type="pct"/>
            <w:tcBorders>
              <w:top w:val="nil"/>
              <w:left w:val="nil"/>
              <w:bottom w:val="single" w:color="auto" w:sz="4" w:space="0"/>
              <w:right w:val="single" w:color="auto" w:sz="4" w:space="0"/>
            </w:tcBorders>
            <w:vAlign w:val="center"/>
          </w:tcPr>
          <w:p w14:paraId="41BB5F92">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人工费</w:t>
            </w:r>
          </w:p>
        </w:tc>
        <w:tc>
          <w:tcPr>
            <w:tcW w:w="802" w:type="pct"/>
            <w:tcBorders>
              <w:top w:val="nil"/>
              <w:left w:val="nil"/>
              <w:bottom w:val="single" w:color="auto" w:sz="4" w:space="0"/>
              <w:right w:val="single" w:color="auto" w:sz="4" w:space="0"/>
            </w:tcBorders>
            <w:vAlign w:val="center"/>
          </w:tcPr>
          <w:p w14:paraId="4C4E3C28">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82" w:type="pct"/>
            <w:tcBorders>
              <w:top w:val="nil"/>
              <w:left w:val="nil"/>
              <w:bottom w:val="single" w:color="auto" w:sz="4" w:space="0"/>
              <w:right w:val="single" w:color="auto" w:sz="4" w:space="0"/>
            </w:tcBorders>
            <w:vAlign w:val="center"/>
          </w:tcPr>
          <w:p w14:paraId="70669562">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82" w:type="pct"/>
            <w:tcBorders>
              <w:top w:val="nil"/>
              <w:left w:val="nil"/>
              <w:bottom w:val="single" w:color="auto" w:sz="4" w:space="0"/>
              <w:right w:val="single" w:color="auto" w:sz="4" w:space="0"/>
            </w:tcBorders>
            <w:vAlign w:val="center"/>
          </w:tcPr>
          <w:p w14:paraId="2A7DBC0D">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92" w:type="pct"/>
            <w:tcBorders>
              <w:top w:val="nil"/>
              <w:left w:val="nil"/>
              <w:bottom w:val="single" w:color="auto" w:sz="4" w:space="0"/>
              <w:right w:val="single" w:color="auto" w:sz="4" w:space="0"/>
            </w:tcBorders>
            <w:vAlign w:val="center"/>
          </w:tcPr>
          <w:p w14:paraId="34A4047B">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81.03</w:t>
            </w:r>
          </w:p>
        </w:tc>
      </w:tr>
      <w:tr w14:paraId="6B4B536A">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02874B3E">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1132" w:type="pct"/>
            <w:tcBorders>
              <w:top w:val="nil"/>
              <w:left w:val="nil"/>
              <w:bottom w:val="single" w:color="auto" w:sz="4" w:space="0"/>
              <w:right w:val="single" w:color="auto" w:sz="4" w:space="0"/>
            </w:tcBorders>
            <w:vAlign w:val="center"/>
          </w:tcPr>
          <w:p w14:paraId="1B5E4013">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甲类工</w:t>
            </w:r>
          </w:p>
        </w:tc>
        <w:tc>
          <w:tcPr>
            <w:tcW w:w="802" w:type="pct"/>
            <w:tcBorders>
              <w:top w:val="nil"/>
              <w:left w:val="nil"/>
              <w:bottom w:val="single" w:color="auto" w:sz="4" w:space="0"/>
              <w:right w:val="single" w:color="auto" w:sz="4" w:space="0"/>
            </w:tcBorders>
            <w:vAlign w:val="center"/>
          </w:tcPr>
          <w:p w14:paraId="09CCD560">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工日</w:t>
            </w:r>
          </w:p>
        </w:tc>
        <w:tc>
          <w:tcPr>
            <w:tcW w:w="782" w:type="pct"/>
            <w:tcBorders>
              <w:top w:val="nil"/>
              <w:left w:val="nil"/>
              <w:bottom w:val="single" w:color="auto" w:sz="4" w:space="0"/>
              <w:right w:val="single" w:color="auto" w:sz="4" w:space="0"/>
            </w:tcBorders>
            <w:vAlign w:val="center"/>
          </w:tcPr>
          <w:p w14:paraId="12227E66">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0.10</w:t>
            </w:r>
          </w:p>
        </w:tc>
        <w:tc>
          <w:tcPr>
            <w:tcW w:w="782" w:type="pct"/>
            <w:tcBorders>
              <w:top w:val="nil"/>
              <w:left w:val="nil"/>
              <w:bottom w:val="single" w:color="auto" w:sz="4" w:space="0"/>
              <w:right w:val="single" w:color="auto" w:sz="4" w:space="0"/>
            </w:tcBorders>
            <w:vAlign w:val="center"/>
          </w:tcPr>
          <w:p w14:paraId="5057BD36">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51.04</w:t>
            </w:r>
          </w:p>
        </w:tc>
        <w:tc>
          <w:tcPr>
            <w:tcW w:w="792" w:type="pct"/>
            <w:tcBorders>
              <w:top w:val="nil"/>
              <w:left w:val="nil"/>
              <w:bottom w:val="single" w:color="auto" w:sz="4" w:space="0"/>
              <w:right w:val="single" w:color="auto" w:sz="4" w:space="0"/>
            </w:tcBorders>
            <w:vAlign w:val="center"/>
          </w:tcPr>
          <w:p w14:paraId="51029642">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5.10</w:t>
            </w:r>
          </w:p>
        </w:tc>
      </w:tr>
      <w:tr w14:paraId="64C19E3C">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43CC09DC">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1132" w:type="pct"/>
            <w:tcBorders>
              <w:top w:val="nil"/>
              <w:left w:val="nil"/>
              <w:bottom w:val="single" w:color="auto" w:sz="4" w:space="0"/>
              <w:right w:val="single" w:color="auto" w:sz="4" w:space="0"/>
            </w:tcBorders>
            <w:vAlign w:val="center"/>
          </w:tcPr>
          <w:p w14:paraId="05A31C9C">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乙类工</w:t>
            </w:r>
          </w:p>
        </w:tc>
        <w:tc>
          <w:tcPr>
            <w:tcW w:w="802" w:type="pct"/>
            <w:tcBorders>
              <w:top w:val="nil"/>
              <w:left w:val="nil"/>
              <w:bottom w:val="single" w:color="auto" w:sz="4" w:space="0"/>
              <w:right w:val="single" w:color="auto" w:sz="4" w:space="0"/>
            </w:tcBorders>
            <w:vAlign w:val="center"/>
          </w:tcPr>
          <w:p w14:paraId="5D8D3E6C">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工日</w:t>
            </w:r>
          </w:p>
        </w:tc>
        <w:tc>
          <w:tcPr>
            <w:tcW w:w="782" w:type="pct"/>
            <w:tcBorders>
              <w:top w:val="nil"/>
              <w:left w:val="nil"/>
              <w:bottom w:val="single" w:color="auto" w:sz="4" w:space="0"/>
              <w:right w:val="single" w:color="auto" w:sz="4" w:space="0"/>
            </w:tcBorders>
            <w:vAlign w:val="center"/>
          </w:tcPr>
          <w:p w14:paraId="0EA0A674">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1.90</w:t>
            </w:r>
          </w:p>
        </w:tc>
        <w:tc>
          <w:tcPr>
            <w:tcW w:w="782" w:type="pct"/>
            <w:tcBorders>
              <w:top w:val="nil"/>
              <w:left w:val="nil"/>
              <w:bottom w:val="single" w:color="auto" w:sz="4" w:space="0"/>
              <w:right w:val="single" w:color="auto" w:sz="4" w:space="0"/>
            </w:tcBorders>
            <w:vAlign w:val="center"/>
          </w:tcPr>
          <w:p w14:paraId="441E7539">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38.84</w:t>
            </w:r>
          </w:p>
        </w:tc>
        <w:tc>
          <w:tcPr>
            <w:tcW w:w="792" w:type="pct"/>
            <w:tcBorders>
              <w:top w:val="nil"/>
              <w:left w:val="nil"/>
              <w:bottom w:val="single" w:color="auto" w:sz="4" w:space="0"/>
              <w:right w:val="single" w:color="auto" w:sz="4" w:space="0"/>
            </w:tcBorders>
            <w:vAlign w:val="center"/>
          </w:tcPr>
          <w:p w14:paraId="5F83F7AD">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73.80</w:t>
            </w:r>
          </w:p>
        </w:tc>
      </w:tr>
      <w:tr w14:paraId="206B2B49">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72E03D55">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1132" w:type="pct"/>
            <w:tcBorders>
              <w:top w:val="nil"/>
              <w:left w:val="nil"/>
              <w:bottom w:val="single" w:color="auto" w:sz="4" w:space="0"/>
              <w:right w:val="single" w:color="auto" w:sz="4" w:space="0"/>
            </w:tcBorders>
            <w:vAlign w:val="center"/>
          </w:tcPr>
          <w:p w14:paraId="1F9DE868">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其他费用</w:t>
            </w:r>
          </w:p>
        </w:tc>
        <w:tc>
          <w:tcPr>
            <w:tcW w:w="802" w:type="pct"/>
            <w:tcBorders>
              <w:top w:val="nil"/>
              <w:left w:val="nil"/>
              <w:bottom w:val="single" w:color="auto" w:sz="4" w:space="0"/>
              <w:right w:val="single" w:color="auto" w:sz="4" w:space="0"/>
            </w:tcBorders>
            <w:vAlign w:val="center"/>
          </w:tcPr>
          <w:p w14:paraId="07E9A172">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w:t>
            </w:r>
          </w:p>
        </w:tc>
        <w:tc>
          <w:tcPr>
            <w:tcW w:w="782" w:type="pct"/>
            <w:tcBorders>
              <w:top w:val="nil"/>
              <w:left w:val="nil"/>
              <w:bottom w:val="single" w:color="auto" w:sz="4" w:space="0"/>
              <w:right w:val="single" w:color="auto" w:sz="4" w:space="0"/>
            </w:tcBorders>
            <w:vAlign w:val="center"/>
          </w:tcPr>
          <w:p w14:paraId="28E346B7">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2.70</w:t>
            </w:r>
          </w:p>
        </w:tc>
        <w:tc>
          <w:tcPr>
            <w:tcW w:w="782" w:type="pct"/>
            <w:tcBorders>
              <w:top w:val="nil"/>
              <w:left w:val="nil"/>
              <w:bottom w:val="single" w:color="auto" w:sz="4" w:space="0"/>
              <w:right w:val="single" w:color="auto" w:sz="4" w:space="0"/>
            </w:tcBorders>
            <w:vAlign w:val="center"/>
          </w:tcPr>
          <w:p w14:paraId="321CAC14">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78.90</w:t>
            </w:r>
          </w:p>
        </w:tc>
        <w:tc>
          <w:tcPr>
            <w:tcW w:w="792" w:type="pct"/>
            <w:tcBorders>
              <w:top w:val="nil"/>
              <w:left w:val="nil"/>
              <w:bottom w:val="single" w:color="auto" w:sz="4" w:space="0"/>
              <w:right w:val="single" w:color="auto" w:sz="4" w:space="0"/>
            </w:tcBorders>
            <w:vAlign w:val="center"/>
          </w:tcPr>
          <w:p w14:paraId="11024DB1">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2.13</w:t>
            </w:r>
          </w:p>
        </w:tc>
      </w:tr>
      <w:tr w14:paraId="07C7346C">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4A685AE6">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2</w:t>
            </w:r>
          </w:p>
        </w:tc>
        <w:tc>
          <w:tcPr>
            <w:tcW w:w="1132" w:type="pct"/>
            <w:tcBorders>
              <w:top w:val="nil"/>
              <w:left w:val="nil"/>
              <w:bottom w:val="single" w:color="auto" w:sz="4" w:space="0"/>
              <w:right w:val="single" w:color="auto" w:sz="4" w:space="0"/>
            </w:tcBorders>
            <w:vAlign w:val="center"/>
          </w:tcPr>
          <w:p w14:paraId="2073F90E">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材料费</w:t>
            </w:r>
          </w:p>
        </w:tc>
        <w:tc>
          <w:tcPr>
            <w:tcW w:w="802" w:type="pct"/>
            <w:tcBorders>
              <w:top w:val="nil"/>
              <w:left w:val="nil"/>
              <w:bottom w:val="single" w:color="auto" w:sz="4" w:space="0"/>
              <w:right w:val="single" w:color="auto" w:sz="4" w:space="0"/>
            </w:tcBorders>
            <w:vAlign w:val="center"/>
          </w:tcPr>
          <w:p w14:paraId="1C265D36">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82" w:type="pct"/>
            <w:tcBorders>
              <w:top w:val="nil"/>
              <w:left w:val="nil"/>
              <w:bottom w:val="single" w:color="auto" w:sz="4" w:space="0"/>
              <w:right w:val="single" w:color="auto" w:sz="4" w:space="0"/>
            </w:tcBorders>
            <w:vAlign w:val="center"/>
          </w:tcPr>
          <w:p w14:paraId="06D2B344">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82" w:type="pct"/>
            <w:tcBorders>
              <w:top w:val="nil"/>
              <w:left w:val="nil"/>
              <w:bottom w:val="single" w:color="auto" w:sz="4" w:space="0"/>
              <w:right w:val="single" w:color="auto" w:sz="4" w:space="0"/>
            </w:tcBorders>
            <w:vAlign w:val="center"/>
          </w:tcPr>
          <w:p w14:paraId="5C33F897">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92" w:type="pct"/>
            <w:tcBorders>
              <w:top w:val="nil"/>
              <w:left w:val="nil"/>
              <w:bottom w:val="single" w:color="auto" w:sz="4" w:space="0"/>
              <w:right w:val="single" w:color="auto" w:sz="4" w:space="0"/>
            </w:tcBorders>
            <w:vAlign w:val="center"/>
          </w:tcPr>
          <w:p w14:paraId="50D49E3C">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0.00</w:t>
            </w:r>
          </w:p>
        </w:tc>
      </w:tr>
      <w:tr w14:paraId="50396661">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0032D7CC">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3</w:t>
            </w:r>
          </w:p>
        </w:tc>
        <w:tc>
          <w:tcPr>
            <w:tcW w:w="1132" w:type="pct"/>
            <w:tcBorders>
              <w:top w:val="nil"/>
              <w:left w:val="nil"/>
              <w:bottom w:val="single" w:color="auto" w:sz="4" w:space="0"/>
              <w:right w:val="single" w:color="auto" w:sz="4" w:space="0"/>
            </w:tcBorders>
            <w:vAlign w:val="center"/>
          </w:tcPr>
          <w:p w14:paraId="398D684E">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机械费</w:t>
            </w:r>
          </w:p>
        </w:tc>
        <w:tc>
          <w:tcPr>
            <w:tcW w:w="802" w:type="pct"/>
            <w:tcBorders>
              <w:top w:val="nil"/>
              <w:left w:val="nil"/>
              <w:bottom w:val="single" w:color="auto" w:sz="4" w:space="0"/>
              <w:right w:val="single" w:color="auto" w:sz="4" w:space="0"/>
            </w:tcBorders>
            <w:vAlign w:val="center"/>
          </w:tcPr>
          <w:p w14:paraId="00E73ED9">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82" w:type="pct"/>
            <w:tcBorders>
              <w:top w:val="nil"/>
              <w:left w:val="nil"/>
              <w:bottom w:val="single" w:color="auto" w:sz="4" w:space="0"/>
              <w:right w:val="single" w:color="auto" w:sz="4" w:space="0"/>
            </w:tcBorders>
            <w:vAlign w:val="center"/>
          </w:tcPr>
          <w:p w14:paraId="4262C9C6">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82" w:type="pct"/>
            <w:tcBorders>
              <w:top w:val="nil"/>
              <w:left w:val="nil"/>
              <w:bottom w:val="single" w:color="auto" w:sz="4" w:space="0"/>
              <w:right w:val="single" w:color="auto" w:sz="4" w:space="0"/>
            </w:tcBorders>
            <w:vAlign w:val="center"/>
          </w:tcPr>
          <w:p w14:paraId="62E37A95">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92" w:type="pct"/>
            <w:tcBorders>
              <w:top w:val="nil"/>
              <w:left w:val="nil"/>
              <w:bottom w:val="single" w:color="auto" w:sz="4" w:space="0"/>
              <w:right w:val="single" w:color="auto" w:sz="4" w:space="0"/>
            </w:tcBorders>
            <w:vAlign w:val="center"/>
          </w:tcPr>
          <w:p w14:paraId="4BE2A0A3">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1135.40</w:t>
            </w:r>
          </w:p>
        </w:tc>
      </w:tr>
      <w:tr w14:paraId="4A322F73">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451976EC">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1132" w:type="pct"/>
            <w:tcBorders>
              <w:top w:val="nil"/>
              <w:left w:val="nil"/>
              <w:bottom w:val="single" w:color="auto" w:sz="4" w:space="0"/>
              <w:right w:val="single" w:color="auto" w:sz="4" w:space="0"/>
            </w:tcBorders>
            <w:vAlign w:val="center"/>
          </w:tcPr>
          <w:p w14:paraId="7CF413D9">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挖掘机1.2m</w:t>
            </w:r>
            <w:r>
              <w:rPr>
                <w:rFonts w:hint="eastAsia" w:ascii="仿宋" w:hAnsi="仿宋" w:eastAsia="仿宋" w:cs="宋体"/>
                <w:kern w:val="0"/>
                <w:sz w:val="21"/>
                <w:szCs w:val="21"/>
                <w:vertAlign w:val="superscript"/>
              </w:rPr>
              <w:t>3</w:t>
            </w:r>
          </w:p>
        </w:tc>
        <w:tc>
          <w:tcPr>
            <w:tcW w:w="802" w:type="pct"/>
            <w:tcBorders>
              <w:top w:val="nil"/>
              <w:left w:val="nil"/>
              <w:bottom w:val="single" w:color="auto" w:sz="4" w:space="0"/>
              <w:right w:val="single" w:color="auto" w:sz="4" w:space="0"/>
            </w:tcBorders>
            <w:vAlign w:val="center"/>
          </w:tcPr>
          <w:p w14:paraId="3AAA5D0D">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台班</w:t>
            </w:r>
          </w:p>
        </w:tc>
        <w:tc>
          <w:tcPr>
            <w:tcW w:w="782" w:type="pct"/>
            <w:tcBorders>
              <w:top w:val="nil"/>
              <w:left w:val="nil"/>
              <w:bottom w:val="single" w:color="auto" w:sz="4" w:space="0"/>
              <w:right w:val="single" w:color="auto" w:sz="4" w:space="0"/>
            </w:tcBorders>
            <w:vAlign w:val="center"/>
          </w:tcPr>
          <w:p w14:paraId="34C080E2">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0.38</w:t>
            </w:r>
          </w:p>
        </w:tc>
        <w:tc>
          <w:tcPr>
            <w:tcW w:w="782" w:type="pct"/>
            <w:tcBorders>
              <w:top w:val="nil"/>
              <w:left w:val="nil"/>
              <w:bottom w:val="single" w:color="auto" w:sz="4" w:space="0"/>
              <w:right w:val="single" w:color="auto" w:sz="4" w:space="0"/>
            </w:tcBorders>
            <w:vAlign w:val="center"/>
          </w:tcPr>
          <w:p w14:paraId="581D2AAD">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840.44</w:t>
            </w:r>
          </w:p>
        </w:tc>
        <w:tc>
          <w:tcPr>
            <w:tcW w:w="792" w:type="pct"/>
            <w:tcBorders>
              <w:top w:val="nil"/>
              <w:left w:val="nil"/>
              <w:bottom w:val="single" w:color="auto" w:sz="4" w:space="0"/>
              <w:right w:val="single" w:color="auto" w:sz="4" w:space="0"/>
            </w:tcBorders>
            <w:vAlign w:val="center"/>
          </w:tcPr>
          <w:p w14:paraId="71FB211C">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319.37</w:t>
            </w:r>
          </w:p>
        </w:tc>
      </w:tr>
      <w:tr w14:paraId="3C408B74">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0253276C">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1132" w:type="pct"/>
            <w:tcBorders>
              <w:top w:val="nil"/>
              <w:left w:val="nil"/>
              <w:bottom w:val="single" w:color="auto" w:sz="4" w:space="0"/>
              <w:right w:val="single" w:color="auto" w:sz="4" w:space="0"/>
            </w:tcBorders>
            <w:vAlign w:val="center"/>
          </w:tcPr>
          <w:p w14:paraId="4B1C0924">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推土机59kw</w:t>
            </w:r>
          </w:p>
        </w:tc>
        <w:tc>
          <w:tcPr>
            <w:tcW w:w="802" w:type="pct"/>
            <w:tcBorders>
              <w:top w:val="nil"/>
              <w:left w:val="nil"/>
              <w:bottom w:val="single" w:color="auto" w:sz="4" w:space="0"/>
              <w:right w:val="single" w:color="auto" w:sz="4" w:space="0"/>
            </w:tcBorders>
            <w:vAlign w:val="center"/>
          </w:tcPr>
          <w:p w14:paraId="0D9778AF">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台班</w:t>
            </w:r>
          </w:p>
        </w:tc>
        <w:tc>
          <w:tcPr>
            <w:tcW w:w="782" w:type="pct"/>
            <w:tcBorders>
              <w:top w:val="nil"/>
              <w:left w:val="nil"/>
              <w:bottom w:val="single" w:color="auto" w:sz="4" w:space="0"/>
              <w:right w:val="single" w:color="auto" w:sz="4" w:space="0"/>
            </w:tcBorders>
            <w:vAlign w:val="center"/>
          </w:tcPr>
          <w:p w14:paraId="06FD8A73">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0.19</w:t>
            </w:r>
          </w:p>
        </w:tc>
        <w:tc>
          <w:tcPr>
            <w:tcW w:w="782" w:type="pct"/>
            <w:tcBorders>
              <w:top w:val="nil"/>
              <w:left w:val="nil"/>
              <w:bottom w:val="single" w:color="auto" w:sz="4" w:space="0"/>
              <w:right w:val="single" w:color="auto" w:sz="4" w:space="0"/>
            </w:tcBorders>
            <w:vAlign w:val="center"/>
          </w:tcPr>
          <w:p w14:paraId="47B50C15">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368.35</w:t>
            </w:r>
          </w:p>
        </w:tc>
        <w:tc>
          <w:tcPr>
            <w:tcW w:w="792" w:type="pct"/>
            <w:tcBorders>
              <w:top w:val="nil"/>
              <w:left w:val="nil"/>
              <w:bottom w:val="single" w:color="auto" w:sz="4" w:space="0"/>
              <w:right w:val="single" w:color="auto" w:sz="4" w:space="0"/>
            </w:tcBorders>
            <w:vAlign w:val="center"/>
          </w:tcPr>
          <w:p w14:paraId="079D6536">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69.99</w:t>
            </w:r>
          </w:p>
        </w:tc>
      </w:tr>
      <w:tr w14:paraId="31133C9D">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1332BBE2">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1132" w:type="pct"/>
            <w:tcBorders>
              <w:top w:val="nil"/>
              <w:left w:val="nil"/>
              <w:bottom w:val="single" w:color="auto" w:sz="4" w:space="0"/>
              <w:right w:val="single" w:color="auto" w:sz="4" w:space="0"/>
            </w:tcBorders>
            <w:vAlign w:val="center"/>
          </w:tcPr>
          <w:p w14:paraId="1C5E7F4E">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自卸汽车10t</w:t>
            </w:r>
          </w:p>
        </w:tc>
        <w:tc>
          <w:tcPr>
            <w:tcW w:w="802" w:type="pct"/>
            <w:tcBorders>
              <w:top w:val="nil"/>
              <w:left w:val="nil"/>
              <w:bottom w:val="single" w:color="auto" w:sz="4" w:space="0"/>
              <w:right w:val="single" w:color="auto" w:sz="4" w:space="0"/>
            </w:tcBorders>
            <w:vAlign w:val="center"/>
          </w:tcPr>
          <w:p w14:paraId="7046A1A2">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台班</w:t>
            </w:r>
          </w:p>
        </w:tc>
        <w:tc>
          <w:tcPr>
            <w:tcW w:w="782" w:type="pct"/>
            <w:tcBorders>
              <w:top w:val="nil"/>
              <w:left w:val="nil"/>
              <w:bottom w:val="single" w:color="auto" w:sz="4" w:space="0"/>
              <w:right w:val="single" w:color="auto" w:sz="4" w:space="0"/>
            </w:tcBorders>
            <w:vAlign w:val="center"/>
          </w:tcPr>
          <w:p w14:paraId="60B3BCEF">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1.30</w:t>
            </w:r>
          </w:p>
        </w:tc>
        <w:tc>
          <w:tcPr>
            <w:tcW w:w="782" w:type="pct"/>
            <w:tcBorders>
              <w:top w:val="nil"/>
              <w:left w:val="nil"/>
              <w:bottom w:val="single" w:color="auto" w:sz="4" w:space="0"/>
              <w:right w:val="single" w:color="auto" w:sz="4" w:space="0"/>
            </w:tcBorders>
            <w:vAlign w:val="center"/>
          </w:tcPr>
          <w:p w14:paraId="6A640B0B">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550.92</w:t>
            </w:r>
          </w:p>
        </w:tc>
        <w:tc>
          <w:tcPr>
            <w:tcW w:w="792" w:type="pct"/>
            <w:tcBorders>
              <w:top w:val="nil"/>
              <w:left w:val="nil"/>
              <w:bottom w:val="single" w:color="auto" w:sz="4" w:space="0"/>
              <w:right w:val="single" w:color="auto" w:sz="4" w:space="0"/>
            </w:tcBorders>
            <w:vAlign w:val="center"/>
          </w:tcPr>
          <w:p w14:paraId="1B088641">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716.20</w:t>
            </w:r>
          </w:p>
        </w:tc>
      </w:tr>
      <w:tr w14:paraId="0B2C6F4C">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4A091413">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1132" w:type="pct"/>
            <w:tcBorders>
              <w:top w:val="nil"/>
              <w:left w:val="nil"/>
              <w:bottom w:val="single" w:color="auto" w:sz="4" w:space="0"/>
              <w:right w:val="single" w:color="auto" w:sz="4" w:space="0"/>
            </w:tcBorders>
            <w:vAlign w:val="center"/>
          </w:tcPr>
          <w:p w14:paraId="5953E9DA">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其他费用</w:t>
            </w:r>
          </w:p>
        </w:tc>
        <w:tc>
          <w:tcPr>
            <w:tcW w:w="802" w:type="pct"/>
            <w:tcBorders>
              <w:top w:val="nil"/>
              <w:left w:val="nil"/>
              <w:bottom w:val="single" w:color="auto" w:sz="4" w:space="0"/>
              <w:right w:val="single" w:color="auto" w:sz="4" w:space="0"/>
            </w:tcBorders>
            <w:vAlign w:val="center"/>
          </w:tcPr>
          <w:p w14:paraId="033F3EF2">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w:t>
            </w:r>
          </w:p>
        </w:tc>
        <w:tc>
          <w:tcPr>
            <w:tcW w:w="782" w:type="pct"/>
            <w:tcBorders>
              <w:top w:val="nil"/>
              <w:left w:val="nil"/>
              <w:bottom w:val="single" w:color="auto" w:sz="4" w:space="0"/>
              <w:right w:val="single" w:color="auto" w:sz="4" w:space="0"/>
            </w:tcBorders>
            <w:vAlign w:val="center"/>
          </w:tcPr>
          <w:p w14:paraId="2C5E68DC">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2.70</w:t>
            </w:r>
          </w:p>
        </w:tc>
        <w:tc>
          <w:tcPr>
            <w:tcW w:w="782" w:type="pct"/>
            <w:tcBorders>
              <w:top w:val="nil"/>
              <w:left w:val="nil"/>
              <w:bottom w:val="single" w:color="auto" w:sz="4" w:space="0"/>
              <w:right w:val="single" w:color="auto" w:sz="4" w:space="0"/>
            </w:tcBorders>
            <w:vAlign w:val="center"/>
          </w:tcPr>
          <w:p w14:paraId="3CE99A70">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1105.55</w:t>
            </w:r>
          </w:p>
        </w:tc>
        <w:tc>
          <w:tcPr>
            <w:tcW w:w="792" w:type="pct"/>
            <w:tcBorders>
              <w:top w:val="nil"/>
              <w:left w:val="nil"/>
              <w:bottom w:val="single" w:color="auto" w:sz="4" w:space="0"/>
              <w:right w:val="single" w:color="auto" w:sz="4" w:space="0"/>
            </w:tcBorders>
            <w:vAlign w:val="center"/>
          </w:tcPr>
          <w:p w14:paraId="68D69559">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29.85</w:t>
            </w:r>
          </w:p>
        </w:tc>
      </w:tr>
      <w:tr w14:paraId="723CF51A">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42B662AB">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（二）</w:t>
            </w:r>
          </w:p>
        </w:tc>
        <w:tc>
          <w:tcPr>
            <w:tcW w:w="1132" w:type="pct"/>
            <w:tcBorders>
              <w:top w:val="nil"/>
              <w:left w:val="nil"/>
              <w:bottom w:val="single" w:color="auto" w:sz="4" w:space="0"/>
              <w:right w:val="single" w:color="auto" w:sz="4" w:space="0"/>
            </w:tcBorders>
            <w:vAlign w:val="center"/>
          </w:tcPr>
          <w:p w14:paraId="69F40C77">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措施费</w:t>
            </w:r>
          </w:p>
        </w:tc>
        <w:tc>
          <w:tcPr>
            <w:tcW w:w="802" w:type="pct"/>
            <w:tcBorders>
              <w:top w:val="nil"/>
              <w:left w:val="nil"/>
              <w:bottom w:val="single" w:color="auto" w:sz="4" w:space="0"/>
              <w:right w:val="single" w:color="auto" w:sz="4" w:space="0"/>
            </w:tcBorders>
            <w:vAlign w:val="center"/>
          </w:tcPr>
          <w:p w14:paraId="528F22F9">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w:t>
            </w:r>
          </w:p>
        </w:tc>
        <w:tc>
          <w:tcPr>
            <w:tcW w:w="782" w:type="pct"/>
            <w:tcBorders>
              <w:top w:val="nil"/>
              <w:left w:val="nil"/>
              <w:bottom w:val="single" w:color="auto" w:sz="4" w:space="0"/>
              <w:right w:val="single" w:color="auto" w:sz="4" w:space="0"/>
            </w:tcBorders>
            <w:vAlign w:val="center"/>
          </w:tcPr>
          <w:p w14:paraId="583D79F4">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3.80</w:t>
            </w:r>
          </w:p>
        </w:tc>
        <w:tc>
          <w:tcPr>
            <w:tcW w:w="782" w:type="pct"/>
            <w:tcBorders>
              <w:top w:val="nil"/>
              <w:left w:val="nil"/>
              <w:bottom w:val="single" w:color="auto" w:sz="4" w:space="0"/>
              <w:right w:val="single" w:color="auto" w:sz="4" w:space="0"/>
            </w:tcBorders>
            <w:vAlign w:val="center"/>
          </w:tcPr>
          <w:p w14:paraId="497C7B21">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1216.43</w:t>
            </w:r>
          </w:p>
        </w:tc>
        <w:tc>
          <w:tcPr>
            <w:tcW w:w="792" w:type="pct"/>
            <w:tcBorders>
              <w:top w:val="nil"/>
              <w:left w:val="nil"/>
              <w:bottom w:val="single" w:color="auto" w:sz="4" w:space="0"/>
              <w:right w:val="single" w:color="auto" w:sz="4" w:space="0"/>
            </w:tcBorders>
            <w:vAlign w:val="center"/>
          </w:tcPr>
          <w:p w14:paraId="478C73A2">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46.22</w:t>
            </w:r>
          </w:p>
        </w:tc>
      </w:tr>
      <w:tr w14:paraId="7A4AFA10">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2793CBD3">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二</w:t>
            </w:r>
          </w:p>
        </w:tc>
        <w:tc>
          <w:tcPr>
            <w:tcW w:w="1132" w:type="pct"/>
            <w:tcBorders>
              <w:top w:val="nil"/>
              <w:left w:val="nil"/>
              <w:bottom w:val="single" w:color="auto" w:sz="4" w:space="0"/>
              <w:right w:val="single" w:color="auto" w:sz="4" w:space="0"/>
            </w:tcBorders>
            <w:vAlign w:val="center"/>
          </w:tcPr>
          <w:p w14:paraId="6BFF2E59">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间接费</w:t>
            </w:r>
          </w:p>
        </w:tc>
        <w:tc>
          <w:tcPr>
            <w:tcW w:w="802" w:type="pct"/>
            <w:tcBorders>
              <w:top w:val="nil"/>
              <w:left w:val="nil"/>
              <w:bottom w:val="single" w:color="auto" w:sz="4" w:space="0"/>
              <w:right w:val="single" w:color="auto" w:sz="4" w:space="0"/>
            </w:tcBorders>
            <w:vAlign w:val="center"/>
          </w:tcPr>
          <w:p w14:paraId="37A1FE39">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w:t>
            </w:r>
          </w:p>
        </w:tc>
        <w:tc>
          <w:tcPr>
            <w:tcW w:w="782" w:type="pct"/>
            <w:tcBorders>
              <w:top w:val="nil"/>
              <w:left w:val="nil"/>
              <w:bottom w:val="single" w:color="auto" w:sz="4" w:space="0"/>
              <w:right w:val="single" w:color="auto" w:sz="4" w:space="0"/>
            </w:tcBorders>
            <w:vAlign w:val="center"/>
          </w:tcPr>
          <w:p w14:paraId="5CA2AE24">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7.20</w:t>
            </w:r>
          </w:p>
        </w:tc>
        <w:tc>
          <w:tcPr>
            <w:tcW w:w="782" w:type="pct"/>
            <w:tcBorders>
              <w:top w:val="nil"/>
              <w:left w:val="nil"/>
              <w:bottom w:val="single" w:color="auto" w:sz="4" w:space="0"/>
              <w:right w:val="single" w:color="auto" w:sz="4" w:space="0"/>
            </w:tcBorders>
            <w:vAlign w:val="center"/>
          </w:tcPr>
          <w:p w14:paraId="67FF8852">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1262.66</w:t>
            </w:r>
          </w:p>
        </w:tc>
        <w:tc>
          <w:tcPr>
            <w:tcW w:w="792" w:type="pct"/>
            <w:tcBorders>
              <w:top w:val="nil"/>
              <w:left w:val="nil"/>
              <w:bottom w:val="single" w:color="auto" w:sz="4" w:space="0"/>
              <w:right w:val="single" w:color="auto" w:sz="4" w:space="0"/>
            </w:tcBorders>
            <w:vAlign w:val="center"/>
          </w:tcPr>
          <w:p w14:paraId="511DAB8C">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90.91</w:t>
            </w:r>
          </w:p>
        </w:tc>
      </w:tr>
      <w:tr w14:paraId="3C651576">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296840B5">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三</w:t>
            </w:r>
          </w:p>
        </w:tc>
        <w:tc>
          <w:tcPr>
            <w:tcW w:w="1132" w:type="pct"/>
            <w:tcBorders>
              <w:top w:val="nil"/>
              <w:left w:val="nil"/>
              <w:bottom w:val="single" w:color="auto" w:sz="4" w:space="0"/>
              <w:right w:val="single" w:color="auto" w:sz="4" w:space="0"/>
            </w:tcBorders>
            <w:vAlign w:val="center"/>
          </w:tcPr>
          <w:p w14:paraId="1F873433">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利润</w:t>
            </w:r>
          </w:p>
        </w:tc>
        <w:tc>
          <w:tcPr>
            <w:tcW w:w="802" w:type="pct"/>
            <w:tcBorders>
              <w:top w:val="nil"/>
              <w:left w:val="nil"/>
              <w:bottom w:val="single" w:color="auto" w:sz="4" w:space="0"/>
              <w:right w:val="single" w:color="auto" w:sz="4" w:space="0"/>
            </w:tcBorders>
            <w:vAlign w:val="center"/>
          </w:tcPr>
          <w:p w14:paraId="20EA5734">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w:t>
            </w:r>
          </w:p>
        </w:tc>
        <w:tc>
          <w:tcPr>
            <w:tcW w:w="782" w:type="pct"/>
            <w:tcBorders>
              <w:top w:val="nil"/>
              <w:left w:val="nil"/>
              <w:bottom w:val="single" w:color="auto" w:sz="4" w:space="0"/>
              <w:right w:val="single" w:color="auto" w:sz="4" w:space="0"/>
            </w:tcBorders>
            <w:vAlign w:val="center"/>
          </w:tcPr>
          <w:p w14:paraId="59203517">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3.00</w:t>
            </w:r>
          </w:p>
        </w:tc>
        <w:tc>
          <w:tcPr>
            <w:tcW w:w="782" w:type="pct"/>
            <w:tcBorders>
              <w:top w:val="nil"/>
              <w:left w:val="nil"/>
              <w:bottom w:val="single" w:color="auto" w:sz="4" w:space="0"/>
              <w:right w:val="single" w:color="auto" w:sz="4" w:space="0"/>
            </w:tcBorders>
            <w:vAlign w:val="center"/>
          </w:tcPr>
          <w:p w14:paraId="43A18CF8">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1353.57</w:t>
            </w:r>
          </w:p>
        </w:tc>
        <w:tc>
          <w:tcPr>
            <w:tcW w:w="792" w:type="pct"/>
            <w:tcBorders>
              <w:top w:val="nil"/>
              <w:left w:val="nil"/>
              <w:bottom w:val="single" w:color="auto" w:sz="4" w:space="0"/>
              <w:right w:val="single" w:color="auto" w:sz="4" w:space="0"/>
            </w:tcBorders>
            <w:vAlign w:val="center"/>
          </w:tcPr>
          <w:p w14:paraId="27A9E93A">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40.61</w:t>
            </w:r>
          </w:p>
        </w:tc>
      </w:tr>
      <w:tr w14:paraId="29756499">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0CF51CF9">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四</w:t>
            </w:r>
          </w:p>
        </w:tc>
        <w:tc>
          <w:tcPr>
            <w:tcW w:w="1132" w:type="pct"/>
            <w:tcBorders>
              <w:top w:val="nil"/>
              <w:left w:val="nil"/>
              <w:bottom w:val="single" w:color="auto" w:sz="4" w:space="0"/>
              <w:right w:val="single" w:color="auto" w:sz="4" w:space="0"/>
            </w:tcBorders>
            <w:vAlign w:val="center"/>
          </w:tcPr>
          <w:p w14:paraId="32652C6A">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材料价差</w:t>
            </w:r>
          </w:p>
        </w:tc>
        <w:tc>
          <w:tcPr>
            <w:tcW w:w="802" w:type="pct"/>
            <w:tcBorders>
              <w:top w:val="nil"/>
              <w:left w:val="nil"/>
              <w:bottom w:val="single" w:color="auto" w:sz="4" w:space="0"/>
              <w:right w:val="single" w:color="auto" w:sz="4" w:space="0"/>
            </w:tcBorders>
            <w:vAlign w:val="center"/>
          </w:tcPr>
          <w:p w14:paraId="6E659B92">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82" w:type="pct"/>
            <w:tcBorders>
              <w:top w:val="nil"/>
              <w:left w:val="nil"/>
              <w:bottom w:val="single" w:color="auto" w:sz="4" w:space="0"/>
              <w:right w:val="single" w:color="auto" w:sz="4" w:space="0"/>
            </w:tcBorders>
            <w:vAlign w:val="center"/>
          </w:tcPr>
          <w:p w14:paraId="4B0E31AA">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82" w:type="pct"/>
            <w:tcBorders>
              <w:top w:val="nil"/>
              <w:left w:val="nil"/>
              <w:bottom w:val="single" w:color="auto" w:sz="4" w:space="0"/>
              <w:right w:val="single" w:color="auto" w:sz="4" w:space="0"/>
            </w:tcBorders>
            <w:vAlign w:val="center"/>
          </w:tcPr>
          <w:p w14:paraId="7A9429E2">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792" w:type="pct"/>
            <w:tcBorders>
              <w:top w:val="nil"/>
              <w:left w:val="nil"/>
              <w:bottom w:val="single" w:color="auto" w:sz="4" w:space="0"/>
              <w:right w:val="single" w:color="auto" w:sz="4" w:space="0"/>
            </w:tcBorders>
            <w:vAlign w:val="center"/>
          </w:tcPr>
          <w:p w14:paraId="2117CF38">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323.38</w:t>
            </w:r>
          </w:p>
        </w:tc>
      </w:tr>
      <w:tr w14:paraId="5AB67C2E">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17A0FF7A">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132" w:type="pct"/>
            <w:tcBorders>
              <w:top w:val="nil"/>
              <w:left w:val="nil"/>
              <w:bottom w:val="single" w:color="auto" w:sz="4" w:space="0"/>
              <w:right w:val="single" w:color="auto" w:sz="4" w:space="0"/>
            </w:tcBorders>
            <w:vAlign w:val="center"/>
          </w:tcPr>
          <w:p w14:paraId="1675A026">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柴油</w:t>
            </w:r>
          </w:p>
        </w:tc>
        <w:tc>
          <w:tcPr>
            <w:tcW w:w="802" w:type="pct"/>
            <w:tcBorders>
              <w:top w:val="nil"/>
              <w:left w:val="nil"/>
              <w:bottom w:val="single" w:color="auto" w:sz="4" w:space="0"/>
              <w:right w:val="single" w:color="auto" w:sz="4" w:space="0"/>
            </w:tcBorders>
            <w:vAlign w:val="center"/>
          </w:tcPr>
          <w:p w14:paraId="398D8774">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kg</w:t>
            </w:r>
          </w:p>
        </w:tc>
        <w:tc>
          <w:tcPr>
            <w:tcW w:w="782" w:type="pct"/>
            <w:tcBorders>
              <w:top w:val="nil"/>
              <w:left w:val="nil"/>
              <w:bottom w:val="single" w:color="auto" w:sz="4" w:space="0"/>
              <w:right w:val="single" w:color="auto" w:sz="4" w:space="0"/>
            </w:tcBorders>
            <w:vAlign w:val="center"/>
          </w:tcPr>
          <w:p w14:paraId="05924915">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88.84</w:t>
            </w:r>
          </w:p>
        </w:tc>
        <w:tc>
          <w:tcPr>
            <w:tcW w:w="782" w:type="pct"/>
            <w:tcBorders>
              <w:top w:val="nil"/>
              <w:left w:val="nil"/>
              <w:bottom w:val="single" w:color="auto" w:sz="4" w:space="0"/>
              <w:right w:val="single" w:color="auto" w:sz="4" w:space="0"/>
            </w:tcBorders>
            <w:vAlign w:val="center"/>
          </w:tcPr>
          <w:p w14:paraId="580A593C">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3.64</w:t>
            </w:r>
          </w:p>
        </w:tc>
        <w:tc>
          <w:tcPr>
            <w:tcW w:w="792" w:type="pct"/>
            <w:tcBorders>
              <w:top w:val="nil"/>
              <w:left w:val="nil"/>
              <w:bottom w:val="single" w:color="auto" w:sz="4" w:space="0"/>
              <w:right w:val="single" w:color="auto" w:sz="4" w:space="0"/>
            </w:tcBorders>
            <w:vAlign w:val="center"/>
          </w:tcPr>
          <w:p w14:paraId="200E2BE4">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323.38</w:t>
            </w:r>
          </w:p>
        </w:tc>
      </w:tr>
      <w:tr w14:paraId="5AA864F5">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25C6CCF3">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五</w:t>
            </w:r>
          </w:p>
        </w:tc>
        <w:tc>
          <w:tcPr>
            <w:tcW w:w="1132" w:type="pct"/>
            <w:tcBorders>
              <w:top w:val="nil"/>
              <w:left w:val="nil"/>
              <w:bottom w:val="single" w:color="auto" w:sz="4" w:space="0"/>
              <w:right w:val="single" w:color="auto" w:sz="4" w:space="0"/>
            </w:tcBorders>
            <w:vAlign w:val="center"/>
          </w:tcPr>
          <w:p w14:paraId="56B150C1">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税金</w:t>
            </w:r>
          </w:p>
        </w:tc>
        <w:tc>
          <w:tcPr>
            <w:tcW w:w="802" w:type="pct"/>
            <w:tcBorders>
              <w:top w:val="nil"/>
              <w:left w:val="nil"/>
              <w:bottom w:val="single" w:color="auto" w:sz="4" w:space="0"/>
              <w:right w:val="single" w:color="auto" w:sz="4" w:space="0"/>
            </w:tcBorders>
            <w:vAlign w:val="center"/>
          </w:tcPr>
          <w:p w14:paraId="6B73EB14">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w:t>
            </w:r>
          </w:p>
        </w:tc>
        <w:tc>
          <w:tcPr>
            <w:tcW w:w="782" w:type="pct"/>
            <w:tcBorders>
              <w:top w:val="nil"/>
              <w:left w:val="nil"/>
              <w:bottom w:val="single" w:color="auto" w:sz="4" w:space="0"/>
              <w:right w:val="single" w:color="auto" w:sz="4" w:space="0"/>
            </w:tcBorders>
            <w:vAlign w:val="center"/>
          </w:tcPr>
          <w:p w14:paraId="590E5ED7">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9.00</w:t>
            </w:r>
          </w:p>
        </w:tc>
        <w:tc>
          <w:tcPr>
            <w:tcW w:w="782" w:type="pct"/>
            <w:tcBorders>
              <w:top w:val="nil"/>
              <w:left w:val="nil"/>
              <w:bottom w:val="single" w:color="auto" w:sz="4" w:space="0"/>
              <w:right w:val="single" w:color="auto" w:sz="4" w:space="0"/>
            </w:tcBorders>
            <w:vAlign w:val="center"/>
          </w:tcPr>
          <w:p w14:paraId="1759529F">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1717.55</w:t>
            </w:r>
          </w:p>
        </w:tc>
        <w:tc>
          <w:tcPr>
            <w:tcW w:w="792" w:type="pct"/>
            <w:tcBorders>
              <w:top w:val="nil"/>
              <w:left w:val="nil"/>
              <w:bottom w:val="single" w:color="auto" w:sz="4" w:space="0"/>
              <w:right w:val="single" w:color="auto" w:sz="4" w:space="0"/>
            </w:tcBorders>
            <w:vAlign w:val="center"/>
          </w:tcPr>
          <w:p w14:paraId="58C3628B">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154.58</w:t>
            </w:r>
          </w:p>
        </w:tc>
      </w:tr>
      <w:tr w14:paraId="310D667F">
        <w:tblPrEx>
          <w:tblCellMar>
            <w:top w:w="0" w:type="dxa"/>
            <w:left w:w="108" w:type="dxa"/>
            <w:bottom w:w="0" w:type="dxa"/>
            <w:right w:w="108" w:type="dxa"/>
          </w:tblCellMar>
        </w:tblPrEx>
        <w:trPr>
          <w:trHeight w:val="284" w:hRule="exact"/>
        </w:trPr>
        <w:tc>
          <w:tcPr>
            <w:tcW w:w="709" w:type="pct"/>
            <w:tcBorders>
              <w:top w:val="nil"/>
              <w:left w:val="single" w:color="auto" w:sz="4" w:space="0"/>
              <w:bottom w:val="single" w:color="auto" w:sz="4" w:space="0"/>
              <w:right w:val="single" w:color="auto" w:sz="4" w:space="0"/>
            </w:tcBorders>
            <w:vAlign w:val="center"/>
          </w:tcPr>
          <w:p w14:paraId="0935EB84">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合计</w:t>
            </w:r>
          </w:p>
        </w:tc>
        <w:tc>
          <w:tcPr>
            <w:tcW w:w="1132" w:type="pct"/>
            <w:tcBorders>
              <w:top w:val="nil"/>
              <w:left w:val="nil"/>
              <w:bottom w:val="single" w:color="auto" w:sz="4" w:space="0"/>
              <w:right w:val="single" w:color="auto" w:sz="4" w:space="0"/>
            </w:tcBorders>
            <w:vAlign w:val="center"/>
          </w:tcPr>
          <w:p w14:paraId="7498D8A1">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802" w:type="pct"/>
            <w:tcBorders>
              <w:top w:val="nil"/>
              <w:left w:val="nil"/>
              <w:bottom w:val="single" w:color="auto" w:sz="4" w:space="0"/>
              <w:right w:val="single" w:color="auto" w:sz="4" w:space="0"/>
            </w:tcBorders>
            <w:vAlign w:val="center"/>
          </w:tcPr>
          <w:p w14:paraId="26BB82BD">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782" w:type="pct"/>
            <w:tcBorders>
              <w:top w:val="nil"/>
              <w:left w:val="nil"/>
              <w:bottom w:val="single" w:color="auto" w:sz="4" w:space="0"/>
              <w:right w:val="single" w:color="auto" w:sz="4" w:space="0"/>
            </w:tcBorders>
            <w:vAlign w:val="center"/>
          </w:tcPr>
          <w:p w14:paraId="02935605">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782" w:type="pct"/>
            <w:tcBorders>
              <w:top w:val="nil"/>
              <w:left w:val="nil"/>
              <w:bottom w:val="single" w:color="auto" w:sz="4" w:space="0"/>
              <w:right w:val="single" w:color="auto" w:sz="4" w:space="0"/>
            </w:tcBorders>
            <w:vAlign w:val="center"/>
          </w:tcPr>
          <w:p w14:paraId="6957AA9F">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792" w:type="pct"/>
            <w:tcBorders>
              <w:top w:val="nil"/>
              <w:left w:val="nil"/>
              <w:bottom w:val="single" w:color="auto" w:sz="4" w:space="0"/>
              <w:right w:val="single" w:color="auto" w:sz="4" w:space="0"/>
            </w:tcBorders>
            <w:vAlign w:val="center"/>
          </w:tcPr>
          <w:p w14:paraId="6339876E">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1872.13</w:t>
            </w:r>
          </w:p>
        </w:tc>
      </w:tr>
    </w:tbl>
    <w:p w14:paraId="2D805D80">
      <w:pPr>
        <w:pStyle w:val="41"/>
        <w:spacing w:after="0" w:line="240" w:lineRule="auto"/>
        <w:ind w:left="0" w:leftChars="0" w:firstLine="0" w:firstLineChars="0"/>
        <w:jc w:val="center"/>
        <w:rPr>
          <w:rFonts w:eastAsia="黑体"/>
          <w:bCs/>
          <w:sz w:val="24"/>
          <w:szCs w:val="24"/>
        </w:rPr>
      </w:pPr>
    </w:p>
    <w:p w14:paraId="2A3E2CA1">
      <w:pPr>
        <w:pStyle w:val="41"/>
        <w:spacing w:after="0" w:line="240" w:lineRule="auto"/>
        <w:ind w:left="0" w:leftChars="0" w:firstLine="0" w:firstLineChars="0"/>
        <w:jc w:val="center"/>
        <w:rPr>
          <w:rFonts w:eastAsia="黑体"/>
          <w:bCs/>
          <w:sz w:val="24"/>
          <w:szCs w:val="24"/>
        </w:rPr>
      </w:pPr>
      <w:r>
        <w:rPr>
          <w:rFonts w:hint="eastAsia" w:eastAsia="黑体"/>
          <w:bCs/>
          <w:sz w:val="24"/>
          <w:szCs w:val="24"/>
        </w:rPr>
        <w:t>2</w:t>
      </w:r>
      <w:r>
        <w:rPr>
          <w:rFonts w:eastAsia="黑体"/>
          <w:bCs/>
          <w:sz w:val="24"/>
          <w:szCs w:val="24"/>
        </w:rPr>
        <w:t>.表土剥离</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5A1EC41E">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E42F787">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定额编号：10158定额单位：100</w:t>
            </w:r>
            <w:r>
              <w:rPr>
                <w:rFonts w:hint="eastAsia" w:eastAsia="仿宋"/>
                <w:kern w:val="0"/>
                <w:sz w:val="21"/>
                <w:szCs w:val="21"/>
              </w:rPr>
              <w:t>m³</w:t>
            </w:r>
          </w:p>
        </w:tc>
      </w:tr>
      <w:tr w14:paraId="39EEAE7C">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9569713">
            <w:pPr>
              <w:widowControl/>
              <w:adjustRightInd/>
              <w:snapToGrid/>
              <w:spacing w:line="240" w:lineRule="auto"/>
              <w:ind w:firstLine="0" w:firstLineChars="0"/>
              <w:jc w:val="center"/>
              <w:rPr>
                <w:rFonts w:eastAsia="仿宋"/>
                <w:kern w:val="0"/>
                <w:sz w:val="21"/>
                <w:szCs w:val="21"/>
              </w:rPr>
            </w:pPr>
            <w:r>
              <w:rPr>
                <w:rFonts w:eastAsia="仿宋"/>
                <w:kern w:val="0"/>
                <w:sz w:val="21"/>
                <w:szCs w:val="21"/>
              </w:rPr>
              <w:t>施工方法：铲装、运送、卸除、空回、转向、道路平整、洒水、卸土推平。铲运距离0～100m。</w:t>
            </w:r>
          </w:p>
        </w:tc>
      </w:tr>
      <w:tr w14:paraId="27019F64">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14A8AB2F">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序号</w:t>
            </w:r>
          </w:p>
        </w:tc>
        <w:tc>
          <w:tcPr>
            <w:tcW w:w="1132" w:type="pct"/>
            <w:tcBorders>
              <w:top w:val="nil"/>
              <w:left w:val="nil"/>
              <w:bottom w:val="single" w:color="auto" w:sz="4" w:space="0"/>
              <w:right w:val="single" w:color="auto" w:sz="4" w:space="0"/>
            </w:tcBorders>
            <w:vAlign w:val="center"/>
          </w:tcPr>
          <w:p w14:paraId="25BBDF46">
            <w:pPr>
              <w:widowControl/>
              <w:adjustRightInd/>
              <w:snapToGrid/>
              <w:spacing w:line="240" w:lineRule="auto"/>
              <w:ind w:firstLine="0" w:firstLineChars="0"/>
              <w:jc w:val="center"/>
              <w:rPr>
                <w:rFonts w:eastAsia="仿宋"/>
                <w:kern w:val="0"/>
                <w:sz w:val="21"/>
                <w:szCs w:val="21"/>
              </w:rPr>
            </w:pPr>
            <w:r>
              <w:rPr>
                <w:rFonts w:eastAsia="仿宋"/>
                <w:kern w:val="0"/>
                <w:sz w:val="21"/>
                <w:szCs w:val="21"/>
              </w:rPr>
              <w:t>项目名称</w:t>
            </w:r>
          </w:p>
        </w:tc>
        <w:tc>
          <w:tcPr>
            <w:tcW w:w="802" w:type="pct"/>
            <w:tcBorders>
              <w:top w:val="nil"/>
              <w:left w:val="nil"/>
              <w:bottom w:val="single" w:color="auto" w:sz="4" w:space="0"/>
              <w:right w:val="single" w:color="auto" w:sz="4" w:space="0"/>
            </w:tcBorders>
            <w:vAlign w:val="center"/>
          </w:tcPr>
          <w:p w14:paraId="337158EC">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单位</w:t>
            </w:r>
          </w:p>
        </w:tc>
        <w:tc>
          <w:tcPr>
            <w:tcW w:w="782" w:type="pct"/>
            <w:tcBorders>
              <w:top w:val="nil"/>
              <w:left w:val="nil"/>
              <w:bottom w:val="single" w:color="auto" w:sz="4" w:space="0"/>
              <w:right w:val="single" w:color="auto" w:sz="4" w:space="0"/>
            </w:tcBorders>
            <w:vAlign w:val="center"/>
          </w:tcPr>
          <w:p w14:paraId="1E6D1D12">
            <w:pPr>
              <w:widowControl/>
              <w:adjustRightInd/>
              <w:snapToGrid/>
              <w:spacing w:line="240" w:lineRule="auto"/>
              <w:ind w:firstLine="0" w:firstLineChars="0"/>
              <w:jc w:val="center"/>
              <w:rPr>
                <w:rFonts w:eastAsia="仿宋"/>
                <w:kern w:val="0"/>
                <w:sz w:val="21"/>
                <w:szCs w:val="21"/>
              </w:rPr>
            </w:pPr>
            <w:r>
              <w:rPr>
                <w:rFonts w:eastAsia="仿宋"/>
                <w:kern w:val="0"/>
                <w:sz w:val="21"/>
                <w:szCs w:val="21"/>
              </w:rPr>
              <w:t>数量</w:t>
            </w:r>
          </w:p>
        </w:tc>
        <w:tc>
          <w:tcPr>
            <w:tcW w:w="782" w:type="pct"/>
            <w:tcBorders>
              <w:top w:val="nil"/>
              <w:left w:val="nil"/>
              <w:bottom w:val="single" w:color="auto" w:sz="4" w:space="0"/>
              <w:right w:val="single" w:color="auto" w:sz="4" w:space="0"/>
            </w:tcBorders>
            <w:vAlign w:val="center"/>
          </w:tcPr>
          <w:p w14:paraId="5B00EC04">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单价</w:t>
            </w:r>
          </w:p>
        </w:tc>
        <w:tc>
          <w:tcPr>
            <w:tcW w:w="792" w:type="pct"/>
            <w:tcBorders>
              <w:top w:val="nil"/>
              <w:left w:val="nil"/>
              <w:bottom w:val="single" w:color="auto" w:sz="4" w:space="0"/>
              <w:right w:val="single" w:color="auto" w:sz="4" w:space="0"/>
            </w:tcBorders>
            <w:vAlign w:val="center"/>
          </w:tcPr>
          <w:p w14:paraId="4D6B434C">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小计（元）</w:t>
            </w:r>
          </w:p>
        </w:tc>
      </w:tr>
      <w:tr w14:paraId="6B9AC05F">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44C7E92">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一</w:t>
            </w:r>
          </w:p>
        </w:tc>
        <w:tc>
          <w:tcPr>
            <w:tcW w:w="1132" w:type="pct"/>
            <w:tcBorders>
              <w:top w:val="nil"/>
              <w:left w:val="nil"/>
              <w:bottom w:val="single" w:color="auto" w:sz="4" w:space="0"/>
              <w:right w:val="single" w:color="auto" w:sz="4" w:space="0"/>
            </w:tcBorders>
            <w:vAlign w:val="center"/>
          </w:tcPr>
          <w:p w14:paraId="05A06635">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直接费</w:t>
            </w:r>
          </w:p>
        </w:tc>
        <w:tc>
          <w:tcPr>
            <w:tcW w:w="802" w:type="pct"/>
            <w:tcBorders>
              <w:top w:val="nil"/>
              <w:left w:val="nil"/>
              <w:bottom w:val="single" w:color="auto" w:sz="4" w:space="0"/>
              <w:right w:val="single" w:color="auto" w:sz="4" w:space="0"/>
            </w:tcBorders>
            <w:vAlign w:val="center"/>
          </w:tcPr>
          <w:p w14:paraId="757DB772">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72F39975">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82" w:type="pct"/>
            <w:tcBorders>
              <w:top w:val="nil"/>
              <w:left w:val="nil"/>
              <w:bottom w:val="single" w:color="auto" w:sz="4" w:space="0"/>
              <w:right w:val="single" w:color="auto" w:sz="4" w:space="0"/>
            </w:tcBorders>
            <w:vAlign w:val="center"/>
          </w:tcPr>
          <w:p w14:paraId="0652FFE3">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92" w:type="pct"/>
            <w:tcBorders>
              <w:top w:val="nil"/>
              <w:left w:val="nil"/>
              <w:bottom w:val="single" w:color="auto" w:sz="4" w:space="0"/>
              <w:right w:val="single" w:color="auto" w:sz="4" w:space="0"/>
            </w:tcBorders>
            <w:vAlign w:val="center"/>
          </w:tcPr>
          <w:p w14:paraId="392F6DF9">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392.88</w:t>
            </w:r>
          </w:p>
        </w:tc>
      </w:tr>
      <w:tr w14:paraId="218231F4">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AD2F154">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（一）</w:t>
            </w:r>
          </w:p>
        </w:tc>
        <w:tc>
          <w:tcPr>
            <w:tcW w:w="1132" w:type="pct"/>
            <w:tcBorders>
              <w:top w:val="nil"/>
              <w:left w:val="nil"/>
              <w:bottom w:val="single" w:color="auto" w:sz="4" w:space="0"/>
              <w:right w:val="single" w:color="auto" w:sz="4" w:space="0"/>
            </w:tcBorders>
            <w:vAlign w:val="center"/>
          </w:tcPr>
          <w:p w14:paraId="7980DDE2">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直接工程费</w:t>
            </w:r>
          </w:p>
        </w:tc>
        <w:tc>
          <w:tcPr>
            <w:tcW w:w="802" w:type="pct"/>
            <w:tcBorders>
              <w:top w:val="nil"/>
              <w:left w:val="nil"/>
              <w:bottom w:val="single" w:color="auto" w:sz="4" w:space="0"/>
              <w:right w:val="single" w:color="auto" w:sz="4" w:space="0"/>
            </w:tcBorders>
            <w:vAlign w:val="center"/>
          </w:tcPr>
          <w:p w14:paraId="5FCD140C">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5986EE65">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82" w:type="pct"/>
            <w:tcBorders>
              <w:top w:val="nil"/>
              <w:left w:val="nil"/>
              <w:bottom w:val="single" w:color="auto" w:sz="4" w:space="0"/>
              <w:right w:val="single" w:color="auto" w:sz="4" w:space="0"/>
            </w:tcBorders>
            <w:vAlign w:val="center"/>
          </w:tcPr>
          <w:p w14:paraId="287470F5">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92" w:type="pct"/>
            <w:tcBorders>
              <w:top w:val="nil"/>
              <w:left w:val="nil"/>
              <w:bottom w:val="single" w:color="auto" w:sz="4" w:space="0"/>
              <w:right w:val="single" w:color="auto" w:sz="4" w:space="0"/>
            </w:tcBorders>
            <w:vAlign w:val="center"/>
          </w:tcPr>
          <w:p w14:paraId="161E3FCC">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378.49</w:t>
            </w:r>
          </w:p>
        </w:tc>
      </w:tr>
      <w:tr w14:paraId="3BCB3B40">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1AC32400">
            <w:pPr>
              <w:widowControl/>
              <w:adjustRightInd/>
              <w:snapToGrid/>
              <w:spacing w:line="240" w:lineRule="auto"/>
              <w:ind w:firstLine="0" w:firstLineChars="0"/>
              <w:jc w:val="center"/>
              <w:rPr>
                <w:rFonts w:hint="eastAsia" w:eastAsia="仿宋"/>
                <w:kern w:val="0"/>
                <w:sz w:val="21"/>
                <w:szCs w:val="21"/>
                <w:lang w:eastAsia="zh-CN"/>
              </w:rPr>
            </w:pPr>
            <w:r>
              <w:rPr>
                <w:rFonts w:eastAsia="仿宋"/>
                <w:kern w:val="0"/>
                <w:sz w:val="21"/>
                <w:szCs w:val="21"/>
              </w:rPr>
              <w:t>1</w:t>
            </w:r>
          </w:p>
        </w:tc>
        <w:tc>
          <w:tcPr>
            <w:tcW w:w="1132" w:type="pct"/>
            <w:tcBorders>
              <w:top w:val="nil"/>
              <w:left w:val="nil"/>
              <w:bottom w:val="single" w:color="auto" w:sz="4" w:space="0"/>
              <w:right w:val="single" w:color="auto" w:sz="4" w:space="0"/>
            </w:tcBorders>
            <w:vAlign w:val="center"/>
          </w:tcPr>
          <w:p w14:paraId="4B48DCFB">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人工费</w:t>
            </w:r>
          </w:p>
        </w:tc>
        <w:tc>
          <w:tcPr>
            <w:tcW w:w="802" w:type="pct"/>
            <w:tcBorders>
              <w:top w:val="nil"/>
              <w:left w:val="nil"/>
              <w:bottom w:val="single" w:color="auto" w:sz="4" w:space="0"/>
              <w:right w:val="single" w:color="auto" w:sz="4" w:space="0"/>
            </w:tcBorders>
            <w:vAlign w:val="center"/>
          </w:tcPr>
          <w:p w14:paraId="45525FE0">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0434F44A">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82" w:type="pct"/>
            <w:tcBorders>
              <w:top w:val="nil"/>
              <w:left w:val="nil"/>
              <w:bottom w:val="single" w:color="auto" w:sz="4" w:space="0"/>
              <w:right w:val="single" w:color="auto" w:sz="4" w:space="0"/>
            </w:tcBorders>
            <w:vAlign w:val="center"/>
          </w:tcPr>
          <w:p w14:paraId="7E8C5B2C">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92" w:type="pct"/>
            <w:tcBorders>
              <w:top w:val="nil"/>
              <w:left w:val="nil"/>
              <w:bottom w:val="single" w:color="auto" w:sz="4" w:space="0"/>
              <w:right w:val="single" w:color="auto" w:sz="4" w:space="0"/>
            </w:tcBorders>
            <w:vAlign w:val="center"/>
          </w:tcPr>
          <w:p w14:paraId="6992B233">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17.52</w:t>
            </w:r>
          </w:p>
        </w:tc>
      </w:tr>
      <w:tr w14:paraId="1A1E8F43">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EACCF3A">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4696E120">
            <w:pPr>
              <w:widowControl/>
              <w:adjustRightInd/>
              <w:snapToGrid/>
              <w:spacing w:line="240" w:lineRule="auto"/>
              <w:ind w:firstLine="0" w:firstLineChars="0"/>
              <w:jc w:val="center"/>
              <w:rPr>
                <w:rFonts w:eastAsia="仿宋"/>
                <w:kern w:val="0"/>
                <w:sz w:val="21"/>
                <w:szCs w:val="21"/>
              </w:rPr>
            </w:pPr>
            <w:r>
              <w:rPr>
                <w:rFonts w:eastAsia="仿宋"/>
                <w:kern w:val="0"/>
                <w:sz w:val="21"/>
                <w:szCs w:val="21"/>
              </w:rPr>
              <w:t>甲类工</w:t>
            </w:r>
          </w:p>
        </w:tc>
        <w:tc>
          <w:tcPr>
            <w:tcW w:w="802" w:type="pct"/>
            <w:tcBorders>
              <w:top w:val="nil"/>
              <w:left w:val="nil"/>
              <w:bottom w:val="single" w:color="auto" w:sz="4" w:space="0"/>
              <w:right w:val="single" w:color="auto" w:sz="4" w:space="0"/>
            </w:tcBorders>
            <w:vAlign w:val="center"/>
          </w:tcPr>
          <w:p w14:paraId="2547689C">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工日</w:t>
            </w:r>
          </w:p>
        </w:tc>
        <w:tc>
          <w:tcPr>
            <w:tcW w:w="782" w:type="pct"/>
            <w:tcBorders>
              <w:top w:val="nil"/>
              <w:left w:val="nil"/>
              <w:bottom w:val="single" w:color="auto" w:sz="4" w:space="0"/>
              <w:right w:val="single" w:color="auto" w:sz="4" w:space="0"/>
            </w:tcBorders>
            <w:vAlign w:val="center"/>
          </w:tcPr>
          <w:p w14:paraId="3F84F64C">
            <w:pPr>
              <w:widowControl/>
              <w:adjustRightInd/>
              <w:snapToGrid/>
              <w:spacing w:line="240" w:lineRule="auto"/>
              <w:ind w:firstLine="0" w:firstLineChars="0"/>
              <w:jc w:val="center"/>
              <w:rPr>
                <w:rFonts w:eastAsia="仿宋"/>
                <w:kern w:val="0"/>
                <w:sz w:val="21"/>
                <w:szCs w:val="21"/>
              </w:rPr>
            </w:pPr>
            <w:r>
              <w:rPr>
                <w:rFonts w:hint="eastAsia" w:ascii="仿宋" w:hAnsi="仿宋" w:eastAsia="仿宋"/>
                <w:sz w:val="21"/>
                <w:szCs w:val="21"/>
              </w:rPr>
              <w:t>　</w:t>
            </w:r>
          </w:p>
        </w:tc>
        <w:tc>
          <w:tcPr>
            <w:tcW w:w="782" w:type="pct"/>
            <w:tcBorders>
              <w:top w:val="nil"/>
              <w:left w:val="nil"/>
              <w:bottom w:val="single" w:color="auto" w:sz="4" w:space="0"/>
              <w:right w:val="single" w:color="auto" w:sz="4" w:space="0"/>
            </w:tcBorders>
            <w:vAlign w:val="center"/>
          </w:tcPr>
          <w:p w14:paraId="6AE9A257">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51.04</w:t>
            </w:r>
          </w:p>
        </w:tc>
        <w:tc>
          <w:tcPr>
            <w:tcW w:w="792" w:type="pct"/>
            <w:tcBorders>
              <w:top w:val="nil"/>
              <w:left w:val="nil"/>
              <w:bottom w:val="single" w:color="auto" w:sz="4" w:space="0"/>
              <w:right w:val="single" w:color="auto" w:sz="4" w:space="0"/>
            </w:tcBorders>
            <w:vAlign w:val="center"/>
          </w:tcPr>
          <w:p w14:paraId="2005D08E">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0.00</w:t>
            </w:r>
          </w:p>
        </w:tc>
      </w:tr>
      <w:tr w14:paraId="6EC95969">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16AAF3F">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14D1B651">
            <w:pPr>
              <w:widowControl/>
              <w:adjustRightInd/>
              <w:snapToGrid/>
              <w:spacing w:line="240" w:lineRule="auto"/>
              <w:ind w:firstLine="0" w:firstLineChars="0"/>
              <w:jc w:val="center"/>
              <w:rPr>
                <w:rFonts w:eastAsia="仿宋"/>
                <w:kern w:val="0"/>
                <w:sz w:val="21"/>
                <w:szCs w:val="21"/>
              </w:rPr>
            </w:pPr>
            <w:r>
              <w:rPr>
                <w:rFonts w:eastAsia="仿宋"/>
                <w:kern w:val="0"/>
                <w:sz w:val="21"/>
                <w:szCs w:val="21"/>
              </w:rPr>
              <w:t>乙类工</w:t>
            </w:r>
          </w:p>
        </w:tc>
        <w:tc>
          <w:tcPr>
            <w:tcW w:w="802" w:type="pct"/>
            <w:tcBorders>
              <w:top w:val="nil"/>
              <w:left w:val="nil"/>
              <w:bottom w:val="single" w:color="auto" w:sz="4" w:space="0"/>
              <w:right w:val="single" w:color="auto" w:sz="4" w:space="0"/>
            </w:tcBorders>
            <w:vAlign w:val="center"/>
          </w:tcPr>
          <w:p w14:paraId="4C4BFE44">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工日</w:t>
            </w:r>
          </w:p>
        </w:tc>
        <w:tc>
          <w:tcPr>
            <w:tcW w:w="782" w:type="pct"/>
            <w:tcBorders>
              <w:top w:val="nil"/>
              <w:left w:val="nil"/>
              <w:bottom w:val="single" w:color="auto" w:sz="4" w:space="0"/>
              <w:right w:val="single" w:color="auto" w:sz="4" w:space="0"/>
            </w:tcBorders>
            <w:vAlign w:val="center"/>
          </w:tcPr>
          <w:p w14:paraId="1A66636D">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0.40</w:t>
            </w:r>
          </w:p>
        </w:tc>
        <w:tc>
          <w:tcPr>
            <w:tcW w:w="782" w:type="pct"/>
            <w:tcBorders>
              <w:top w:val="nil"/>
              <w:left w:val="nil"/>
              <w:bottom w:val="single" w:color="auto" w:sz="4" w:space="0"/>
              <w:right w:val="single" w:color="auto" w:sz="4" w:space="0"/>
            </w:tcBorders>
            <w:vAlign w:val="center"/>
          </w:tcPr>
          <w:p w14:paraId="65011593">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38.84</w:t>
            </w:r>
          </w:p>
        </w:tc>
        <w:tc>
          <w:tcPr>
            <w:tcW w:w="792" w:type="pct"/>
            <w:tcBorders>
              <w:top w:val="nil"/>
              <w:left w:val="nil"/>
              <w:bottom w:val="single" w:color="auto" w:sz="4" w:space="0"/>
              <w:right w:val="single" w:color="auto" w:sz="4" w:space="0"/>
            </w:tcBorders>
            <w:vAlign w:val="center"/>
          </w:tcPr>
          <w:p w14:paraId="75A5A574">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15.54</w:t>
            </w:r>
          </w:p>
        </w:tc>
      </w:tr>
      <w:tr w14:paraId="5D88254D">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D77FE2A">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3F5E7630">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其他费用</w:t>
            </w:r>
          </w:p>
        </w:tc>
        <w:tc>
          <w:tcPr>
            <w:tcW w:w="802" w:type="pct"/>
            <w:tcBorders>
              <w:top w:val="nil"/>
              <w:left w:val="nil"/>
              <w:bottom w:val="single" w:color="auto" w:sz="4" w:space="0"/>
              <w:right w:val="single" w:color="auto" w:sz="4" w:space="0"/>
            </w:tcBorders>
            <w:vAlign w:val="center"/>
          </w:tcPr>
          <w:p w14:paraId="25E8DC9E">
            <w:pPr>
              <w:widowControl/>
              <w:adjustRightInd/>
              <w:snapToGrid/>
              <w:spacing w:line="240" w:lineRule="auto"/>
              <w:ind w:firstLine="0" w:firstLineChars="0"/>
              <w:jc w:val="center"/>
              <w:rPr>
                <w:rFonts w:eastAsia="仿宋"/>
                <w:kern w:val="0"/>
                <w:sz w:val="21"/>
                <w:szCs w:val="21"/>
              </w:rPr>
            </w:pPr>
            <w:r>
              <w:rPr>
                <w:rFonts w:eastAsia="仿宋"/>
                <w:kern w:val="0"/>
                <w:sz w:val="21"/>
                <w:szCs w:val="21"/>
              </w:rPr>
              <w:t>%</w:t>
            </w:r>
          </w:p>
        </w:tc>
        <w:tc>
          <w:tcPr>
            <w:tcW w:w="782" w:type="pct"/>
            <w:tcBorders>
              <w:top w:val="nil"/>
              <w:left w:val="nil"/>
              <w:bottom w:val="single" w:color="auto" w:sz="4" w:space="0"/>
              <w:right w:val="single" w:color="auto" w:sz="4" w:space="0"/>
            </w:tcBorders>
            <w:vAlign w:val="center"/>
          </w:tcPr>
          <w:p w14:paraId="71645051">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12.80</w:t>
            </w:r>
          </w:p>
        </w:tc>
        <w:tc>
          <w:tcPr>
            <w:tcW w:w="782" w:type="pct"/>
            <w:tcBorders>
              <w:top w:val="nil"/>
              <w:left w:val="nil"/>
              <w:bottom w:val="single" w:color="auto" w:sz="4" w:space="0"/>
              <w:right w:val="single" w:color="auto" w:sz="4" w:space="0"/>
            </w:tcBorders>
            <w:vAlign w:val="center"/>
          </w:tcPr>
          <w:p w14:paraId="306A3919">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15.54</w:t>
            </w:r>
          </w:p>
        </w:tc>
        <w:tc>
          <w:tcPr>
            <w:tcW w:w="792" w:type="pct"/>
            <w:tcBorders>
              <w:top w:val="nil"/>
              <w:left w:val="nil"/>
              <w:bottom w:val="single" w:color="auto" w:sz="4" w:space="0"/>
              <w:right w:val="single" w:color="auto" w:sz="4" w:space="0"/>
            </w:tcBorders>
            <w:vAlign w:val="center"/>
          </w:tcPr>
          <w:p w14:paraId="761D4FB7">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1.99</w:t>
            </w:r>
          </w:p>
        </w:tc>
      </w:tr>
      <w:tr w14:paraId="5A25D12C">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B0BE4B2">
            <w:pPr>
              <w:widowControl/>
              <w:adjustRightInd/>
              <w:snapToGrid/>
              <w:spacing w:line="240" w:lineRule="auto"/>
              <w:ind w:firstLine="0" w:firstLineChars="0"/>
              <w:jc w:val="center"/>
              <w:rPr>
                <w:rFonts w:hint="eastAsia" w:eastAsia="仿宋"/>
                <w:kern w:val="0"/>
                <w:sz w:val="21"/>
                <w:szCs w:val="21"/>
                <w:lang w:eastAsia="zh-CN"/>
              </w:rPr>
            </w:pPr>
            <w:r>
              <w:rPr>
                <w:rFonts w:eastAsia="仿宋"/>
                <w:kern w:val="0"/>
                <w:sz w:val="21"/>
                <w:szCs w:val="21"/>
              </w:rPr>
              <w:t>2</w:t>
            </w:r>
          </w:p>
        </w:tc>
        <w:tc>
          <w:tcPr>
            <w:tcW w:w="1132" w:type="pct"/>
            <w:tcBorders>
              <w:top w:val="nil"/>
              <w:left w:val="nil"/>
              <w:bottom w:val="single" w:color="auto" w:sz="4" w:space="0"/>
              <w:right w:val="single" w:color="auto" w:sz="4" w:space="0"/>
            </w:tcBorders>
            <w:vAlign w:val="center"/>
          </w:tcPr>
          <w:p w14:paraId="225165D2">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材料费</w:t>
            </w:r>
          </w:p>
        </w:tc>
        <w:tc>
          <w:tcPr>
            <w:tcW w:w="802" w:type="pct"/>
            <w:tcBorders>
              <w:top w:val="nil"/>
              <w:left w:val="nil"/>
              <w:bottom w:val="single" w:color="auto" w:sz="4" w:space="0"/>
              <w:right w:val="single" w:color="auto" w:sz="4" w:space="0"/>
            </w:tcBorders>
            <w:vAlign w:val="center"/>
          </w:tcPr>
          <w:p w14:paraId="27BBE502">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6E4D4EA6">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82" w:type="pct"/>
            <w:tcBorders>
              <w:top w:val="nil"/>
              <w:left w:val="nil"/>
              <w:bottom w:val="single" w:color="auto" w:sz="4" w:space="0"/>
              <w:right w:val="single" w:color="auto" w:sz="4" w:space="0"/>
            </w:tcBorders>
            <w:vAlign w:val="center"/>
          </w:tcPr>
          <w:p w14:paraId="26CF16BD">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92" w:type="pct"/>
            <w:tcBorders>
              <w:top w:val="nil"/>
              <w:left w:val="nil"/>
              <w:bottom w:val="single" w:color="auto" w:sz="4" w:space="0"/>
              <w:right w:val="single" w:color="auto" w:sz="4" w:space="0"/>
            </w:tcBorders>
            <w:vAlign w:val="center"/>
          </w:tcPr>
          <w:p w14:paraId="71A821CE">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0.00</w:t>
            </w:r>
          </w:p>
        </w:tc>
      </w:tr>
      <w:tr w14:paraId="7E0F4783">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7D67034">
            <w:pPr>
              <w:widowControl/>
              <w:adjustRightInd/>
              <w:snapToGrid/>
              <w:spacing w:line="240" w:lineRule="auto"/>
              <w:ind w:firstLine="0" w:firstLineChars="0"/>
              <w:jc w:val="center"/>
              <w:rPr>
                <w:rFonts w:hint="eastAsia" w:eastAsia="仿宋"/>
                <w:kern w:val="0"/>
                <w:sz w:val="21"/>
                <w:szCs w:val="21"/>
                <w:lang w:eastAsia="zh-CN"/>
              </w:rPr>
            </w:pPr>
            <w:r>
              <w:rPr>
                <w:rFonts w:eastAsia="仿宋"/>
                <w:kern w:val="0"/>
                <w:sz w:val="21"/>
                <w:szCs w:val="21"/>
              </w:rPr>
              <w:t>3</w:t>
            </w:r>
          </w:p>
        </w:tc>
        <w:tc>
          <w:tcPr>
            <w:tcW w:w="1132" w:type="pct"/>
            <w:tcBorders>
              <w:top w:val="nil"/>
              <w:left w:val="nil"/>
              <w:bottom w:val="single" w:color="auto" w:sz="4" w:space="0"/>
              <w:right w:val="single" w:color="auto" w:sz="4" w:space="0"/>
            </w:tcBorders>
            <w:vAlign w:val="center"/>
          </w:tcPr>
          <w:p w14:paraId="789B7851">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机械费</w:t>
            </w:r>
          </w:p>
        </w:tc>
        <w:tc>
          <w:tcPr>
            <w:tcW w:w="802" w:type="pct"/>
            <w:tcBorders>
              <w:top w:val="nil"/>
              <w:left w:val="nil"/>
              <w:bottom w:val="single" w:color="auto" w:sz="4" w:space="0"/>
              <w:right w:val="single" w:color="auto" w:sz="4" w:space="0"/>
            </w:tcBorders>
            <w:vAlign w:val="center"/>
          </w:tcPr>
          <w:p w14:paraId="7F63BE52">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30895C95">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82" w:type="pct"/>
            <w:tcBorders>
              <w:top w:val="nil"/>
              <w:left w:val="nil"/>
              <w:bottom w:val="single" w:color="auto" w:sz="4" w:space="0"/>
              <w:right w:val="single" w:color="auto" w:sz="4" w:space="0"/>
            </w:tcBorders>
            <w:vAlign w:val="center"/>
          </w:tcPr>
          <w:p w14:paraId="20B17F4C">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92" w:type="pct"/>
            <w:tcBorders>
              <w:top w:val="nil"/>
              <w:left w:val="nil"/>
              <w:bottom w:val="single" w:color="auto" w:sz="4" w:space="0"/>
              <w:right w:val="single" w:color="auto" w:sz="4" w:space="0"/>
            </w:tcBorders>
            <w:vAlign w:val="center"/>
          </w:tcPr>
          <w:p w14:paraId="546D3ECE">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360.97</w:t>
            </w:r>
          </w:p>
        </w:tc>
      </w:tr>
      <w:tr w14:paraId="7887D369">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B377543">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099A4ACF">
            <w:pPr>
              <w:widowControl/>
              <w:adjustRightInd/>
              <w:snapToGrid/>
              <w:spacing w:line="240" w:lineRule="auto"/>
              <w:ind w:firstLine="0" w:firstLineChars="0"/>
              <w:jc w:val="center"/>
              <w:rPr>
                <w:rFonts w:eastAsia="仿宋"/>
                <w:kern w:val="0"/>
                <w:sz w:val="21"/>
                <w:szCs w:val="21"/>
              </w:rPr>
            </w:pPr>
            <w:r>
              <w:rPr>
                <w:rFonts w:eastAsia="仿宋"/>
                <w:kern w:val="0"/>
                <w:sz w:val="21"/>
                <w:szCs w:val="21"/>
              </w:rPr>
              <w:t>铲运机2.5</w:t>
            </w:r>
            <w:r>
              <w:rPr>
                <w:rFonts w:hint="eastAsia" w:eastAsia="仿宋"/>
                <w:kern w:val="0"/>
                <w:sz w:val="21"/>
                <w:szCs w:val="21"/>
              </w:rPr>
              <w:t>m</w:t>
            </w:r>
            <w:r>
              <w:rPr>
                <w:rFonts w:ascii="Calibri" w:hAnsi="Calibri" w:eastAsia="仿宋" w:cs="Calibri"/>
                <w:kern w:val="0"/>
                <w:sz w:val="21"/>
                <w:szCs w:val="21"/>
              </w:rPr>
              <w:t>³</w:t>
            </w:r>
          </w:p>
        </w:tc>
        <w:tc>
          <w:tcPr>
            <w:tcW w:w="802" w:type="pct"/>
            <w:tcBorders>
              <w:top w:val="nil"/>
              <w:left w:val="nil"/>
              <w:bottom w:val="single" w:color="auto" w:sz="4" w:space="0"/>
              <w:right w:val="single" w:color="auto" w:sz="4" w:space="0"/>
            </w:tcBorders>
            <w:vAlign w:val="center"/>
          </w:tcPr>
          <w:p w14:paraId="7F3494E7">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台班</w:t>
            </w:r>
          </w:p>
        </w:tc>
        <w:tc>
          <w:tcPr>
            <w:tcW w:w="782" w:type="pct"/>
            <w:tcBorders>
              <w:top w:val="nil"/>
              <w:left w:val="nil"/>
              <w:bottom w:val="single" w:color="auto" w:sz="4" w:space="0"/>
              <w:right w:val="single" w:color="auto" w:sz="4" w:space="0"/>
            </w:tcBorders>
            <w:vAlign w:val="center"/>
          </w:tcPr>
          <w:p w14:paraId="1F415A7B">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0.74</w:t>
            </w:r>
          </w:p>
        </w:tc>
        <w:tc>
          <w:tcPr>
            <w:tcW w:w="782" w:type="pct"/>
            <w:tcBorders>
              <w:top w:val="nil"/>
              <w:left w:val="nil"/>
              <w:bottom w:val="single" w:color="auto" w:sz="4" w:space="0"/>
              <w:right w:val="single" w:color="auto" w:sz="4" w:space="0"/>
            </w:tcBorders>
            <w:vAlign w:val="center"/>
          </w:tcPr>
          <w:p w14:paraId="2938DE34">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50.06</w:t>
            </w:r>
          </w:p>
        </w:tc>
        <w:tc>
          <w:tcPr>
            <w:tcW w:w="792" w:type="pct"/>
            <w:tcBorders>
              <w:top w:val="nil"/>
              <w:left w:val="nil"/>
              <w:bottom w:val="single" w:color="auto" w:sz="4" w:space="0"/>
              <w:right w:val="single" w:color="auto" w:sz="4" w:space="0"/>
            </w:tcBorders>
            <w:vAlign w:val="center"/>
          </w:tcPr>
          <w:p w14:paraId="05B1293E">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37.04</w:t>
            </w:r>
          </w:p>
        </w:tc>
      </w:tr>
      <w:tr w14:paraId="4032D237">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DC66393">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0EE6BEC5">
            <w:pPr>
              <w:widowControl/>
              <w:adjustRightInd/>
              <w:snapToGrid/>
              <w:spacing w:line="240" w:lineRule="auto"/>
              <w:ind w:firstLine="0" w:firstLineChars="0"/>
              <w:jc w:val="center"/>
              <w:rPr>
                <w:rFonts w:eastAsia="仿宋"/>
                <w:kern w:val="0"/>
                <w:sz w:val="21"/>
                <w:szCs w:val="21"/>
              </w:rPr>
            </w:pPr>
            <w:r>
              <w:rPr>
                <w:rFonts w:eastAsia="仿宋"/>
                <w:kern w:val="0"/>
                <w:sz w:val="21"/>
                <w:szCs w:val="21"/>
              </w:rPr>
              <w:t>拖拉机55kW</w:t>
            </w:r>
          </w:p>
        </w:tc>
        <w:tc>
          <w:tcPr>
            <w:tcW w:w="802" w:type="pct"/>
            <w:tcBorders>
              <w:top w:val="nil"/>
              <w:left w:val="nil"/>
              <w:bottom w:val="single" w:color="auto" w:sz="4" w:space="0"/>
              <w:right w:val="single" w:color="auto" w:sz="4" w:space="0"/>
            </w:tcBorders>
            <w:vAlign w:val="center"/>
          </w:tcPr>
          <w:p w14:paraId="4531402B">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台班</w:t>
            </w:r>
          </w:p>
        </w:tc>
        <w:tc>
          <w:tcPr>
            <w:tcW w:w="782" w:type="pct"/>
            <w:tcBorders>
              <w:top w:val="nil"/>
              <w:left w:val="nil"/>
              <w:bottom w:val="single" w:color="auto" w:sz="4" w:space="0"/>
              <w:right w:val="single" w:color="auto" w:sz="4" w:space="0"/>
            </w:tcBorders>
            <w:vAlign w:val="center"/>
          </w:tcPr>
          <w:p w14:paraId="0D7778BB">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0.74</w:t>
            </w:r>
          </w:p>
        </w:tc>
        <w:tc>
          <w:tcPr>
            <w:tcW w:w="782" w:type="pct"/>
            <w:tcBorders>
              <w:top w:val="nil"/>
              <w:left w:val="nil"/>
              <w:bottom w:val="single" w:color="auto" w:sz="4" w:space="0"/>
              <w:right w:val="single" w:color="auto" w:sz="4" w:space="0"/>
            </w:tcBorders>
            <w:vAlign w:val="center"/>
          </w:tcPr>
          <w:p w14:paraId="3B5F5FDF">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359.05</w:t>
            </w:r>
          </w:p>
        </w:tc>
        <w:tc>
          <w:tcPr>
            <w:tcW w:w="792" w:type="pct"/>
            <w:tcBorders>
              <w:top w:val="nil"/>
              <w:left w:val="nil"/>
              <w:bottom w:val="single" w:color="auto" w:sz="4" w:space="0"/>
              <w:right w:val="single" w:color="auto" w:sz="4" w:space="0"/>
            </w:tcBorders>
            <w:vAlign w:val="center"/>
          </w:tcPr>
          <w:p w14:paraId="54EDC1DB">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265.70</w:t>
            </w:r>
          </w:p>
        </w:tc>
      </w:tr>
      <w:tr w14:paraId="3BF794B3">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8B751C8">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2BC962A3">
            <w:pPr>
              <w:widowControl/>
              <w:adjustRightInd/>
              <w:snapToGrid/>
              <w:spacing w:line="240" w:lineRule="auto"/>
              <w:ind w:firstLine="0" w:firstLineChars="0"/>
              <w:jc w:val="center"/>
              <w:rPr>
                <w:rFonts w:eastAsia="仿宋"/>
                <w:kern w:val="0"/>
                <w:sz w:val="21"/>
                <w:szCs w:val="21"/>
              </w:rPr>
            </w:pPr>
            <w:r>
              <w:rPr>
                <w:rFonts w:eastAsia="仿宋"/>
                <w:kern w:val="0"/>
                <w:sz w:val="21"/>
                <w:szCs w:val="21"/>
              </w:rPr>
              <w:t>推土机55kW</w:t>
            </w:r>
          </w:p>
        </w:tc>
        <w:tc>
          <w:tcPr>
            <w:tcW w:w="802" w:type="pct"/>
            <w:tcBorders>
              <w:top w:val="nil"/>
              <w:left w:val="nil"/>
              <w:bottom w:val="single" w:color="auto" w:sz="4" w:space="0"/>
              <w:right w:val="single" w:color="auto" w:sz="4" w:space="0"/>
            </w:tcBorders>
            <w:vAlign w:val="center"/>
          </w:tcPr>
          <w:p w14:paraId="67D9E027">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台班</w:t>
            </w:r>
          </w:p>
        </w:tc>
        <w:tc>
          <w:tcPr>
            <w:tcW w:w="782" w:type="pct"/>
            <w:tcBorders>
              <w:top w:val="nil"/>
              <w:left w:val="nil"/>
              <w:bottom w:val="single" w:color="auto" w:sz="4" w:space="0"/>
              <w:right w:val="single" w:color="auto" w:sz="4" w:space="0"/>
            </w:tcBorders>
            <w:vAlign w:val="center"/>
          </w:tcPr>
          <w:p w14:paraId="2C792950">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0.05</w:t>
            </w:r>
          </w:p>
        </w:tc>
        <w:tc>
          <w:tcPr>
            <w:tcW w:w="782" w:type="pct"/>
            <w:tcBorders>
              <w:top w:val="nil"/>
              <w:left w:val="nil"/>
              <w:bottom w:val="single" w:color="auto" w:sz="4" w:space="0"/>
              <w:right w:val="single" w:color="auto" w:sz="4" w:space="0"/>
            </w:tcBorders>
            <w:vAlign w:val="center"/>
          </w:tcPr>
          <w:p w14:paraId="3F32A02E">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345.32</w:t>
            </w:r>
          </w:p>
        </w:tc>
        <w:tc>
          <w:tcPr>
            <w:tcW w:w="792" w:type="pct"/>
            <w:tcBorders>
              <w:top w:val="nil"/>
              <w:left w:val="nil"/>
              <w:bottom w:val="single" w:color="auto" w:sz="4" w:space="0"/>
              <w:right w:val="single" w:color="auto" w:sz="4" w:space="0"/>
            </w:tcBorders>
            <w:vAlign w:val="center"/>
          </w:tcPr>
          <w:p w14:paraId="1437CE72">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17.27</w:t>
            </w:r>
          </w:p>
        </w:tc>
      </w:tr>
      <w:tr w14:paraId="44F4B491">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4107417">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264260C3">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其他费用</w:t>
            </w:r>
          </w:p>
        </w:tc>
        <w:tc>
          <w:tcPr>
            <w:tcW w:w="802" w:type="pct"/>
            <w:tcBorders>
              <w:top w:val="nil"/>
              <w:left w:val="nil"/>
              <w:bottom w:val="single" w:color="auto" w:sz="4" w:space="0"/>
              <w:right w:val="single" w:color="auto" w:sz="4" w:space="0"/>
            </w:tcBorders>
            <w:vAlign w:val="center"/>
          </w:tcPr>
          <w:p w14:paraId="5B86DA7A">
            <w:pPr>
              <w:widowControl/>
              <w:adjustRightInd/>
              <w:snapToGrid/>
              <w:spacing w:line="240" w:lineRule="auto"/>
              <w:ind w:firstLine="0" w:firstLineChars="0"/>
              <w:jc w:val="center"/>
              <w:rPr>
                <w:rFonts w:eastAsia="仿宋"/>
                <w:kern w:val="0"/>
                <w:sz w:val="21"/>
                <w:szCs w:val="21"/>
              </w:rPr>
            </w:pPr>
            <w:r>
              <w:rPr>
                <w:rFonts w:eastAsia="仿宋"/>
                <w:kern w:val="0"/>
                <w:sz w:val="21"/>
                <w:szCs w:val="21"/>
              </w:rPr>
              <w:t>%</w:t>
            </w:r>
          </w:p>
        </w:tc>
        <w:tc>
          <w:tcPr>
            <w:tcW w:w="782" w:type="pct"/>
            <w:tcBorders>
              <w:top w:val="nil"/>
              <w:left w:val="nil"/>
              <w:bottom w:val="single" w:color="auto" w:sz="4" w:space="0"/>
              <w:right w:val="single" w:color="auto" w:sz="4" w:space="0"/>
            </w:tcBorders>
            <w:vAlign w:val="center"/>
          </w:tcPr>
          <w:p w14:paraId="5F7858A7">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12.80</w:t>
            </w:r>
          </w:p>
        </w:tc>
        <w:tc>
          <w:tcPr>
            <w:tcW w:w="782" w:type="pct"/>
            <w:tcBorders>
              <w:top w:val="nil"/>
              <w:left w:val="nil"/>
              <w:bottom w:val="single" w:color="auto" w:sz="4" w:space="0"/>
              <w:right w:val="single" w:color="auto" w:sz="4" w:space="0"/>
            </w:tcBorders>
            <w:vAlign w:val="center"/>
          </w:tcPr>
          <w:p w14:paraId="26EDF2CF">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320.01</w:t>
            </w:r>
          </w:p>
        </w:tc>
        <w:tc>
          <w:tcPr>
            <w:tcW w:w="792" w:type="pct"/>
            <w:tcBorders>
              <w:top w:val="nil"/>
              <w:left w:val="nil"/>
              <w:bottom w:val="single" w:color="auto" w:sz="4" w:space="0"/>
              <w:right w:val="single" w:color="auto" w:sz="4" w:space="0"/>
            </w:tcBorders>
            <w:vAlign w:val="center"/>
          </w:tcPr>
          <w:p w14:paraId="1188B782">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40.96</w:t>
            </w:r>
          </w:p>
        </w:tc>
      </w:tr>
      <w:tr w14:paraId="433C81DF">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ABFFD4F">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（二）</w:t>
            </w:r>
          </w:p>
        </w:tc>
        <w:tc>
          <w:tcPr>
            <w:tcW w:w="1132" w:type="pct"/>
            <w:tcBorders>
              <w:top w:val="nil"/>
              <w:left w:val="nil"/>
              <w:bottom w:val="single" w:color="auto" w:sz="4" w:space="0"/>
              <w:right w:val="single" w:color="auto" w:sz="4" w:space="0"/>
            </w:tcBorders>
            <w:vAlign w:val="center"/>
          </w:tcPr>
          <w:p w14:paraId="3265A959">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措施费</w:t>
            </w:r>
          </w:p>
        </w:tc>
        <w:tc>
          <w:tcPr>
            <w:tcW w:w="802" w:type="pct"/>
            <w:tcBorders>
              <w:top w:val="nil"/>
              <w:left w:val="nil"/>
              <w:bottom w:val="single" w:color="auto" w:sz="4" w:space="0"/>
              <w:right w:val="single" w:color="auto" w:sz="4" w:space="0"/>
            </w:tcBorders>
            <w:vAlign w:val="center"/>
          </w:tcPr>
          <w:p w14:paraId="011E99AC">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w:t>
            </w:r>
          </w:p>
        </w:tc>
        <w:tc>
          <w:tcPr>
            <w:tcW w:w="782" w:type="pct"/>
            <w:tcBorders>
              <w:top w:val="nil"/>
              <w:left w:val="nil"/>
              <w:bottom w:val="single" w:color="auto" w:sz="4" w:space="0"/>
              <w:right w:val="single" w:color="auto" w:sz="4" w:space="0"/>
            </w:tcBorders>
            <w:vAlign w:val="center"/>
          </w:tcPr>
          <w:p w14:paraId="0DFA02E6">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3.80</w:t>
            </w:r>
          </w:p>
        </w:tc>
        <w:tc>
          <w:tcPr>
            <w:tcW w:w="782" w:type="pct"/>
            <w:tcBorders>
              <w:top w:val="nil"/>
              <w:left w:val="nil"/>
              <w:bottom w:val="single" w:color="auto" w:sz="4" w:space="0"/>
              <w:right w:val="single" w:color="auto" w:sz="4" w:space="0"/>
            </w:tcBorders>
            <w:vAlign w:val="center"/>
          </w:tcPr>
          <w:p w14:paraId="4B4DF9DC">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378.49</w:t>
            </w:r>
          </w:p>
        </w:tc>
        <w:tc>
          <w:tcPr>
            <w:tcW w:w="792" w:type="pct"/>
            <w:tcBorders>
              <w:top w:val="nil"/>
              <w:left w:val="nil"/>
              <w:bottom w:val="single" w:color="auto" w:sz="4" w:space="0"/>
              <w:right w:val="single" w:color="auto" w:sz="4" w:space="0"/>
            </w:tcBorders>
            <w:vAlign w:val="center"/>
          </w:tcPr>
          <w:p w14:paraId="09775D21">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14.38</w:t>
            </w:r>
          </w:p>
        </w:tc>
      </w:tr>
      <w:tr w14:paraId="3A1825C4">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34F1B69">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二</w:t>
            </w:r>
          </w:p>
        </w:tc>
        <w:tc>
          <w:tcPr>
            <w:tcW w:w="1132" w:type="pct"/>
            <w:tcBorders>
              <w:top w:val="nil"/>
              <w:left w:val="nil"/>
              <w:bottom w:val="single" w:color="auto" w:sz="4" w:space="0"/>
              <w:right w:val="single" w:color="auto" w:sz="4" w:space="0"/>
            </w:tcBorders>
            <w:vAlign w:val="center"/>
          </w:tcPr>
          <w:p w14:paraId="0CDB44FE">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间接费</w:t>
            </w:r>
          </w:p>
        </w:tc>
        <w:tc>
          <w:tcPr>
            <w:tcW w:w="802" w:type="pct"/>
            <w:tcBorders>
              <w:top w:val="nil"/>
              <w:left w:val="nil"/>
              <w:bottom w:val="single" w:color="auto" w:sz="4" w:space="0"/>
              <w:right w:val="single" w:color="auto" w:sz="4" w:space="0"/>
            </w:tcBorders>
            <w:vAlign w:val="center"/>
          </w:tcPr>
          <w:p w14:paraId="52F28071">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w:t>
            </w:r>
          </w:p>
        </w:tc>
        <w:tc>
          <w:tcPr>
            <w:tcW w:w="782" w:type="pct"/>
            <w:tcBorders>
              <w:top w:val="nil"/>
              <w:left w:val="nil"/>
              <w:bottom w:val="single" w:color="auto" w:sz="4" w:space="0"/>
              <w:right w:val="single" w:color="auto" w:sz="4" w:space="0"/>
            </w:tcBorders>
            <w:vAlign w:val="center"/>
          </w:tcPr>
          <w:p w14:paraId="3C365A6A">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6.00</w:t>
            </w:r>
          </w:p>
        </w:tc>
        <w:tc>
          <w:tcPr>
            <w:tcW w:w="782" w:type="pct"/>
            <w:tcBorders>
              <w:top w:val="nil"/>
              <w:left w:val="nil"/>
              <w:bottom w:val="single" w:color="auto" w:sz="4" w:space="0"/>
              <w:right w:val="single" w:color="auto" w:sz="4" w:space="0"/>
            </w:tcBorders>
            <w:vAlign w:val="center"/>
          </w:tcPr>
          <w:p w14:paraId="0C376A3B">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392.88</w:t>
            </w:r>
          </w:p>
        </w:tc>
        <w:tc>
          <w:tcPr>
            <w:tcW w:w="792" w:type="pct"/>
            <w:tcBorders>
              <w:top w:val="nil"/>
              <w:left w:val="nil"/>
              <w:bottom w:val="single" w:color="auto" w:sz="4" w:space="0"/>
              <w:right w:val="single" w:color="auto" w:sz="4" w:space="0"/>
            </w:tcBorders>
            <w:vAlign w:val="center"/>
          </w:tcPr>
          <w:p w14:paraId="44F3051E">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23.57</w:t>
            </w:r>
          </w:p>
        </w:tc>
      </w:tr>
      <w:tr w14:paraId="089AF3C5">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B6DB030">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三</w:t>
            </w:r>
          </w:p>
        </w:tc>
        <w:tc>
          <w:tcPr>
            <w:tcW w:w="1132" w:type="pct"/>
            <w:tcBorders>
              <w:top w:val="nil"/>
              <w:left w:val="nil"/>
              <w:bottom w:val="single" w:color="auto" w:sz="4" w:space="0"/>
              <w:right w:val="single" w:color="auto" w:sz="4" w:space="0"/>
            </w:tcBorders>
            <w:vAlign w:val="center"/>
          </w:tcPr>
          <w:p w14:paraId="4A0CEF10">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利润</w:t>
            </w:r>
          </w:p>
        </w:tc>
        <w:tc>
          <w:tcPr>
            <w:tcW w:w="802" w:type="pct"/>
            <w:tcBorders>
              <w:top w:val="nil"/>
              <w:left w:val="nil"/>
              <w:bottom w:val="single" w:color="auto" w:sz="4" w:space="0"/>
              <w:right w:val="single" w:color="auto" w:sz="4" w:space="0"/>
            </w:tcBorders>
            <w:vAlign w:val="center"/>
          </w:tcPr>
          <w:p w14:paraId="6D3C198B">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w:t>
            </w:r>
          </w:p>
        </w:tc>
        <w:tc>
          <w:tcPr>
            <w:tcW w:w="782" w:type="pct"/>
            <w:tcBorders>
              <w:top w:val="nil"/>
              <w:left w:val="nil"/>
              <w:bottom w:val="single" w:color="auto" w:sz="4" w:space="0"/>
              <w:right w:val="single" w:color="auto" w:sz="4" w:space="0"/>
            </w:tcBorders>
            <w:vAlign w:val="center"/>
          </w:tcPr>
          <w:p w14:paraId="35ACD671">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3.00</w:t>
            </w:r>
          </w:p>
        </w:tc>
        <w:tc>
          <w:tcPr>
            <w:tcW w:w="782" w:type="pct"/>
            <w:tcBorders>
              <w:top w:val="nil"/>
              <w:left w:val="nil"/>
              <w:bottom w:val="single" w:color="auto" w:sz="4" w:space="0"/>
              <w:right w:val="single" w:color="auto" w:sz="4" w:space="0"/>
            </w:tcBorders>
            <w:vAlign w:val="center"/>
          </w:tcPr>
          <w:p w14:paraId="42AB8B16">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416.45</w:t>
            </w:r>
          </w:p>
        </w:tc>
        <w:tc>
          <w:tcPr>
            <w:tcW w:w="792" w:type="pct"/>
            <w:tcBorders>
              <w:top w:val="nil"/>
              <w:left w:val="nil"/>
              <w:bottom w:val="single" w:color="auto" w:sz="4" w:space="0"/>
              <w:right w:val="single" w:color="auto" w:sz="4" w:space="0"/>
            </w:tcBorders>
            <w:vAlign w:val="center"/>
          </w:tcPr>
          <w:p w14:paraId="4A03A342">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12.49</w:t>
            </w:r>
          </w:p>
        </w:tc>
      </w:tr>
      <w:tr w14:paraId="151DB685">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B868969">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四</w:t>
            </w:r>
          </w:p>
        </w:tc>
        <w:tc>
          <w:tcPr>
            <w:tcW w:w="1132" w:type="pct"/>
            <w:tcBorders>
              <w:top w:val="nil"/>
              <w:left w:val="nil"/>
              <w:bottom w:val="single" w:color="auto" w:sz="4" w:space="0"/>
              <w:right w:val="single" w:color="auto" w:sz="4" w:space="0"/>
            </w:tcBorders>
            <w:vAlign w:val="center"/>
          </w:tcPr>
          <w:p w14:paraId="33524781">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材料价差</w:t>
            </w:r>
          </w:p>
        </w:tc>
        <w:tc>
          <w:tcPr>
            <w:tcW w:w="802" w:type="pct"/>
            <w:tcBorders>
              <w:top w:val="nil"/>
              <w:left w:val="nil"/>
              <w:bottom w:val="single" w:color="auto" w:sz="4" w:space="0"/>
              <w:right w:val="single" w:color="auto" w:sz="4" w:space="0"/>
            </w:tcBorders>
            <w:vAlign w:val="center"/>
          </w:tcPr>
          <w:p w14:paraId="768DE8D7">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3D2A7D29">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82" w:type="pct"/>
            <w:tcBorders>
              <w:top w:val="nil"/>
              <w:left w:val="nil"/>
              <w:bottom w:val="single" w:color="auto" w:sz="4" w:space="0"/>
              <w:right w:val="single" w:color="auto" w:sz="4" w:space="0"/>
            </w:tcBorders>
            <w:vAlign w:val="center"/>
          </w:tcPr>
          <w:p w14:paraId="22106DE1">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92" w:type="pct"/>
            <w:tcBorders>
              <w:top w:val="nil"/>
              <w:left w:val="nil"/>
              <w:bottom w:val="single" w:color="auto" w:sz="4" w:space="0"/>
              <w:right w:val="single" w:color="auto" w:sz="4" w:space="0"/>
            </w:tcBorders>
            <w:vAlign w:val="center"/>
          </w:tcPr>
          <w:p w14:paraId="6B541E5D">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123.10</w:t>
            </w:r>
          </w:p>
        </w:tc>
      </w:tr>
      <w:tr w14:paraId="234BBA7C">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FEFD2FA">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1132" w:type="pct"/>
            <w:tcBorders>
              <w:top w:val="nil"/>
              <w:left w:val="nil"/>
              <w:bottom w:val="single" w:color="auto" w:sz="4" w:space="0"/>
              <w:right w:val="single" w:color="auto" w:sz="4" w:space="0"/>
            </w:tcBorders>
            <w:vAlign w:val="center"/>
          </w:tcPr>
          <w:p w14:paraId="1E7D7F50">
            <w:pPr>
              <w:widowControl/>
              <w:adjustRightInd/>
              <w:snapToGrid/>
              <w:spacing w:line="240" w:lineRule="auto"/>
              <w:ind w:firstLine="0" w:firstLineChars="0"/>
              <w:jc w:val="center"/>
              <w:rPr>
                <w:rFonts w:eastAsia="仿宋"/>
                <w:kern w:val="0"/>
                <w:sz w:val="21"/>
                <w:szCs w:val="21"/>
              </w:rPr>
            </w:pPr>
            <w:r>
              <w:rPr>
                <w:rFonts w:eastAsia="仿宋"/>
                <w:kern w:val="0"/>
                <w:sz w:val="21"/>
                <w:szCs w:val="21"/>
              </w:rPr>
              <w:t>柴油</w:t>
            </w:r>
          </w:p>
        </w:tc>
        <w:tc>
          <w:tcPr>
            <w:tcW w:w="802" w:type="pct"/>
            <w:tcBorders>
              <w:top w:val="nil"/>
              <w:left w:val="nil"/>
              <w:bottom w:val="single" w:color="auto" w:sz="4" w:space="0"/>
              <w:right w:val="single" w:color="auto" w:sz="4" w:space="0"/>
            </w:tcBorders>
            <w:vAlign w:val="center"/>
          </w:tcPr>
          <w:p w14:paraId="4F89E645">
            <w:pPr>
              <w:widowControl/>
              <w:adjustRightInd/>
              <w:snapToGrid/>
              <w:spacing w:line="240" w:lineRule="auto"/>
              <w:ind w:firstLine="0" w:firstLineChars="0"/>
              <w:jc w:val="center"/>
              <w:rPr>
                <w:rFonts w:eastAsia="仿宋"/>
                <w:kern w:val="0"/>
                <w:sz w:val="21"/>
                <w:szCs w:val="21"/>
              </w:rPr>
            </w:pPr>
            <w:r>
              <w:rPr>
                <w:rFonts w:eastAsia="仿宋"/>
                <w:kern w:val="0"/>
                <w:sz w:val="21"/>
                <w:szCs w:val="21"/>
              </w:rPr>
              <w:t>kg</w:t>
            </w:r>
          </w:p>
        </w:tc>
        <w:tc>
          <w:tcPr>
            <w:tcW w:w="782" w:type="pct"/>
            <w:tcBorders>
              <w:top w:val="nil"/>
              <w:left w:val="nil"/>
              <w:bottom w:val="single" w:color="auto" w:sz="4" w:space="0"/>
              <w:right w:val="single" w:color="auto" w:sz="4" w:space="0"/>
            </w:tcBorders>
            <w:vAlign w:val="center"/>
          </w:tcPr>
          <w:p w14:paraId="7853C678">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33.82</w:t>
            </w:r>
          </w:p>
        </w:tc>
        <w:tc>
          <w:tcPr>
            <w:tcW w:w="782" w:type="pct"/>
            <w:tcBorders>
              <w:top w:val="nil"/>
              <w:left w:val="nil"/>
              <w:bottom w:val="single" w:color="auto" w:sz="4" w:space="0"/>
              <w:right w:val="single" w:color="auto" w:sz="4" w:space="0"/>
            </w:tcBorders>
            <w:vAlign w:val="center"/>
          </w:tcPr>
          <w:p w14:paraId="40F1EEE4">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3.64</w:t>
            </w:r>
          </w:p>
        </w:tc>
        <w:tc>
          <w:tcPr>
            <w:tcW w:w="792" w:type="pct"/>
            <w:tcBorders>
              <w:top w:val="nil"/>
              <w:left w:val="nil"/>
              <w:bottom w:val="single" w:color="auto" w:sz="4" w:space="0"/>
              <w:right w:val="single" w:color="auto" w:sz="4" w:space="0"/>
            </w:tcBorders>
            <w:vAlign w:val="center"/>
          </w:tcPr>
          <w:p w14:paraId="1C668011">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123.10</w:t>
            </w:r>
          </w:p>
        </w:tc>
      </w:tr>
      <w:tr w14:paraId="15CA5198">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B3DE444">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五</w:t>
            </w:r>
          </w:p>
        </w:tc>
        <w:tc>
          <w:tcPr>
            <w:tcW w:w="1132" w:type="pct"/>
            <w:tcBorders>
              <w:top w:val="nil"/>
              <w:left w:val="nil"/>
              <w:bottom w:val="single" w:color="auto" w:sz="4" w:space="0"/>
              <w:right w:val="single" w:color="auto" w:sz="4" w:space="0"/>
            </w:tcBorders>
            <w:vAlign w:val="center"/>
          </w:tcPr>
          <w:p w14:paraId="006AC78B">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税金</w:t>
            </w:r>
          </w:p>
        </w:tc>
        <w:tc>
          <w:tcPr>
            <w:tcW w:w="802" w:type="pct"/>
            <w:tcBorders>
              <w:top w:val="nil"/>
              <w:left w:val="nil"/>
              <w:bottom w:val="single" w:color="auto" w:sz="4" w:space="0"/>
              <w:right w:val="single" w:color="auto" w:sz="4" w:space="0"/>
            </w:tcBorders>
            <w:vAlign w:val="center"/>
          </w:tcPr>
          <w:p w14:paraId="1B75D3E0">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w:t>
            </w:r>
          </w:p>
        </w:tc>
        <w:tc>
          <w:tcPr>
            <w:tcW w:w="782" w:type="pct"/>
            <w:tcBorders>
              <w:top w:val="nil"/>
              <w:left w:val="nil"/>
              <w:bottom w:val="single" w:color="auto" w:sz="4" w:space="0"/>
              <w:right w:val="single" w:color="auto" w:sz="4" w:space="0"/>
            </w:tcBorders>
            <w:vAlign w:val="center"/>
          </w:tcPr>
          <w:p w14:paraId="124DEA95">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9.00</w:t>
            </w:r>
          </w:p>
        </w:tc>
        <w:tc>
          <w:tcPr>
            <w:tcW w:w="782" w:type="pct"/>
            <w:tcBorders>
              <w:top w:val="nil"/>
              <w:left w:val="nil"/>
              <w:bottom w:val="single" w:color="auto" w:sz="4" w:space="0"/>
              <w:right w:val="single" w:color="auto" w:sz="4" w:space="0"/>
            </w:tcBorders>
            <w:vAlign w:val="center"/>
          </w:tcPr>
          <w:p w14:paraId="522D0991">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552.05</w:t>
            </w:r>
          </w:p>
        </w:tc>
        <w:tc>
          <w:tcPr>
            <w:tcW w:w="792" w:type="pct"/>
            <w:tcBorders>
              <w:top w:val="nil"/>
              <w:left w:val="nil"/>
              <w:bottom w:val="single" w:color="auto" w:sz="4" w:space="0"/>
              <w:right w:val="single" w:color="auto" w:sz="4" w:space="0"/>
            </w:tcBorders>
            <w:vAlign w:val="center"/>
          </w:tcPr>
          <w:p w14:paraId="24D4E10C">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49.68</w:t>
            </w:r>
          </w:p>
        </w:tc>
      </w:tr>
      <w:tr w14:paraId="76FC8CCE">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DA8EB98">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合计</w:t>
            </w:r>
          </w:p>
        </w:tc>
        <w:tc>
          <w:tcPr>
            <w:tcW w:w="1132" w:type="pct"/>
            <w:tcBorders>
              <w:top w:val="nil"/>
              <w:left w:val="nil"/>
              <w:bottom w:val="single" w:color="auto" w:sz="4" w:space="0"/>
              <w:right w:val="single" w:color="auto" w:sz="4" w:space="0"/>
            </w:tcBorders>
            <w:vAlign w:val="center"/>
          </w:tcPr>
          <w:p w14:paraId="2462E29D">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802" w:type="pct"/>
            <w:tcBorders>
              <w:top w:val="nil"/>
              <w:left w:val="nil"/>
              <w:bottom w:val="single" w:color="auto" w:sz="4" w:space="0"/>
              <w:right w:val="single" w:color="auto" w:sz="4" w:space="0"/>
            </w:tcBorders>
            <w:vAlign w:val="center"/>
          </w:tcPr>
          <w:p w14:paraId="009C63F3">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782" w:type="pct"/>
            <w:tcBorders>
              <w:top w:val="nil"/>
              <w:left w:val="nil"/>
              <w:bottom w:val="single" w:color="auto" w:sz="4" w:space="0"/>
              <w:right w:val="single" w:color="auto" w:sz="4" w:space="0"/>
            </w:tcBorders>
            <w:vAlign w:val="center"/>
          </w:tcPr>
          <w:p w14:paraId="0AB31CA0">
            <w:pPr>
              <w:widowControl/>
              <w:adjustRightInd/>
              <w:snapToGrid/>
              <w:spacing w:line="240" w:lineRule="auto"/>
              <w:ind w:firstLine="0" w:firstLineChars="0"/>
              <w:jc w:val="center"/>
              <w:rPr>
                <w:rFonts w:eastAsia="仿宋"/>
                <w:kern w:val="0"/>
                <w:sz w:val="21"/>
                <w:szCs w:val="21"/>
              </w:rPr>
            </w:pPr>
            <w:r>
              <w:rPr>
                <w:rFonts w:hint="eastAsia" w:ascii="仿宋" w:hAnsi="仿宋" w:eastAsia="仿宋"/>
                <w:sz w:val="21"/>
                <w:szCs w:val="21"/>
              </w:rPr>
              <w:t>　</w:t>
            </w:r>
          </w:p>
        </w:tc>
        <w:tc>
          <w:tcPr>
            <w:tcW w:w="782" w:type="pct"/>
            <w:tcBorders>
              <w:top w:val="nil"/>
              <w:left w:val="nil"/>
              <w:bottom w:val="single" w:color="auto" w:sz="4" w:space="0"/>
              <w:right w:val="single" w:color="auto" w:sz="4" w:space="0"/>
            </w:tcBorders>
            <w:vAlign w:val="center"/>
          </w:tcPr>
          <w:p w14:paraId="145DD436">
            <w:pPr>
              <w:widowControl/>
              <w:adjustRightInd/>
              <w:snapToGrid/>
              <w:spacing w:line="240" w:lineRule="auto"/>
              <w:ind w:firstLine="0" w:firstLineChars="0"/>
              <w:jc w:val="center"/>
              <w:rPr>
                <w:rFonts w:eastAsia="仿宋"/>
                <w:kern w:val="0"/>
                <w:sz w:val="21"/>
                <w:szCs w:val="21"/>
              </w:rPr>
            </w:pPr>
            <w:r>
              <w:rPr>
                <w:rFonts w:hint="eastAsia" w:ascii="仿宋" w:hAnsi="仿宋" w:eastAsia="仿宋"/>
                <w:sz w:val="21"/>
                <w:szCs w:val="21"/>
              </w:rPr>
              <w:t>　</w:t>
            </w:r>
          </w:p>
        </w:tc>
        <w:tc>
          <w:tcPr>
            <w:tcW w:w="792" w:type="pct"/>
            <w:tcBorders>
              <w:top w:val="nil"/>
              <w:left w:val="nil"/>
              <w:bottom w:val="single" w:color="auto" w:sz="4" w:space="0"/>
              <w:right w:val="single" w:color="auto" w:sz="4" w:space="0"/>
            </w:tcBorders>
            <w:vAlign w:val="center"/>
          </w:tcPr>
          <w:p w14:paraId="6EA2CF6D">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601.73</w:t>
            </w:r>
          </w:p>
        </w:tc>
      </w:tr>
    </w:tbl>
    <w:p w14:paraId="3EEABFE1">
      <w:pPr>
        <w:pStyle w:val="41"/>
        <w:spacing w:after="0" w:line="240" w:lineRule="auto"/>
        <w:ind w:left="0" w:leftChars="0" w:firstLine="0" w:firstLineChars="0"/>
        <w:jc w:val="center"/>
        <w:rPr>
          <w:rFonts w:eastAsia="黑体"/>
          <w:bCs/>
          <w:sz w:val="24"/>
          <w:szCs w:val="24"/>
        </w:rPr>
      </w:pPr>
    </w:p>
    <w:p w14:paraId="3634F64F">
      <w:pPr>
        <w:pStyle w:val="41"/>
        <w:spacing w:after="0" w:line="240" w:lineRule="auto"/>
        <w:ind w:left="0" w:leftChars="0" w:firstLine="0" w:firstLineChars="0"/>
        <w:jc w:val="center"/>
        <w:rPr>
          <w:rFonts w:eastAsia="黑体"/>
          <w:bCs/>
          <w:sz w:val="24"/>
          <w:szCs w:val="24"/>
        </w:rPr>
      </w:pPr>
      <w:r>
        <w:rPr>
          <w:rFonts w:hint="eastAsia" w:eastAsia="黑体"/>
          <w:bCs/>
          <w:sz w:val="24"/>
          <w:szCs w:val="24"/>
        </w:rPr>
        <w:t>3</w:t>
      </w:r>
      <w:r>
        <w:rPr>
          <w:rFonts w:eastAsia="黑体"/>
          <w:bCs/>
          <w:sz w:val="24"/>
          <w:szCs w:val="24"/>
        </w:rPr>
        <w:t>.场地平整</w:t>
      </w:r>
    </w:p>
    <w:tbl>
      <w:tblPr>
        <w:tblStyle w:val="42"/>
        <w:tblW w:w="5000" w:type="pct"/>
        <w:tblInd w:w="0" w:type="dxa"/>
        <w:tblLayout w:type="autofit"/>
        <w:tblCellMar>
          <w:top w:w="0" w:type="dxa"/>
          <w:left w:w="108" w:type="dxa"/>
          <w:bottom w:w="0" w:type="dxa"/>
          <w:right w:w="108" w:type="dxa"/>
        </w:tblCellMar>
      </w:tblPr>
      <w:tblGrid>
        <w:gridCol w:w="1356"/>
        <w:gridCol w:w="2167"/>
        <w:gridCol w:w="1535"/>
        <w:gridCol w:w="1497"/>
        <w:gridCol w:w="1497"/>
        <w:gridCol w:w="1518"/>
      </w:tblGrid>
      <w:tr w14:paraId="50781549">
        <w:tblPrEx>
          <w:tblCellMar>
            <w:top w:w="0" w:type="dxa"/>
            <w:left w:w="108" w:type="dxa"/>
            <w:bottom w:w="0" w:type="dxa"/>
            <w:right w:w="108" w:type="dxa"/>
          </w:tblCellMar>
        </w:tblPrEx>
        <w:trPr>
          <w:trHeight w:val="282"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8DA0ED7">
            <w:pPr>
              <w:pStyle w:val="72"/>
              <w:rPr>
                <w:rFonts w:hint="eastAsia"/>
              </w:rPr>
            </w:pPr>
            <w:r>
              <w:t>定额编号：20273定额单位：100</w:t>
            </w:r>
            <w:r>
              <w:rPr>
                <w:rFonts w:hint="eastAsia"/>
              </w:rPr>
              <w:t>m</w:t>
            </w:r>
            <w:r>
              <w:rPr>
                <w:rFonts w:ascii="Calibri" w:hAnsi="Calibri" w:cs="Calibri"/>
              </w:rPr>
              <w:t>³</w:t>
            </w:r>
          </w:p>
        </w:tc>
      </w:tr>
      <w:tr w14:paraId="7EBA951A">
        <w:tblPrEx>
          <w:tblCellMar>
            <w:top w:w="0" w:type="dxa"/>
            <w:left w:w="108" w:type="dxa"/>
            <w:bottom w:w="0" w:type="dxa"/>
            <w:right w:w="108" w:type="dxa"/>
          </w:tblCellMar>
        </w:tblPrEx>
        <w:trPr>
          <w:trHeight w:val="282"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9D580CA">
            <w:pPr>
              <w:pStyle w:val="72"/>
              <w:rPr>
                <w:rFonts w:hint="eastAsia"/>
              </w:rPr>
            </w:pPr>
            <w:r>
              <w:t>施工方法：推松、运送、卸除、拖平、空回。推土距离70～80m</w:t>
            </w:r>
          </w:p>
        </w:tc>
      </w:tr>
      <w:tr w14:paraId="4703E65E">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56F710D6">
            <w:pPr>
              <w:pStyle w:val="72"/>
              <w:rPr>
                <w:rFonts w:hint="eastAsia"/>
              </w:rPr>
            </w:pPr>
            <w:r>
              <w:t>序号</w:t>
            </w:r>
          </w:p>
        </w:tc>
        <w:tc>
          <w:tcPr>
            <w:tcW w:w="1132" w:type="pct"/>
            <w:tcBorders>
              <w:top w:val="nil"/>
              <w:left w:val="nil"/>
              <w:bottom w:val="single" w:color="auto" w:sz="4" w:space="0"/>
              <w:right w:val="single" w:color="auto" w:sz="4" w:space="0"/>
            </w:tcBorders>
            <w:vAlign w:val="center"/>
          </w:tcPr>
          <w:p w14:paraId="5F4DCE76">
            <w:pPr>
              <w:pStyle w:val="72"/>
              <w:rPr>
                <w:rFonts w:hint="eastAsia"/>
              </w:rPr>
            </w:pPr>
            <w:r>
              <w:t>项目名称</w:t>
            </w:r>
          </w:p>
        </w:tc>
        <w:tc>
          <w:tcPr>
            <w:tcW w:w="802" w:type="pct"/>
            <w:tcBorders>
              <w:top w:val="nil"/>
              <w:left w:val="nil"/>
              <w:bottom w:val="single" w:color="auto" w:sz="4" w:space="0"/>
              <w:right w:val="single" w:color="auto" w:sz="4" w:space="0"/>
            </w:tcBorders>
            <w:vAlign w:val="center"/>
          </w:tcPr>
          <w:p w14:paraId="46F67436">
            <w:pPr>
              <w:pStyle w:val="72"/>
              <w:rPr>
                <w:rFonts w:hint="eastAsia"/>
              </w:rPr>
            </w:pPr>
            <w:r>
              <w:t>单位</w:t>
            </w:r>
          </w:p>
        </w:tc>
        <w:tc>
          <w:tcPr>
            <w:tcW w:w="782" w:type="pct"/>
            <w:tcBorders>
              <w:top w:val="nil"/>
              <w:left w:val="nil"/>
              <w:bottom w:val="single" w:color="auto" w:sz="4" w:space="0"/>
              <w:right w:val="single" w:color="auto" w:sz="4" w:space="0"/>
            </w:tcBorders>
            <w:vAlign w:val="center"/>
          </w:tcPr>
          <w:p w14:paraId="77D5124E">
            <w:pPr>
              <w:pStyle w:val="72"/>
              <w:rPr>
                <w:rFonts w:hint="eastAsia"/>
              </w:rPr>
            </w:pPr>
            <w:r>
              <w:t>数量</w:t>
            </w:r>
          </w:p>
        </w:tc>
        <w:tc>
          <w:tcPr>
            <w:tcW w:w="782" w:type="pct"/>
            <w:tcBorders>
              <w:top w:val="nil"/>
              <w:left w:val="nil"/>
              <w:bottom w:val="single" w:color="auto" w:sz="4" w:space="0"/>
              <w:right w:val="single" w:color="auto" w:sz="4" w:space="0"/>
            </w:tcBorders>
            <w:vAlign w:val="center"/>
          </w:tcPr>
          <w:p w14:paraId="442C409C">
            <w:pPr>
              <w:pStyle w:val="72"/>
              <w:rPr>
                <w:rFonts w:hint="eastAsia"/>
              </w:rPr>
            </w:pPr>
            <w:r>
              <w:t>单价</w:t>
            </w:r>
          </w:p>
        </w:tc>
        <w:tc>
          <w:tcPr>
            <w:tcW w:w="793" w:type="pct"/>
            <w:tcBorders>
              <w:top w:val="nil"/>
              <w:left w:val="nil"/>
              <w:bottom w:val="single" w:color="auto" w:sz="4" w:space="0"/>
              <w:right w:val="single" w:color="auto" w:sz="4" w:space="0"/>
            </w:tcBorders>
            <w:vAlign w:val="center"/>
          </w:tcPr>
          <w:p w14:paraId="70B76754">
            <w:pPr>
              <w:pStyle w:val="72"/>
              <w:rPr>
                <w:rFonts w:hint="eastAsia"/>
              </w:rPr>
            </w:pPr>
            <w:r>
              <w:t>小计（元）</w:t>
            </w:r>
          </w:p>
        </w:tc>
      </w:tr>
      <w:tr w14:paraId="3BDDBB9D">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7BA990DE">
            <w:pPr>
              <w:pStyle w:val="72"/>
              <w:rPr>
                <w:rFonts w:hint="eastAsia"/>
                <w:b/>
              </w:rPr>
            </w:pPr>
            <w:r>
              <w:rPr>
                <w:b/>
              </w:rPr>
              <w:t>一</w:t>
            </w:r>
          </w:p>
        </w:tc>
        <w:tc>
          <w:tcPr>
            <w:tcW w:w="1132" w:type="pct"/>
            <w:tcBorders>
              <w:top w:val="nil"/>
              <w:left w:val="nil"/>
              <w:bottom w:val="single" w:color="auto" w:sz="4" w:space="0"/>
              <w:right w:val="single" w:color="auto" w:sz="4" w:space="0"/>
            </w:tcBorders>
            <w:vAlign w:val="center"/>
          </w:tcPr>
          <w:p w14:paraId="332783FE">
            <w:pPr>
              <w:pStyle w:val="72"/>
              <w:rPr>
                <w:rFonts w:hint="eastAsia"/>
                <w:b/>
              </w:rPr>
            </w:pPr>
            <w:r>
              <w:rPr>
                <w:b/>
              </w:rPr>
              <w:t>直接费</w:t>
            </w:r>
          </w:p>
        </w:tc>
        <w:tc>
          <w:tcPr>
            <w:tcW w:w="802" w:type="pct"/>
            <w:tcBorders>
              <w:top w:val="nil"/>
              <w:left w:val="nil"/>
              <w:bottom w:val="single" w:color="auto" w:sz="4" w:space="0"/>
              <w:right w:val="single" w:color="auto" w:sz="4" w:space="0"/>
            </w:tcBorders>
            <w:vAlign w:val="center"/>
          </w:tcPr>
          <w:p w14:paraId="0DFF7E1E">
            <w:pPr>
              <w:pStyle w:val="72"/>
              <w:rPr>
                <w:rFonts w:hint="eastAsia"/>
                <w:b/>
              </w:rPr>
            </w:pPr>
            <w:r>
              <w:rPr>
                <w:b/>
              </w:rPr>
              <w:t>　</w:t>
            </w:r>
          </w:p>
        </w:tc>
        <w:tc>
          <w:tcPr>
            <w:tcW w:w="782" w:type="pct"/>
            <w:tcBorders>
              <w:top w:val="nil"/>
              <w:left w:val="nil"/>
              <w:bottom w:val="single" w:color="auto" w:sz="4" w:space="0"/>
              <w:right w:val="single" w:color="auto" w:sz="4" w:space="0"/>
            </w:tcBorders>
            <w:vAlign w:val="center"/>
          </w:tcPr>
          <w:p w14:paraId="1D960C62">
            <w:pPr>
              <w:pStyle w:val="72"/>
              <w:rPr>
                <w:rFonts w:hint="eastAsia"/>
                <w:b/>
              </w:rPr>
            </w:pPr>
            <w:r>
              <w:rPr>
                <w:rFonts w:hint="eastAsia" w:ascii="仿宋" w:hAnsi="仿宋"/>
                <w:b/>
              </w:rPr>
              <w:t>　</w:t>
            </w:r>
          </w:p>
        </w:tc>
        <w:tc>
          <w:tcPr>
            <w:tcW w:w="782" w:type="pct"/>
            <w:tcBorders>
              <w:top w:val="nil"/>
              <w:left w:val="nil"/>
              <w:bottom w:val="single" w:color="auto" w:sz="4" w:space="0"/>
              <w:right w:val="single" w:color="auto" w:sz="4" w:space="0"/>
            </w:tcBorders>
            <w:vAlign w:val="center"/>
          </w:tcPr>
          <w:p w14:paraId="2065CA05">
            <w:pPr>
              <w:pStyle w:val="72"/>
              <w:rPr>
                <w:rFonts w:hint="eastAsia"/>
                <w:b/>
              </w:rPr>
            </w:pPr>
            <w:r>
              <w:rPr>
                <w:rFonts w:hint="eastAsia" w:ascii="仿宋" w:hAnsi="仿宋"/>
                <w:b/>
              </w:rPr>
              <w:t>　</w:t>
            </w:r>
          </w:p>
        </w:tc>
        <w:tc>
          <w:tcPr>
            <w:tcW w:w="793" w:type="pct"/>
            <w:tcBorders>
              <w:top w:val="nil"/>
              <w:left w:val="nil"/>
              <w:bottom w:val="single" w:color="auto" w:sz="4" w:space="0"/>
              <w:right w:val="single" w:color="auto" w:sz="4" w:space="0"/>
            </w:tcBorders>
            <w:vAlign w:val="center"/>
          </w:tcPr>
          <w:p w14:paraId="7C03E10D">
            <w:pPr>
              <w:pStyle w:val="72"/>
              <w:rPr>
                <w:rFonts w:hint="eastAsia" w:eastAsia="仿宋"/>
                <w:b/>
                <w:lang w:eastAsia="zh-CN"/>
              </w:rPr>
            </w:pPr>
            <w:r>
              <w:rPr>
                <w:rFonts w:hint="eastAsia" w:ascii="仿宋" w:hAnsi="仿宋"/>
                <w:b/>
              </w:rPr>
              <w:t>447.46</w:t>
            </w:r>
          </w:p>
        </w:tc>
      </w:tr>
      <w:tr w14:paraId="508EBEF3">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447354AB">
            <w:pPr>
              <w:pStyle w:val="72"/>
              <w:rPr>
                <w:rFonts w:hint="eastAsia"/>
                <w:b/>
              </w:rPr>
            </w:pPr>
            <w:r>
              <w:rPr>
                <w:b/>
              </w:rPr>
              <w:t>（一）</w:t>
            </w:r>
          </w:p>
        </w:tc>
        <w:tc>
          <w:tcPr>
            <w:tcW w:w="1132" w:type="pct"/>
            <w:tcBorders>
              <w:top w:val="nil"/>
              <w:left w:val="nil"/>
              <w:bottom w:val="single" w:color="auto" w:sz="4" w:space="0"/>
              <w:right w:val="single" w:color="auto" w:sz="4" w:space="0"/>
            </w:tcBorders>
            <w:vAlign w:val="center"/>
          </w:tcPr>
          <w:p w14:paraId="17840DC6">
            <w:pPr>
              <w:pStyle w:val="72"/>
              <w:rPr>
                <w:rFonts w:hint="eastAsia"/>
                <w:b/>
              </w:rPr>
            </w:pPr>
            <w:r>
              <w:rPr>
                <w:b/>
              </w:rPr>
              <w:t>直接工程费</w:t>
            </w:r>
          </w:p>
        </w:tc>
        <w:tc>
          <w:tcPr>
            <w:tcW w:w="802" w:type="pct"/>
            <w:tcBorders>
              <w:top w:val="nil"/>
              <w:left w:val="nil"/>
              <w:bottom w:val="single" w:color="auto" w:sz="4" w:space="0"/>
              <w:right w:val="single" w:color="auto" w:sz="4" w:space="0"/>
            </w:tcBorders>
            <w:vAlign w:val="center"/>
          </w:tcPr>
          <w:p w14:paraId="40111CC0">
            <w:pPr>
              <w:pStyle w:val="72"/>
              <w:rPr>
                <w:rFonts w:hint="eastAsia"/>
                <w:b/>
              </w:rPr>
            </w:pPr>
            <w:r>
              <w:rPr>
                <w:b/>
              </w:rPr>
              <w:t>　</w:t>
            </w:r>
          </w:p>
        </w:tc>
        <w:tc>
          <w:tcPr>
            <w:tcW w:w="782" w:type="pct"/>
            <w:tcBorders>
              <w:top w:val="nil"/>
              <w:left w:val="nil"/>
              <w:bottom w:val="single" w:color="auto" w:sz="4" w:space="0"/>
              <w:right w:val="single" w:color="auto" w:sz="4" w:space="0"/>
            </w:tcBorders>
            <w:vAlign w:val="center"/>
          </w:tcPr>
          <w:p w14:paraId="6B88D7F3">
            <w:pPr>
              <w:pStyle w:val="72"/>
              <w:rPr>
                <w:rFonts w:hint="eastAsia"/>
                <w:b/>
              </w:rPr>
            </w:pPr>
            <w:r>
              <w:rPr>
                <w:rFonts w:hint="eastAsia" w:ascii="仿宋" w:hAnsi="仿宋"/>
                <w:b/>
              </w:rPr>
              <w:t>　</w:t>
            </w:r>
          </w:p>
        </w:tc>
        <w:tc>
          <w:tcPr>
            <w:tcW w:w="782" w:type="pct"/>
            <w:tcBorders>
              <w:top w:val="nil"/>
              <w:left w:val="nil"/>
              <w:bottom w:val="single" w:color="auto" w:sz="4" w:space="0"/>
              <w:right w:val="single" w:color="auto" w:sz="4" w:space="0"/>
            </w:tcBorders>
            <w:vAlign w:val="center"/>
          </w:tcPr>
          <w:p w14:paraId="7BD17C2F">
            <w:pPr>
              <w:pStyle w:val="72"/>
              <w:rPr>
                <w:rFonts w:hint="eastAsia"/>
                <w:b/>
              </w:rPr>
            </w:pPr>
            <w:r>
              <w:rPr>
                <w:rFonts w:hint="eastAsia" w:ascii="仿宋" w:hAnsi="仿宋"/>
                <w:b/>
              </w:rPr>
              <w:t>　</w:t>
            </w:r>
          </w:p>
        </w:tc>
        <w:tc>
          <w:tcPr>
            <w:tcW w:w="793" w:type="pct"/>
            <w:tcBorders>
              <w:top w:val="nil"/>
              <w:left w:val="nil"/>
              <w:bottom w:val="single" w:color="auto" w:sz="4" w:space="0"/>
              <w:right w:val="single" w:color="auto" w:sz="4" w:space="0"/>
            </w:tcBorders>
            <w:vAlign w:val="center"/>
          </w:tcPr>
          <w:p w14:paraId="2E962178">
            <w:pPr>
              <w:pStyle w:val="72"/>
              <w:rPr>
                <w:rFonts w:hint="eastAsia" w:eastAsia="仿宋"/>
                <w:b/>
                <w:lang w:eastAsia="zh-CN"/>
              </w:rPr>
            </w:pPr>
            <w:r>
              <w:rPr>
                <w:rFonts w:hint="eastAsia" w:ascii="仿宋" w:hAnsi="仿宋"/>
                <w:b/>
              </w:rPr>
              <w:t>431.08</w:t>
            </w:r>
          </w:p>
        </w:tc>
      </w:tr>
      <w:tr w14:paraId="4B2C1182">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0F405FA0">
            <w:pPr>
              <w:pStyle w:val="72"/>
              <w:rPr>
                <w:rFonts w:hint="eastAsia" w:eastAsia="仿宋"/>
                <w:lang w:eastAsia="zh-CN"/>
              </w:rPr>
            </w:pPr>
            <w:r>
              <w:t>1</w:t>
            </w:r>
          </w:p>
        </w:tc>
        <w:tc>
          <w:tcPr>
            <w:tcW w:w="1132" w:type="pct"/>
            <w:tcBorders>
              <w:top w:val="nil"/>
              <w:left w:val="nil"/>
              <w:bottom w:val="single" w:color="auto" w:sz="4" w:space="0"/>
              <w:right w:val="single" w:color="auto" w:sz="4" w:space="0"/>
            </w:tcBorders>
            <w:vAlign w:val="center"/>
          </w:tcPr>
          <w:p w14:paraId="33A12D74">
            <w:pPr>
              <w:pStyle w:val="72"/>
              <w:rPr>
                <w:rFonts w:hint="eastAsia"/>
                <w:b/>
              </w:rPr>
            </w:pPr>
            <w:r>
              <w:rPr>
                <w:b/>
              </w:rPr>
              <w:t>人工费</w:t>
            </w:r>
          </w:p>
        </w:tc>
        <w:tc>
          <w:tcPr>
            <w:tcW w:w="802" w:type="pct"/>
            <w:tcBorders>
              <w:top w:val="nil"/>
              <w:left w:val="nil"/>
              <w:bottom w:val="single" w:color="auto" w:sz="4" w:space="0"/>
              <w:right w:val="single" w:color="auto" w:sz="4" w:space="0"/>
            </w:tcBorders>
            <w:vAlign w:val="center"/>
          </w:tcPr>
          <w:p w14:paraId="49599B0C">
            <w:pPr>
              <w:pStyle w:val="72"/>
              <w:rPr>
                <w:rFonts w:hint="eastAsia"/>
                <w:b/>
              </w:rPr>
            </w:pPr>
            <w:r>
              <w:rPr>
                <w:b/>
              </w:rPr>
              <w:t>　</w:t>
            </w:r>
          </w:p>
        </w:tc>
        <w:tc>
          <w:tcPr>
            <w:tcW w:w="782" w:type="pct"/>
            <w:tcBorders>
              <w:top w:val="nil"/>
              <w:left w:val="nil"/>
              <w:bottom w:val="single" w:color="auto" w:sz="4" w:space="0"/>
              <w:right w:val="single" w:color="auto" w:sz="4" w:space="0"/>
            </w:tcBorders>
            <w:vAlign w:val="center"/>
          </w:tcPr>
          <w:p w14:paraId="0D9E0862">
            <w:pPr>
              <w:pStyle w:val="72"/>
              <w:rPr>
                <w:rFonts w:hint="eastAsia"/>
                <w:b/>
              </w:rPr>
            </w:pPr>
            <w:r>
              <w:rPr>
                <w:rFonts w:hint="eastAsia" w:ascii="仿宋" w:hAnsi="仿宋"/>
                <w:b/>
              </w:rPr>
              <w:t>　</w:t>
            </w:r>
          </w:p>
        </w:tc>
        <w:tc>
          <w:tcPr>
            <w:tcW w:w="782" w:type="pct"/>
            <w:tcBorders>
              <w:top w:val="nil"/>
              <w:left w:val="nil"/>
              <w:bottom w:val="single" w:color="auto" w:sz="4" w:space="0"/>
              <w:right w:val="single" w:color="auto" w:sz="4" w:space="0"/>
            </w:tcBorders>
            <w:vAlign w:val="center"/>
          </w:tcPr>
          <w:p w14:paraId="02B45619">
            <w:pPr>
              <w:pStyle w:val="72"/>
              <w:rPr>
                <w:rFonts w:hint="eastAsia"/>
                <w:b/>
              </w:rPr>
            </w:pPr>
            <w:r>
              <w:rPr>
                <w:rFonts w:hint="eastAsia" w:ascii="仿宋" w:hAnsi="仿宋"/>
                <w:b/>
              </w:rPr>
              <w:t>　</w:t>
            </w:r>
          </w:p>
        </w:tc>
        <w:tc>
          <w:tcPr>
            <w:tcW w:w="793" w:type="pct"/>
            <w:tcBorders>
              <w:top w:val="nil"/>
              <w:left w:val="nil"/>
              <w:bottom w:val="single" w:color="auto" w:sz="4" w:space="0"/>
              <w:right w:val="single" w:color="auto" w:sz="4" w:space="0"/>
            </w:tcBorders>
            <w:vAlign w:val="center"/>
          </w:tcPr>
          <w:p w14:paraId="5B579CED">
            <w:pPr>
              <w:pStyle w:val="72"/>
              <w:rPr>
                <w:rFonts w:hint="eastAsia" w:eastAsia="仿宋"/>
                <w:b/>
                <w:lang w:eastAsia="zh-CN"/>
              </w:rPr>
            </w:pPr>
            <w:r>
              <w:rPr>
                <w:rFonts w:hint="eastAsia" w:ascii="仿宋" w:hAnsi="仿宋"/>
                <w:b/>
              </w:rPr>
              <w:t>61.66</w:t>
            </w:r>
          </w:p>
        </w:tc>
      </w:tr>
      <w:tr w14:paraId="449CDE64">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74A877CC">
            <w:pPr>
              <w:pStyle w:val="72"/>
              <w:rPr>
                <w:rFonts w:hint="eastAsia"/>
              </w:rPr>
            </w:pPr>
            <w:r>
              <w:t>　</w:t>
            </w:r>
          </w:p>
        </w:tc>
        <w:tc>
          <w:tcPr>
            <w:tcW w:w="1132" w:type="pct"/>
            <w:tcBorders>
              <w:top w:val="nil"/>
              <w:left w:val="nil"/>
              <w:bottom w:val="single" w:color="auto" w:sz="4" w:space="0"/>
              <w:right w:val="single" w:color="auto" w:sz="4" w:space="0"/>
            </w:tcBorders>
            <w:vAlign w:val="center"/>
          </w:tcPr>
          <w:p w14:paraId="7E08C990">
            <w:pPr>
              <w:pStyle w:val="72"/>
              <w:rPr>
                <w:rFonts w:hint="eastAsia"/>
              </w:rPr>
            </w:pPr>
            <w:r>
              <w:t>甲类工</w:t>
            </w:r>
          </w:p>
        </w:tc>
        <w:tc>
          <w:tcPr>
            <w:tcW w:w="802" w:type="pct"/>
            <w:tcBorders>
              <w:top w:val="nil"/>
              <w:left w:val="nil"/>
              <w:bottom w:val="single" w:color="auto" w:sz="4" w:space="0"/>
              <w:right w:val="single" w:color="auto" w:sz="4" w:space="0"/>
            </w:tcBorders>
            <w:vAlign w:val="center"/>
          </w:tcPr>
          <w:p w14:paraId="32298E47">
            <w:pPr>
              <w:pStyle w:val="72"/>
              <w:rPr>
                <w:rFonts w:hint="eastAsia"/>
              </w:rPr>
            </w:pPr>
            <w:r>
              <w:t>工日</w:t>
            </w:r>
          </w:p>
        </w:tc>
        <w:tc>
          <w:tcPr>
            <w:tcW w:w="782" w:type="pct"/>
            <w:tcBorders>
              <w:top w:val="nil"/>
              <w:left w:val="nil"/>
              <w:bottom w:val="single" w:color="auto" w:sz="4" w:space="0"/>
              <w:right w:val="single" w:color="auto" w:sz="4" w:space="0"/>
            </w:tcBorders>
            <w:vAlign w:val="center"/>
          </w:tcPr>
          <w:p w14:paraId="7F440218">
            <w:pPr>
              <w:pStyle w:val="72"/>
              <w:rPr>
                <w:rFonts w:hint="eastAsia" w:eastAsia="仿宋"/>
                <w:lang w:eastAsia="zh-CN"/>
              </w:rPr>
            </w:pPr>
            <w:r>
              <w:rPr>
                <w:rFonts w:hint="eastAsia" w:ascii="仿宋" w:hAnsi="仿宋"/>
              </w:rPr>
              <w:t>0.10</w:t>
            </w:r>
          </w:p>
        </w:tc>
        <w:tc>
          <w:tcPr>
            <w:tcW w:w="782" w:type="pct"/>
            <w:tcBorders>
              <w:top w:val="nil"/>
              <w:left w:val="nil"/>
              <w:bottom w:val="single" w:color="auto" w:sz="4" w:space="0"/>
              <w:right w:val="single" w:color="auto" w:sz="4" w:space="0"/>
            </w:tcBorders>
            <w:vAlign w:val="center"/>
          </w:tcPr>
          <w:p w14:paraId="6F115DC8">
            <w:pPr>
              <w:pStyle w:val="72"/>
              <w:rPr>
                <w:rFonts w:hint="eastAsia" w:eastAsia="仿宋"/>
                <w:lang w:eastAsia="zh-CN"/>
              </w:rPr>
            </w:pPr>
            <w:r>
              <w:rPr>
                <w:rFonts w:hint="eastAsia" w:ascii="仿宋" w:hAnsi="仿宋"/>
              </w:rPr>
              <w:t>51.04</w:t>
            </w:r>
          </w:p>
        </w:tc>
        <w:tc>
          <w:tcPr>
            <w:tcW w:w="793" w:type="pct"/>
            <w:tcBorders>
              <w:top w:val="nil"/>
              <w:left w:val="nil"/>
              <w:bottom w:val="single" w:color="auto" w:sz="4" w:space="0"/>
              <w:right w:val="single" w:color="auto" w:sz="4" w:space="0"/>
            </w:tcBorders>
            <w:vAlign w:val="center"/>
          </w:tcPr>
          <w:p w14:paraId="0847C6A8">
            <w:pPr>
              <w:pStyle w:val="72"/>
              <w:rPr>
                <w:rFonts w:hint="eastAsia" w:eastAsia="仿宋"/>
                <w:lang w:eastAsia="zh-CN"/>
              </w:rPr>
            </w:pPr>
            <w:r>
              <w:rPr>
                <w:rFonts w:hint="eastAsia" w:ascii="仿宋" w:hAnsi="仿宋"/>
              </w:rPr>
              <w:t>5.10</w:t>
            </w:r>
          </w:p>
        </w:tc>
      </w:tr>
      <w:tr w14:paraId="1A882F83">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510C877B">
            <w:pPr>
              <w:pStyle w:val="72"/>
              <w:rPr>
                <w:rFonts w:hint="eastAsia"/>
              </w:rPr>
            </w:pPr>
            <w:r>
              <w:t>　</w:t>
            </w:r>
          </w:p>
        </w:tc>
        <w:tc>
          <w:tcPr>
            <w:tcW w:w="1132" w:type="pct"/>
            <w:tcBorders>
              <w:top w:val="nil"/>
              <w:left w:val="nil"/>
              <w:bottom w:val="single" w:color="auto" w:sz="4" w:space="0"/>
              <w:right w:val="single" w:color="auto" w:sz="4" w:space="0"/>
            </w:tcBorders>
            <w:vAlign w:val="center"/>
          </w:tcPr>
          <w:p w14:paraId="68B65BC3">
            <w:pPr>
              <w:pStyle w:val="72"/>
              <w:rPr>
                <w:rFonts w:hint="eastAsia"/>
              </w:rPr>
            </w:pPr>
            <w:r>
              <w:t>乙类工</w:t>
            </w:r>
          </w:p>
        </w:tc>
        <w:tc>
          <w:tcPr>
            <w:tcW w:w="802" w:type="pct"/>
            <w:tcBorders>
              <w:top w:val="nil"/>
              <w:left w:val="nil"/>
              <w:bottom w:val="single" w:color="auto" w:sz="4" w:space="0"/>
              <w:right w:val="single" w:color="auto" w:sz="4" w:space="0"/>
            </w:tcBorders>
            <w:vAlign w:val="center"/>
          </w:tcPr>
          <w:p w14:paraId="36EB3F20">
            <w:pPr>
              <w:pStyle w:val="72"/>
              <w:rPr>
                <w:rFonts w:hint="eastAsia"/>
              </w:rPr>
            </w:pPr>
            <w:r>
              <w:t>工日</w:t>
            </w:r>
          </w:p>
        </w:tc>
        <w:tc>
          <w:tcPr>
            <w:tcW w:w="782" w:type="pct"/>
            <w:tcBorders>
              <w:top w:val="nil"/>
              <w:left w:val="nil"/>
              <w:bottom w:val="single" w:color="auto" w:sz="4" w:space="0"/>
              <w:right w:val="single" w:color="auto" w:sz="4" w:space="0"/>
            </w:tcBorders>
            <w:vAlign w:val="center"/>
          </w:tcPr>
          <w:p w14:paraId="79E18F0E">
            <w:pPr>
              <w:pStyle w:val="72"/>
              <w:rPr>
                <w:rFonts w:hint="eastAsia" w:eastAsia="仿宋"/>
                <w:lang w:eastAsia="zh-CN"/>
              </w:rPr>
            </w:pPr>
            <w:r>
              <w:rPr>
                <w:rFonts w:hint="eastAsia" w:ascii="仿宋" w:hAnsi="仿宋"/>
              </w:rPr>
              <w:t>1.30</w:t>
            </w:r>
          </w:p>
        </w:tc>
        <w:tc>
          <w:tcPr>
            <w:tcW w:w="782" w:type="pct"/>
            <w:tcBorders>
              <w:top w:val="nil"/>
              <w:left w:val="nil"/>
              <w:bottom w:val="single" w:color="auto" w:sz="4" w:space="0"/>
              <w:right w:val="single" w:color="auto" w:sz="4" w:space="0"/>
            </w:tcBorders>
            <w:vAlign w:val="center"/>
          </w:tcPr>
          <w:p w14:paraId="5D3A0385">
            <w:pPr>
              <w:pStyle w:val="72"/>
              <w:rPr>
                <w:rFonts w:hint="eastAsia" w:eastAsia="仿宋"/>
                <w:lang w:eastAsia="zh-CN"/>
              </w:rPr>
            </w:pPr>
            <w:r>
              <w:rPr>
                <w:rFonts w:hint="eastAsia" w:ascii="仿宋" w:hAnsi="仿宋"/>
              </w:rPr>
              <w:t>38.84</w:t>
            </w:r>
          </w:p>
        </w:tc>
        <w:tc>
          <w:tcPr>
            <w:tcW w:w="793" w:type="pct"/>
            <w:tcBorders>
              <w:top w:val="nil"/>
              <w:left w:val="nil"/>
              <w:bottom w:val="single" w:color="auto" w:sz="4" w:space="0"/>
              <w:right w:val="single" w:color="auto" w:sz="4" w:space="0"/>
            </w:tcBorders>
            <w:vAlign w:val="center"/>
          </w:tcPr>
          <w:p w14:paraId="15A5F3D7">
            <w:pPr>
              <w:pStyle w:val="72"/>
              <w:rPr>
                <w:rFonts w:hint="eastAsia" w:eastAsia="仿宋"/>
                <w:lang w:eastAsia="zh-CN"/>
              </w:rPr>
            </w:pPr>
            <w:r>
              <w:rPr>
                <w:rFonts w:hint="eastAsia" w:ascii="仿宋" w:hAnsi="仿宋"/>
              </w:rPr>
              <w:t>50.49</w:t>
            </w:r>
          </w:p>
        </w:tc>
      </w:tr>
      <w:tr w14:paraId="30B59CC8">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7593751A">
            <w:pPr>
              <w:pStyle w:val="72"/>
              <w:rPr>
                <w:rFonts w:hint="eastAsia"/>
              </w:rPr>
            </w:pPr>
            <w:r>
              <w:t>　</w:t>
            </w:r>
          </w:p>
        </w:tc>
        <w:tc>
          <w:tcPr>
            <w:tcW w:w="1132" w:type="pct"/>
            <w:tcBorders>
              <w:top w:val="nil"/>
              <w:left w:val="nil"/>
              <w:bottom w:val="single" w:color="auto" w:sz="4" w:space="0"/>
              <w:right w:val="single" w:color="auto" w:sz="4" w:space="0"/>
            </w:tcBorders>
            <w:vAlign w:val="center"/>
          </w:tcPr>
          <w:p w14:paraId="35004F59">
            <w:pPr>
              <w:pStyle w:val="72"/>
              <w:rPr>
                <w:rFonts w:hint="eastAsia"/>
              </w:rPr>
            </w:pPr>
            <w:r>
              <w:t>其他费用</w:t>
            </w:r>
          </w:p>
        </w:tc>
        <w:tc>
          <w:tcPr>
            <w:tcW w:w="802" w:type="pct"/>
            <w:tcBorders>
              <w:top w:val="nil"/>
              <w:left w:val="nil"/>
              <w:bottom w:val="single" w:color="auto" w:sz="4" w:space="0"/>
              <w:right w:val="single" w:color="auto" w:sz="4" w:space="0"/>
            </w:tcBorders>
            <w:vAlign w:val="center"/>
          </w:tcPr>
          <w:p w14:paraId="67F0C832">
            <w:pPr>
              <w:pStyle w:val="72"/>
              <w:rPr>
                <w:rFonts w:hint="eastAsia"/>
              </w:rPr>
            </w:pPr>
            <w:r>
              <w:t>%</w:t>
            </w:r>
          </w:p>
        </w:tc>
        <w:tc>
          <w:tcPr>
            <w:tcW w:w="782" w:type="pct"/>
            <w:tcBorders>
              <w:top w:val="nil"/>
              <w:left w:val="nil"/>
              <w:bottom w:val="single" w:color="auto" w:sz="4" w:space="0"/>
              <w:right w:val="single" w:color="auto" w:sz="4" w:space="0"/>
            </w:tcBorders>
            <w:vAlign w:val="center"/>
          </w:tcPr>
          <w:p w14:paraId="1B3D0F37">
            <w:pPr>
              <w:pStyle w:val="72"/>
              <w:rPr>
                <w:rFonts w:hint="eastAsia" w:eastAsia="仿宋"/>
                <w:lang w:eastAsia="zh-CN"/>
              </w:rPr>
            </w:pPr>
            <w:r>
              <w:rPr>
                <w:rFonts w:hint="eastAsia" w:ascii="仿宋" w:hAnsi="仿宋"/>
              </w:rPr>
              <w:t>10.90</w:t>
            </w:r>
          </w:p>
        </w:tc>
        <w:tc>
          <w:tcPr>
            <w:tcW w:w="782" w:type="pct"/>
            <w:tcBorders>
              <w:top w:val="nil"/>
              <w:left w:val="nil"/>
              <w:bottom w:val="single" w:color="auto" w:sz="4" w:space="0"/>
              <w:right w:val="single" w:color="auto" w:sz="4" w:space="0"/>
            </w:tcBorders>
            <w:vAlign w:val="center"/>
          </w:tcPr>
          <w:p w14:paraId="107D7DC9">
            <w:pPr>
              <w:pStyle w:val="72"/>
              <w:rPr>
                <w:rFonts w:hint="eastAsia" w:eastAsia="仿宋"/>
                <w:lang w:eastAsia="zh-CN"/>
              </w:rPr>
            </w:pPr>
            <w:r>
              <w:rPr>
                <w:rFonts w:hint="eastAsia" w:ascii="仿宋" w:hAnsi="仿宋"/>
              </w:rPr>
              <w:t>55.60</w:t>
            </w:r>
          </w:p>
        </w:tc>
        <w:tc>
          <w:tcPr>
            <w:tcW w:w="793" w:type="pct"/>
            <w:tcBorders>
              <w:top w:val="nil"/>
              <w:left w:val="nil"/>
              <w:bottom w:val="single" w:color="auto" w:sz="4" w:space="0"/>
              <w:right w:val="single" w:color="auto" w:sz="4" w:space="0"/>
            </w:tcBorders>
            <w:vAlign w:val="center"/>
          </w:tcPr>
          <w:p w14:paraId="394F4277">
            <w:pPr>
              <w:pStyle w:val="72"/>
              <w:rPr>
                <w:rFonts w:hint="eastAsia" w:eastAsia="仿宋"/>
                <w:lang w:eastAsia="zh-CN"/>
              </w:rPr>
            </w:pPr>
            <w:r>
              <w:rPr>
                <w:rFonts w:hint="eastAsia" w:ascii="仿宋" w:hAnsi="仿宋"/>
              </w:rPr>
              <w:t>6.06</w:t>
            </w:r>
          </w:p>
        </w:tc>
      </w:tr>
      <w:tr w14:paraId="3CF8D292">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424C7E6C">
            <w:pPr>
              <w:pStyle w:val="72"/>
              <w:rPr>
                <w:rFonts w:hint="eastAsia" w:eastAsia="仿宋"/>
                <w:lang w:eastAsia="zh-CN"/>
              </w:rPr>
            </w:pPr>
            <w:r>
              <w:t>2</w:t>
            </w:r>
          </w:p>
        </w:tc>
        <w:tc>
          <w:tcPr>
            <w:tcW w:w="1132" w:type="pct"/>
            <w:tcBorders>
              <w:top w:val="nil"/>
              <w:left w:val="nil"/>
              <w:bottom w:val="single" w:color="auto" w:sz="4" w:space="0"/>
              <w:right w:val="single" w:color="auto" w:sz="4" w:space="0"/>
            </w:tcBorders>
            <w:vAlign w:val="center"/>
          </w:tcPr>
          <w:p w14:paraId="0B9ABFF1">
            <w:pPr>
              <w:pStyle w:val="72"/>
              <w:rPr>
                <w:rFonts w:hint="eastAsia"/>
                <w:b/>
              </w:rPr>
            </w:pPr>
            <w:r>
              <w:rPr>
                <w:b/>
              </w:rPr>
              <w:t>材料费</w:t>
            </w:r>
          </w:p>
        </w:tc>
        <w:tc>
          <w:tcPr>
            <w:tcW w:w="802" w:type="pct"/>
            <w:tcBorders>
              <w:top w:val="nil"/>
              <w:left w:val="nil"/>
              <w:bottom w:val="single" w:color="auto" w:sz="4" w:space="0"/>
              <w:right w:val="single" w:color="auto" w:sz="4" w:space="0"/>
            </w:tcBorders>
            <w:vAlign w:val="center"/>
          </w:tcPr>
          <w:p w14:paraId="4AC237B3">
            <w:pPr>
              <w:pStyle w:val="72"/>
              <w:rPr>
                <w:rFonts w:hint="eastAsia"/>
                <w:b/>
              </w:rPr>
            </w:pPr>
            <w:r>
              <w:rPr>
                <w:b/>
              </w:rPr>
              <w:t>　</w:t>
            </w:r>
          </w:p>
        </w:tc>
        <w:tc>
          <w:tcPr>
            <w:tcW w:w="782" w:type="pct"/>
            <w:tcBorders>
              <w:top w:val="nil"/>
              <w:left w:val="nil"/>
              <w:bottom w:val="single" w:color="auto" w:sz="4" w:space="0"/>
              <w:right w:val="single" w:color="auto" w:sz="4" w:space="0"/>
            </w:tcBorders>
            <w:vAlign w:val="center"/>
          </w:tcPr>
          <w:p w14:paraId="17DF9BE1">
            <w:pPr>
              <w:pStyle w:val="72"/>
              <w:rPr>
                <w:rFonts w:hint="eastAsia"/>
                <w:b/>
              </w:rPr>
            </w:pPr>
            <w:r>
              <w:rPr>
                <w:rFonts w:hint="eastAsia" w:ascii="仿宋" w:hAnsi="仿宋"/>
                <w:b/>
              </w:rPr>
              <w:t>　</w:t>
            </w:r>
          </w:p>
        </w:tc>
        <w:tc>
          <w:tcPr>
            <w:tcW w:w="782" w:type="pct"/>
            <w:tcBorders>
              <w:top w:val="nil"/>
              <w:left w:val="nil"/>
              <w:bottom w:val="single" w:color="auto" w:sz="4" w:space="0"/>
              <w:right w:val="single" w:color="auto" w:sz="4" w:space="0"/>
            </w:tcBorders>
            <w:vAlign w:val="center"/>
          </w:tcPr>
          <w:p w14:paraId="786BD602">
            <w:pPr>
              <w:pStyle w:val="72"/>
              <w:rPr>
                <w:rFonts w:hint="eastAsia"/>
                <w:b/>
              </w:rPr>
            </w:pPr>
            <w:r>
              <w:rPr>
                <w:rFonts w:hint="eastAsia" w:ascii="仿宋" w:hAnsi="仿宋"/>
                <w:b/>
              </w:rPr>
              <w:t>　</w:t>
            </w:r>
          </w:p>
        </w:tc>
        <w:tc>
          <w:tcPr>
            <w:tcW w:w="793" w:type="pct"/>
            <w:tcBorders>
              <w:top w:val="nil"/>
              <w:left w:val="nil"/>
              <w:bottom w:val="single" w:color="auto" w:sz="4" w:space="0"/>
              <w:right w:val="single" w:color="auto" w:sz="4" w:space="0"/>
            </w:tcBorders>
            <w:vAlign w:val="center"/>
          </w:tcPr>
          <w:p w14:paraId="5BFE11AC">
            <w:pPr>
              <w:pStyle w:val="72"/>
              <w:rPr>
                <w:rFonts w:hint="eastAsia" w:eastAsia="仿宋"/>
                <w:b/>
                <w:lang w:eastAsia="zh-CN"/>
              </w:rPr>
            </w:pPr>
            <w:r>
              <w:rPr>
                <w:rFonts w:hint="eastAsia" w:ascii="仿宋" w:hAnsi="仿宋"/>
                <w:b/>
              </w:rPr>
              <w:t>0.00</w:t>
            </w:r>
          </w:p>
        </w:tc>
      </w:tr>
      <w:tr w14:paraId="0AC834AC">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30B2F1C6">
            <w:pPr>
              <w:pStyle w:val="72"/>
              <w:rPr>
                <w:rFonts w:hint="eastAsia" w:eastAsia="仿宋"/>
                <w:lang w:eastAsia="zh-CN"/>
              </w:rPr>
            </w:pPr>
            <w:r>
              <w:t>3</w:t>
            </w:r>
          </w:p>
        </w:tc>
        <w:tc>
          <w:tcPr>
            <w:tcW w:w="1132" w:type="pct"/>
            <w:tcBorders>
              <w:top w:val="nil"/>
              <w:left w:val="nil"/>
              <w:bottom w:val="single" w:color="auto" w:sz="4" w:space="0"/>
              <w:right w:val="single" w:color="auto" w:sz="4" w:space="0"/>
            </w:tcBorders>
            <w:vAlign w:val="center"/>
          </w:tcPr>
          <w:p w14:paraId="5BF1FE63">
            <w:pPr>
              <w:pStyle w:val="72"/>
              <w:rPr>
                <w:rFonts w:hint="eastAsia"/>
                <w:b/>
              </w:rPr>
            </w:pPr>
            <w:r>
              <w:rPr>
                <w:b/>
              </w:rPr>
              <w:t>机械费</w:t>
            </w:r>
          </w:p>
        </w:tc>
        <w:tc>
          <w:tcPr>
            <w:tcW w:w="802" w:type="pct"/>
            <w:tcBorders>
              <w:top w:val="nil"/>
              <w:left w:val="nil"/>
              <w:bottom w:val="single" w:color="auto" w:sz="4" w:space="0"/>
              <w:right w:val="single" w:color="auto" w:sz="4" w:space="0"/>
            </w:tcBorders>
            <w:vAlign w:val="center"/>
          </w:tcPr>
          <w:p w14:paraId="6DB9046A">
            <w:pPr>
              <w:pStyle w:val="72"/>
              <w:rPr>
                <w:rFonts w:hint="eastAsia"/>
                <w:b/>
              </w:rPr>
            </w:pPr>
            <w:r>
              <w:rPr>
                <w:b/>
              </w:rPr>
              <w:t>　</w:t>
            </w:r>
          </w:p>
        </w:tc>
        <w:tc>
          <w:tcPr>
            <w:tcW w:w="782" w:type="pct"/>
            <w:tcBorders>
              <w:top w:val="nil"/>
              <w:left w:val="nil"/>
              <w:bottom w:val="single" w:color="auto" w:sz="4" w:space="0"/>
              <w:right w:val="single" w:color="auto" w:sz="4" w:space="0"/>
            </w:tcBorders>
            <w:vAlign w:val="center"/>
          </w:tcPr>
          <w:p w14:paraId="6DEB3849">
            <w:pPr>
              <w:pStyle w:val="72"/>
              <w:rPr>
                <w:rFonts w:hint="eastAsia"/>
                <w:b/>
              </w:rPr>
            </w:pPr>
            <w:r>
              <w:rPr>
                <w:rFonts w:hint="eastAsia" w:ascii="仿宋" w:hAnsi="仿宋"/>
                <w:b/>
              </w:rPr>
              <w:t>　</w:t>
            </w:r>
          </w:p>
        </w:tc>
        <w:tc>
          <w:tcPr>
            <w:tcW w:w="782" w:type="pct"/>
            <w:tcBorders>
              <w:top w:val="nil"/>
              <w:left w:val="nil"/>
              <w:bottom w:val="single" w:color="auto" w:sz="4" w:space="0"/>
              <w:right w:val="single" w:color="auto" w:sz="4" w:space="0"/>
            </w:tcBorders>
            <w:vAlign w:val="center"/>
          </w:tcPr>
          <w:p w14:paraId="73DB4A5E">
            <w:pPr>
              <w:pStyle w:val="72"/>
              <w:rPr>
                <w:rFonts w:hint="eastAsia"/>
                <w:b/>
              </w:rPr>
            </w:pPr>
            <w:r>
              <w:rPr>
                <w:rFonts w:hint="eastAsia" w:ascii="仿宋" w:hAnsi="仿宋"/>
                <w:b/>
              </w:rPr>
              <w:t>　</w:t>
            </w:r>
          </w:p>
        </w:tc>
        <w:tc>
          <w:tcPr>
            <w:tcW w:w="793" w:type="pct"/>
            <w:tcBorders>
              <w:top w:val="nil"/>
              <w:left w:val="nil"/>
              <w:bottom w:val="single" w:color="auto" w:sz="4" w:space="0"/>
              <w:right w:val="single" w:color="auto" w:sz="4" w:space="0"/>
            </w:tcBorders>
            <w:vAlign w:val="center"/>
          </w:tcPr>
          <w:p w14:paraId="3EC0F01C">
            <w:pPr>
              <w:pStyle w:val="72"/>
              <w:rPr>
                <w:rFonts w:hint="eastAsia" w:eastAsia="仿宋"/>
                <w:b/>
                <w:lang w:eastAsia="zh-CN"/>
              </w:rPr>
            </w:pPr>
            <w:r>
              <w:rPr>
                <w:rFonts w:hint="eastAsia" w:ascii="仿宋" w:hAnsi="仿宋"/>
                <w:b/>
              </w:rPr>
              <w:t>369.42</w:t>
            </w:r>
          </w:p>
        </w:tc>
      </w:tr>
      <w:tr w14:paraId="4761D430">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3D995D70">
            <w:pPr>
              <w:pStyle w:val="72"/>
              <w:rPr>
                <w:rFonts w:hint="eastAsia"/>
              </w:rPr>
            </w:pPr>
            <w:r>
              <w:t>　</w:t>
            </w:r>
          </w:p>
        </w:tc>
        <w:tc>
          <w:tcPr>
            <w:tcW w:w="1132" w:type="pct"/>
            <w:tcBorders>
              <w:top w:val="nil"/>
              <w:left w:val="nil"/>
              <w:bottom w:val="single" w:color="auto" w:sz="4" w:space="0"/>
              <w:right w:val="single" w:color="auto" w:sz="4" w:space="0"/>
            </w:tcBorders>
            <w:vAlign w:val="center"/>
          </w:tcPr>
          <w:p w14:paraId="3FA258F2">
            <w:pPr>
              <w:pStyle w:val="72"/>
              <w:rPr>
                <w:rFonts w:hint="eastAsia"/>
              </w:rPr>
            </w:pPr>
            <w:r>
              <w:t>推土机74kW</w:t>
            </w:r>
          </w:p>
        </w:tc>
        <w:tc>
          <w:tcPr>
            <w:tcW w:w="802" w:type="pct"/>
            <w:tcBorders>
              <w:top w:val="nil"/>
              <w:left w:val="nil"/>
              <w:bottom w:val="single" w:color="auto" w:sz="4" w:space="0"/>
              <w:right w:val="single" w:color="auto" w:sz="4" w:space="0"/>
            </w:tcBorders>
            <w:vAlign w:val="center"/>
          </w:tcPr>
          <w:p w14:paraId="523B0BC9">
            <w:pPr>
              <w:pStyle w:val="72"/>
              <w:rPr>
                <w:rFonts w:hint="eastAsia"/>
              </w:rPr>
            </w:pPr>
            <w:r>
              <w:t>台班</w:t>
            </w:r>
          </w:p>
        </w:tc>
        <w:tc>
          <w:tcPr>
            <w:tcW w:w="782" w:type="pct"/>
            <w:tcBorders>
              <w:top w:val="nil"/>
              <w:left w:val="nil"/>
              <w:bottom w:val="single" w:color="auto" w:sz="4" w:space="0"/>
              <w:right w:val="single" w:color="auto" w:sz="4" w:space="0"/>
            </w:tcBorders>
            <w:vAlign w:val="center"/>
          </w:tcPr>
          <w:p w14:paraId="3E400FFC">
            <w:pPr>
              <w:pStyle w:val="72"/>
              <w:rPr>
                <w:rFonts w:hint="eastAsia" w:eastAsia="仿宋"/>
                <w:lang w:eastAsia="zh-CN"/>
              </w:rPr>
            </w:pPr>
            <w:r>
              <w:rPr>
                <w:rFonts w:hint="eastAsia" w:ascii="仿宋" w:hAnsi="仿宋"/>
              </w:rPr>
              <w:t>0.62</w:t>
            </w:r>
          </w:p>
        </w:tc>
        <w:tc>
          <w:tcPr>
            <w:tcW w:w="782" w:type="pct"/>
            <w:tcBorders>
              <w:top w:val="nil"/>
              <w:left w:val="nil"/>
              <w:bottom w:val="single" w:color="auto" w:sz="4" w:space="0"/>
              <w:right w:val="single" w:color="auto" w:sz="4" w:space="0"/>
            </w:tcBorders>
            <w:vAlign w:val="center"/>
          </w:tcPr>
          <w:p w14:paraId="3AB21AF4">
            <w:pPr>
              <w:pStyle w:val="72"/>
              <w:rPr>
                <w:rFonts w:hint="eastAsia" w:eastAsia="仿宋"/>
                <w:lang w:eastAsia="zh-CN"/>
              </w:rPr>
            </w:pPr>
            <w:r>
              <w:rPr>
                <w:rFonts w:hint="eastAsia" w:ascii="仿宋" w:hAnsi="仿宋"/>
              </w:rPr>
              <w:t>537.28</w:t>
            </w:r>
          </w:p>
        </w:tc>
        <w:tc>
          <w:tcPr>
            <w:tcW w:w="793" w:type="pct"/>
            <w:tcBorders>
              <w:top w:val="nil"/>
              <w:left w:val="nil"/>
              <w:bottom w:val="single" w:color="auto" w:sz="4" w:space="0"/>
              <w:right w:val="single" w:color="auto" w:sz="4" w:space="0"/>
            </w:tcBorders>
            <w:vAlign w:val="center"/>
          </w:tcPr>
          <w:p w14:paraId="5DC0C566">
            <w:pPr>
              <w:pStyle w:val="72"/>
              <w:rPr>
                <w:rFonts w:hint="eastAsia" w:eastAsia="仿宋"/>
                <w:lang w:eastAsia="zh-CN"/>
              </w:rPr>
            </w:pPr>
            <w:r>
              <w:rPr>
                <w:rFonts w:hint="eastAsia" w:ascii="仿宋" w:hAnsi="仿宋"/>
              </w:rPr>
              <w:t>333.12</w:t>
            </w:r>
          </w:p>
        </w:tc>
      </w:tr>
      <w:tr w14:paraId="5A5BBC0D">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0F161221">
            <w:pPr>
              <w:pStyle w:val="72"/>
              <w:rPr>
                <w:rFonts w:hint="eastAsia"/>
              </w:rPr>
            </w:pPr>
            <w:r>
              <w:t>　</w:t>
            </w:r>
          </w:p>
        </w:tc>
        <w:tc>
          <w:tcPr>
            <w:tcW w:w="1132" w:type="pct"/>
            <w:tcBorders>
              <w:top w:val="nil"/>
              <w:left w:val="nil"/>
              <w:bottom w:val="single" w:color="auto" w:sz="4" w:space="0"/>
              <w:right w:val="single" w:color="auto" w:sz="4" w:space="0"/>
            </w:tcBorders>
            <w:vAlign w:val="center"/>
          </w:tcPr>
          <w:p w14:paraId="5CC2238D">
            <w:pPr>
              <w:pStyle w:val="72"/>
              <w:rPr>
                <w:rFonts w:hint="eastAsia"/>
              </w:rPr>
            </w:pPr>
            <w:r>
              <w:t>其他费用</w:t>
            </w:r>
          </w:p>
        </w:tc>
        <w:tc>
          <w:tcPr>
            <w:tcW w:w="802" w:type="pct"/>
            <w:tcBorders>
              <w:top w:val="nil"/>
              <w:left w:val="nil"/>
              <w:bottom w:val="single" w:color="auto" w:sz="4" w:space="0"/>
              <w:right w:val="single" w:color="auto" w:sz="4" w:space="0"/>
            </w:tcBorders>
            <w:vAlign w:val="center"/>
          </w:tcPr>
          <w:p w14:paraId="1EDAAE78">
            <w:pPr>
              <w:pStyle w:val="72"/>
              <w:rPr>
                <w:rFonts w:hint="eastAsia"/>
              </w:rPr>
            </w:pPr>
            <w:r>
              <w:t>%</w:t>
            </w:r>
          </w:p>
        </w:tc>
        <w:tc>
          <w:tcPr>
            <w:tcW w:w="782" w:type="pct"/>
            <w:tcBorders>
              <w:top w:val="nil"/>
              <w:left w:val="nil"/>
              <w:bottom w:val="single" w:color="auto" w:sz="4" w:space="0"/>
              <w:right w:val="single" w:color="auto" w:sz="4" w:space="0"/>
            </w:tcBorders>
            <w:vAlign w:val="center"/>
          </w:tcPr>
          <w:p w14:paraId="4663E7B1">
            <w:pPr>
              <w:pStyle w:val="72"/>
              <w:rPr>
                <w:rFonts w:hint="eastAsia" w:eastAsia="仿宋"/>
                <w:lang w:eastAsia="zh-CN"/>
              </w:rPr>
            </w:pPr>
            <w:r>
              <w:rPr>
                <w:rFonts w:hint="eastAsia" w:ascii="仿宋" w:hAnsi="仿宋"/>
              </w:rPr>
              <w:t>10.90</w:t>
            </w:r>
          </w:p>
        </w:tc>
        <w:tc>
          <w:tcPr>
            <w:tcW w:w="782" w:type="pct"/>
            <w:tcBorders>
              <w:top w:val="nil"/>
              <w:left w:val="nil"/>
              <w:bottom w:val="single" w:color="auto" w:sz="4" w:space="0"/>
              <w:right w:val="single" w:color="auto" w:sz="4" w:space="0"/>
            </w:tcBorders>
            <w:vAlign w:val="center"/>
          </w:tcPr>
          <w:p w14:paraId="01BC50B0">
            <w:pPr>
              <w:pStyle w:val="72"/>
              <w:rPr>
                <w:rFonts w:hint="eastAsia" w:eastAsia="仿宋"/>
                <w:lang w:eastAsia="zh-CN"/>
              </w:rPr>
            </w:pPr>
            <w:r>
              <w:rPr>
                <w:rFonts w:hint="eastAsia" w:ascii="仿宋" w:hAnsi="仿宋"/>
              </w:rPr>
              <w:t>333.12</w:t>
            </w:r>
          </w:p>
        </w:tc>
        <w:tc>
          <w:tcPr>
            <w:tcW w:w="793" w:type="pct"/>
            <w:tcBorders>
              <w:top w:val="nil"/>
              <w:left w:val="nil"/>
              <w:bottom w:val="single" w:color="auto" w:sz="4" w:space="0"/>
              <w:right w:val="single" w:color="auto" w:sz="4" w:space="0"/>
            </w:tcBorders>
            <w:vAlign w:val="center"/>
          </w:tcPr>
          <w:p w14:paraId="30702C2E">
            <w:pPr>
              <w:pStyle w:val="72"/>
              <w:rPr>
                <w:rFonts w:hint="eastAsia" w:eastAsia="仿宋"/>
                <w:lang w:eastAsia="zh-CN"/>
              </w:rPr>
            </w:pPr>
            <w:r>
              <w:rPr>
                <w:rFonts w:hint="eastAsia" w:ascii="仿宋" w:hAnsi="仿宋"/>
              </w:rPr>
              <w:t>36.31</w:t>
            </w:r>
          </w:p>
        </w:tc>
      </w:tr>
      <w:tr w14:paraId="64A3EFDA">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0C4A1950">
            <w:pPr>
              <w:pStyle w:val="72"/>
              <w:rPr>
                <w:rFonts w:hint="eastAsia"/>
                <w:b/>
              </w:rPr>
            </w:pPr>
            <w:r>
              <w:rPr>
                <w:b/>
              </w:rPr>
              <w:t>（二）</w:t>
            </w:r>
          </w:p>
        </w:tc>
        <w:tc>
          <w:tcPr>
            <w:tcW w:w="1132" w:type="pct"/>
            <w:tcBorders>
              <w:top w:val="nil"/>
              <w:left w:val="nil"/>
              <w:bottom w:val="single" w:color="auto" w:sz="4" w:space="0"/>
              <w:right w:val="single" w:color="auto" w:sz="4" w:space="0"/>
            </w:tcBorders>
            <w:vAlign w:val="center"/>
          </w:tcPr>
          <w:p w14:paraId="11B9DCB2">
            <w:pPr>
              <w:pStyle w:val="72"/>
              <w:rPr>
                <w:rFonts w:hint="eastAsia"/>
                <w:b/>
              </w:rPr>
            </w:pPr>
            <w:r>
              <w:rPr>
                <w:b/>
              </w:rPr>
              <w:t>措施费</w:t>
            </w:r>
          </w:p>
        </w:tc>
        <w:tc>
          <w:tcPr>
            <w:tcW w:w="802" w:type="pct"/>
            <w:tcBorders>
              <w:top w:val="nil"/>
              <w:left w:val="nil"/>
              <w:bottom w:val="single" w:color="auto" w:sz="4" w:space="0"/>
              <w:right w:val="single" w:color="auto" w:sz="4" w:space="0"/>
            </w:tcBorders>
            <w:vAlign w:val="center"/>
          </w:tcPr>
          <w:p w14:paraId="225448D8">
            <w:pPr>
              <w:pStyle w:val="72"/>
              <w:rPr>
                <w:rFonts w:hint="eastAsia"/>
                <w:b/>
              </w:rPr>
            </w:pPr>
            <w:r>
              <w:rPr>
                <w:b/>
              </w:rPr>
              <w:t>%</w:t>
            </w:r>
          </w:p>
        </w:tc>
        <w:tc>
          <w:tcPr>
            <w:tcW w:w="782" w:type="pct"/>
            <w:tcBorders>
              <w:top w:val="nil"/>
              <w:left w:val="nil"/>
              <w:bottom w:val="single" w:color="auto" w:sz="4" w:space="0"/>
              <w:right w:val="single" w:color="auto" w:sz="4" w:space="0"/>
            </w:tcBorders>
            <w:vAlign w:val="center"/>
          </w:tcPr>
          <w:p w14:paraId="167B5871">
            <w:pPr>
              <w:pStyle w:val="72"/>
              <w:rPr>
                <w:rFonts w:hint="eastAsia" w:eastAsia="仿宋"/>
                <w:b/>
                <w:lang w:eastAsia="zh-CN"/>
              </w:rPr>
            </w:pPr>
            <w:r>
              <w:rPr>
                <w:rFonts w:hint="eastAsia" w:ascii="仿宋" w:hAnsi="仿宋"/>
                <w:b/>
              </w:rPr>
              <w:t>3.80</w:t>
            </w:r>
          </w:p>
        </w:tc>
        <w:tc>
          <w:tcPr>
            <w:tcW w:w="782" w:type="pct"/>
            <w:tcBorders>
              <w:top w:val="nil"/>
              <w:left w:val="nil"/>
              <w:bottom w:val="single" w:color="auto" w:sz="4" w:space="0"/>
              <w:right w:val="single" w:color="auto" w:sz="4" w:space="0"/>
            </w:tcBorders>
            <w:vAlign w:val="center"/>
          </w:tcPr>
          <w:p w14:paraId="14FCB5F4">
            <w:pPr>
              <w:pStyle w:val="72"/>
              <w:rPr>
                <w:rFonts w:hint="eastAsia" w:eastAsia="仿宋"/>
                <w:b/>
                <w:lang w:eastAsia="zh-CN"/>
              </w:rPr>
            </w:pPr>
            <w:r>
              <w:rPr>
                <w:rFonts w:hint="eastAsia" w:ascii="仿宋" w:hAnsi="仿宋"/>
                <w:b/>
              </w:rPr>
              <w:t>431.08</w:t>
            </w:r>
          </w:p>
        </w:tc>
        <w:tc>
          <w:tcPr>
            <w:tcW w:w="793" w:type="pct"/>
            <w:tcBorders>
              <w:top w:val="nil"/>
              <w:left w:val="nil"/>
              <w:bottom w:val="single" w:color="auto" w:sz="4" w:space="0"/>
              <w:right w:val="single" w:color="auto" w:sz="4" w:space="0"/>
            </w:tcBorders>
            <w:vAlign w:val="center"/>
          </w:tcPr>
          <w:p w14:paraId="3DDD0F62">
            <w:pPr>
              <w:pStyle w:val="72"/>
              <w:rPr>
                <w:rFonts w:hint="eastAsia" w:eastAsia="仿宋"/>
                <w:b/>
                <w:lang w:eastAsia="zh-CN"/>
              </w:rPr>
            </w:pPr>
            <w:r>
              <w:rPr>
                <w:rFonts w:hint="eastAsia" w:ascii="仿宋" w:hAnsi="仿宋"/>
                <w:b/>
              </w:rPr>
              <w:t>16.38</w:t>
            </w:r>
          </w:p>
        </w:tc>
      </w:tr>
      <w:tr w14:paraId="3EBD6D87">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00356274">
            <w:pPr>
              <w:pStyle w:val="72"/>
              <w:rPr>
                <w:rFonts w:hint="eastAsia"/>
                <w:b/>
              </w:rPr>
            </w:pPr>
            <w:r>
              <w:rPr>
                <w:b/>
              </w:rPr>
              <w:t>二</w:t>
            </w:r>
          </w:p>
        </w:tc>
        <w:tc>
          <w:tcPr>
            <w:tcW w:w="1132" w:type="pct"/>
            <w:tcBorders>
              <w:top w:val="nil"/>
              <w:left w:val="nil"/>
              <w:bottom w:val="single" w:color="auto" w:sz="4" w:space="0"/>
              <w:right w:val="single" w:color="auto" w:sz="4" w:space="0"/>
            </w:tcBorders>
            <w:vAlign w:val="center"/>
          </w:tcPr>
          <w:p w14:paraId="1B0EB0F8">
            <w:pPr>
              <w:pStyle w:val="72"/>
              <w:rPr>
                <w:rFonts w:hint="eastAsia"/>
                <w:b/>
              </w:rPr>
            </w:pPr>
            <w:r>
              <w:rPr>
                <w:b/>
              </w:rPr>
              <w:t>间接费</w:t>
            </w:r>
          </w:p>
        </w:tc>
        <w:tc>
          <w:tcPr>
            <w:tcW w:w="802" w:type="pct"/>
            <w:tcBorders>
              <w:top w:val="nil"/>
              <w:left w:val="nil"/>
              <w:bottom w:val="single" w:color="auto" w:sz="4" w:space="0"/>
              <w:right w:val="single" w:color="auto" w:sz="4" w:space="0"/>
            </w:tcBorders>
            <w:vAlign w:val="center"/>
          </w:tcPr>
          <w:p w14:paraId="1DA7CFBF">
            <w:pPr>
              <w:pStyle w:val="72"/>
              <w:rPr>
                <w:rFonts w:hint="eastAsia"/>
                <w:b/>
              </w:rPr>
            </w:pPr>
            <w:r>
              <w:rPr>
                <w:b/>
              </w:rPr>
              <w:t>%</w:t>
            </w:r>
          </w:p>
        </w:tc>
        <w:tc>
          <w:tcPr>
            <w:tcW w:w="782" w:type="pct"/>
            <w:tcBorders>
              <w:top w:val="nil"/>
              <w:left w:val="nil"/>
              <w:bottom w:val="single" w:color="auto" w:sz="4" w:space="0"/>
              <w:right w:val="single" w:color="auto" w:sz="4" w:space="0"/>
            </w:tcBorders>
            <w:vAlign w:val="center"/>
          </w:tcPr>
          <w:p w14:paraId="49D99659">
            <w:pPr>
              <w:pStyle w:val="72"/>
              <w:rPr>
                <w:rFonts w:hint="eastAsia" w:eastAsia="仿宋"/>
                <w:b/>
                <w:lang w:eastAsia="zh-CN"/>
              </w:rPr>
            </w:pPr>
            <w:r>
              <w:rPr>
                <w:rFonts w:hint="eastAsia" w:ascii="仿宋" w:hAnsi="仿宋"/>
                <w:b/>
              </w:rPr>
              <w:t>7.20</w:t>
            </w:r>
          </w:p>
        </w:tc>
        <w:tc>
          <w:tcPr>
            <w:tcW w:w="782" w:type="pct"/>
            <w:tcBorders>
              <w:top w:val="nil"/>
              <w:left w:val="nil"/>
              <w:bottom w:val="single" w:color="auto" w:sz="4" w:space="0"/>
              <w:right w:val="single" w:color="auto" w:sz="4" w:space="0"/>
            </w:tcBorders>
            <w:vAlign w:val="center"/>
          </w:tcPr>
          <w:p w14:paraId="3B69A482">
            <w:pPr>
              <w:pStyle w:val="72"/>
              <w:rPr>
                <w:rFonts w:hint="eastAsia" w:eastAsia="仿宋"/>
                <w:b/>
                <w:lang w:eastAsia="zh-CN"/>
              </w:rPr>
            </w:pPr>
            <w:r>
              <w:rPr>
                <w:rFonts w:hint="eastAsia" w:ascii="仿宋" w:hAnsi="仿宋"/>
                <w:b/>
              </w:rPr>
              <w:t>447.46</w:t>
            </w:r>
          </w:p>
        </w:tc>
        <w:tc>
          <w:tcPr>
            <w:tcW w:w="793" w:type="pct"/>
            <w:tcBorders>
              <w:top w:val="nil"/>
              <w:left w:val="nil"/>
              <w:bottom w:val="single" w:color="auto" w:sz="4" w:space="0"/>
              <w:right w:val="single" w:color="auto" w:sz="4" w:space="0"/>
            </w:tcBorders>
            <w:vAlign w:val="center"/>
          </w:tcPr>
          <w:p w14:paraId="5ED8D056">
            <w:pPr>
              <w:pStyle w:val="72"/>
              <w:rPr>
                <w:rFonts w:hint="eastAsia" w:eastAsia="仿宋"/>
                <w:b/>
                <w:lang w:eastAsia="zh-CN"/>
              </w:rPr>
            </w:pPr>
            <w:r>
              <w:rPr>
                <w:rFonts w:hint="eastAsia" w:ascii="仿宋" w:hAnsi="仿宋"/>
                <w:b/>
              </w:rPr>
              <w:t>32.22</w:t>
            </w:r>
          </w:p>
        </w:tc>
      </w:tr>
      <w:tr w14:paraId="474476D5">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041F984E">
            <w:pPr>
              <w:pStyle w:val="72"/>
              <w:rPr>
                <w:rFonts w:hint="eastAsia"/>
                <w:b/>
              </w:rPr>
            </w:pPr>
            <w:r>
              <w:rPr>
                <w:b/>
              </w:rPr>
              <w:t>三</w:t>
            </w:r>
          </w:p>
        </w:tc>
        <w:tc>
          <w:tcPr>
            <w:tcW w:w="1132" w:type="pct"/>
            <w:tcBorders>
              <w:top w:val="nil"/>
              <w:left w:val="nil"/>
              <w:bottom w:val="single" w:color="auto" w:sz="4" w:space="0"/>
              <w:right w:val="single" w:color="auto" w:sz="4" w:space="0"/>
            </w:tcBorders>
            <w:vAlign w:val="center"/>
          </w:tcPr>
          <w:p w14:paraId="4B22AE05">
            <w:pPr>
              <w:pStyle w:val="72"/>
              <w:rPr>
                <w:rFonts w:hint="eastAsia"/>
                <w:b/>
              </w:rPr>
            </w:pPr>
            <w:r>
              <w:rPr>
                <w:b/>
              </w:rPr>
              <w:t>利润</w:t>
            </w:r>
          </w:p>
        </w:tc>
        <w:tc>
          <w:tcPr>
            <w:tcW w:w="802" w:type="pct"/>
            <w:tcBorders>
              <w:top w:val="nil"/>
              <w:left w:val="nil"/>
              <w:bottom w:val="single" w:color="auto" w:sz="4" w:space="0"/>
              <w:right w:val="single" w:color="auto" w:sz="4" w:space="0"/>
            </w:tcBorders>
            <w:vAlign w:val="center"/>
          </w:tcPr>
          <w:p w14:paraId="0C7ACCD0">
            <w:pPr>
              <w:pStyle w:val="72"/>
              <w:rPr>
                <w:rFonts w:hint="eastAsia"/>
                <w:b/>
              </w:rPr>
            </w:pPr>
            <w:r>
              <w:rPr>
                <w:b/>
              </w:rPr>
              <w:t>%</w:t>
            </w:r>
          </w:p>
        </w:tc>
        <w:tc>
          <w:tcPr>
            <w:tcW w:w="782" w:type="pct"/>
            <w:tcBorders>
              <w:top w:val="nil"/>
              <w:left w:val="nil"/>
              <w:bottom w:val="single" w:color="auto" w:sz="4" w:space="0"/>
              <w:right w:val="single" w:color="auto" w:sz="4" w:space="0"/>
            </w:tcBorders>
            <w:vAlign w:val="center"/>
          </w:tcPr>
          <w:p w14:paraId="5E0FF69E">
            <w:pPr>
              <w:pStyle w:val="72"/>
              <w:rPr>
                <w:rFonts w:hint="eastAsia" w:eastAsia="仿宋"/>
                <w:b/>
                <w:lang w:eastAsia="zh-CN"/>
              </w:rPr>
            </w:pPr>
            <w:r>
              <w:rPr>
                <w:rFonts w:hint="eastAsia" w:ascii="仿宋" w:hAnsi="仿宋"/>
                <w:b/>
              </w:rPr>
              <w:t>3.00</w:t>
            </w:r>
          </w:p>
        </w:tc>
        <w:tc>
          <w:tcPr>
            <w:tcW w:w="782" w:type="pct"/>
            <w:tcBorders>
              <w:top w:val="nil"/>
              <w:left w:val="nil"/>
              <w:bottom w:val="single" w:color="auto" w:sz="4" w:space="0"/>
              <w:right w:val="single" w:color="auto" w:sz="4" w:space="0"/>
            </w:tcBorders>
            <w:vAlign w:val="center"/>
          </w:tcPr>
          <w:p w14:paraId="2574E7F0">
            <w:pPr>
              <w:pStyle w:val="72"/>
              <w:rPr>
                <w:rFonts w:hint="eastAsia" w:eastAsia="仿宋"/>
                <w:b/>
                <w:lang w:eastAsia="zh-CN"/>
              </w:rPr>
            </w:pPr>
            <w:r>
              <w:rPr>
                <w:rFonts w:hint="eastAsia" w:ascii="仿宋" w:hAnsi="仿宋"/>
                <w:b/>
              </w:rPr>
              <w:t>479.68</w:t>
            </w:r>
          </w:p>
        </w:tc>
        <w:tc>
          <w:tcPr>
            <w:tcW w:w="793" w:type="pct"/>
            <w:tcBorders>
              <w:top w:val="nil"/>
              <w:left w:val="nil"/>
              <w:bottom w:val="single" w:color="auto" w:sz="4" w:space="0"/>
              <w:right w:val="single" w:color="auto" w:sz="4" w:space="0"/>
            </w:tcBorders>
            <w:vAlign w:val="center"/>
          </w:tcPr>
          <w:p w14:paraId="10F2A22E">
            <w:pPr>
              <w:pStyle w:val="72"/>
              <w:rPr>
                <w:rFonts w:hint="eastAsia" w:eastAsia="仿宋"/>
                <w:b/>
                <w:lang w:eastAsia="zh-CN"/>
              </w:rPr>
            </w:pPr>
            <w:r>
              <w:rPr>
                <w:rFonts w:hint="eastAsia" w:ascii="仿宋" w:hAnsi="仿宋"/>
                <w:b/>
              </w:rPr>
              <w:t>14.39</w:t>
            </w:r>
          </w:p>
        </w:tc>
      </w:tr>
      <w:tr w14:paraId="47963CA7">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288FA518">
            <w:pPr>
              <w:pStyle w:val="72"/>
              <w:rPr>
                <w:rFonts w:hint="eastAsia"/>
                <w:b/>
              </w:rPr>
            </w:pPr>
            <w:r>
              <w:rPr>
                <w:b/>
              </w:rPr>
              <w:t>四</w:t>
            </w:r>
          </w:p>
        </w:tc>
        <w:tc>
          <w:tcPr>
            <w:tcW w:w="1132" w:type="pct"/>
            <w:tcBorders>
              <w:top w:val="nil"/>
              <w:left w:val="nil"/>
              <w:bottom w:val="single" w:color="auto" w:sz="4" w:space="0"/>
              <w:right w:val="single" w:color="auto" w:sz="4" w:space="0"/>
            </w:tcBorders>
            <w:vAlign w:val="center"/>
          </w:tcPr>
          <w:p w14:paraId="29BD49C9">
            <w:pPr>
              <w:pStyle w:val="72"/>
              <w:rPr>
                <w:rFonts w:hint="eastAsia"/>
                <w:b/>
              </w:rPr>
            </w:pPr>
            <w:r>
              <w:rPr>
                <w:b/>
              </w:rPr>
              <w:t>材料价差</w:t>
            </w:r>
          </w:p>
        </w:tc>
        <w:tc>
          <w:tcPr>
            <w:tcW w:w="802" w:type="pct"/>
            <w:tcBorders>
              <w:top w:val="nil"/>
              <w:left w:val="nil"/>
              <w:bottom w:val="single" w:color="auto" w:sz="4" w:space="0"/>
              <w:right w:val="single" w:color="auto" w:sz="4" w:space="0"/>
            </w:tcBorders>
            <w:vAlign w:val="center"/>
          </w:tcPr>
          <w:p w14:paraId="5DC4631C">
            <w:pPr>
              <w:pStyle w:val="72"/>
              <w:rPr>
                <w:rFonts w:hint="eastAsia"/>
                <w:b/>
              </w:rPr>
            </w:pPr>
            <w:r>
              <w:rPr>
                <w:b/>
              </w:rPr>
              <w:t>　</w:t>
            </w:r>
          </w:p>
        </w:tc>
        <w:tc>
          <w:tcPr>
            <w:tcW w:w="782" w:type="pct"/>
            <w:tcBorders>
              <w:top w:val="nil"/>
              <w:left w:val="nil"/>
              <w:bottom w:val="single" w:color="auto" w:sz="4" w:space="0"/>
              <w:right w:val="single" w:color="auto" w:sz="4" w:space="0"/>
            </w:tcBorders>
            <w:vAlign w:val="center"/>
          </w:tcPr>
          <w:p w14:paraId="521B00C3">
            <w:pPr>
              <w:pStyle w:val="72"/>
              <w:rPr>
                <w:rFonts w:hint="eastAsia"/>
                <w:b/>
              </w:rPr>
            </w:pPr>
            <w:r>
              <w:rPr>
                <w:rFonts w:hint="eastAsia" w:ascii="仿宋" w:hAnsi="仿宋"/>
                <w:b/>
              </w:rPr>
              <w:t>　</w:t>
            </w:r>
          </w:p>
        </w:tc>
        <w:tc>
          <w:tcPr>
            <w:tcW w:w="782" w:type="pct"/>
            <w:tcBorders>
              <w:top w:val="nil"/>
              <w:left w:val="nil"/>
              <w:bottom w:val="single" w:color="auto" w:sz="4" w:space="0"/>
              <w:right w:val="single" w:color="auto" w:sz="4" w:space="0"/>
            </w:tcBorders>
            <w:vAlign w:val="center"/>
          </w:tcPr>
          <w:p w14:paraId="70F91FA4">
            <w:pPr>
              <w:pStyle w:val="72"/>
              <w:rPr>
                <w:rFonts w:hint="eastAsia"/>
                <w:b/>
              </w:rPr>
            </w:pPr>
            <w:r>
              <w:rPr>
                <w:rFonts w:hint="eastAsia" w:ascii="仿宋" w:hAnsi="仿宋"/>
                <w:b/>
              </w:rPr>
              <w:t>　</w:t>
            </w:r>
          </w:p>
        </w:tc>
        <w:tc>
          <w:tcPr>
            <w:tcW w:w="793" w:type="pct"/>
            <w:tcBorders>
              <w:top w:val="nil"/>
              <w:left w:val="nil"/>
              <w:bottom w:val="single" w:color="auto" w:sz="4" w:space="0"/>
              <w:right w:val="single" w:color="auto" w:sz="4" w:space="0"/>
            </w:tcBorders>
            <w:vAlign w:val="center"/>
          </w:tcPr>
          <w:p w14:paraId="203FB883">
            <w:pPr>
              <w:pStyle w:val="72"/>
              <w:rPr>
                <w:rFonts w:hint="eastAsia" w:eastAsia="仿宋"/>
                <w:b/>
                <w:lang w:eastAsia="zh-CN"/>
              </w:rPr>
            </w:pPr>
            <w:r>
              <w:rPr>
                <w:rFonts w:hint="eastAsia" w:ascii="仿宋" w:hAnsi="仿宋"/>
                <w:b/>
              </w:rPr>
              <w:t>90.27</w:t>
            </w:r>
          </w:p>
        </w:tc>
      </w:tr>
      <w:tr w14:paraId="4F669ECE">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69A19BF2">
            <w:pPr>
              <w:pStyle w:val="72"/>
              <w:rPr>
                <w:rFonts w:hint="eastAsia"/>
                <w:b/>
              </w:rPr>
            </w:pPr>
            <w:r>
              <w:rPr>
                <w:b/>
              </w:rPr>
              <w:t>　</w:t>
            </w:r>
          </w:p>
        </w:tc>
        <w:tc>
          <w:tcPr>
            <w:tcW w:w="1132" w:type="pct"/>
            <w:tcBorders>
              <w:top w:val="nil"/>
              <w:left w:val="nil"/>
              <w:bottom w:val="single" w:color="auto" w:sz="4" w:space="0"/>
              <w:right w:val="single" w:color="auto" w:sz="4" w:space="0"/>
            </w:tcBorders>
            <w:vAlign w:val="center"/>
          </w:tcPr>
          <w:p w14:paraId="77E8857A">
            <w:pPr>
              <w:pStyle w:val="72"/>
              <w:rPr>
                <w:rFonts w:hint="eastAsia"/>
              </w:rPr>
            </w:pPr>
            <w:r>
              <w:t>柴油</w:t>
            </w:r>
          </w:p>
        </w:tc>
        <w:tc>
          <w:tcPr>
            <w:tcW w:w="802" w:type="pct"/>
            <w:tcBorders>
              <w:top w:val="nil"/>
              <w:left w:val="nil"/>
              <w:bottom w:val="single" w:color="auto" w:sz="4" w:space="0"/>
              <w:right w:val="single" w:color="auto" w:sz="4" w:space="0"/>
            </w:tcBorders>
            <w:vAlign w:val="center"/>
          </w:tcPr>
          <w:p w14:paraId="2E558F1C">
            <w:pPr>
              <w:pStyle w:val="72"/>
              <w:rPr>
                <w:rFonts w:hint="eastAsia"/>
              </w:rPr>
            </w:pPr>
            <w:r>
              <w:t>kg</w:t>
            </w:r>
          </w:p>
        </w:tc>
        <w:tc>
          <w:tcPr>
            <w:tcW w:w="782" w:type="pct"/>
            <w:tcBorders>
              <w:top w:val="nil"/>
              <w:left w:val="nil"/>
              <w:bottom w:val="single" w:color="auto" w:sz="4" w:space="0"/>
              <w:right w:val="single" w:color="auto" w:sz="4" w:space="0"/>
            </w:tcBorders>
            <w:vAlign w:val="center"/>
          </w:tcPr>
          <w:p w14:paraId="235FED54">
            <w:pPr>
              <w:pStyle w:val="72"/>
              <w:rPr>
                <w:rFonts w:hint="eastAsia" w:eastAsia="仿宋"/>
                <w:lang w:eastAsia="zh-CN"/>
              </w:rPr>
            </w:pPr>
            <w:r>
              <w:rPr>
                <w:rFonts w:hint="eastAsia" w:ascii="仿宋" w:hAnsi="仿宋"/>
              </w:rPr>
              <w:t>24.80</w:t>
            </w:r>
          </w:p>
        </w:tc>
        <w:tc>
          <w:tcPr>
            <w:tcW w:w="782" w:type="pct"/>
            <w:tcBorders>
              <w:top w:val="nil"/>
              <w:left w:val="nil"/>
              <w:bottom w:val="single" w:color="auto" w:sz="4" w:space="0"/>
              <w:right w:val="single" w:color="auto" w:sz="4" w:space="0"/>
            </w:tcBorders>
            <w:vAlign w:val="center"/>
          </w:tcPr>
          <w:p w14:paraId="32208649">
            <w:pPr>
              <w:pStyle w:val="72"/>
              <w:rPr>
                <w:rFonts w:hint="eastAsia" w:eastAsia="仿宋"/>
                <w:lang w:eastAsia="zh-CN"/>
              </w:rPr>
            </w:pPr>
            <w:r>
              <w:rPr>
                <w:rFonts w:hint="eastAsia" w:ascii="仿宋" w:hAnsi="仿宋"/>
              </w:rPr>
              <w:t>3.64</w:t>
            </w:r>
          </w:p>
        </w:tc>
        <w:tc>
          <w:tcPr>
            <w:tcW w:w="793" w:type="pct"/>
            <w:tcBorders>
              <w:top w:val="nil"/>
              <w:left w:val="nil"/>
              <w:bottom w:val="single" w:color="auto" w:sz="4" w:space="0"/>
              <w:right w:val="single" w:color="auto" w:sz="4" w:space="0"/>
            </w:tcBorders>
            <w:vAlign w:val="center"/>
          </w:tcPr>
          <w:p w14:paraId="24CC5F09">
            <w:pPr>
              <w:pStyle w:val="72"/>
              <w:rPr>
                <w:rFonts w:hint="eastAsia" w:eastAsia="仿宋"/>
                <w:lang w:eastAsia="zh-CN"/>
              </w:rPr>
            </w:pPr>
            <w:r>
              <w:rPr>
                <w:rFonts w:hint="eastAsia" w:ascii="仿宋" w:hAnsi="仿宋"/>
              </w:rPr>
              <w:t>90.27</w:t>
            </w:r>
          </w:p>
        </w:tc>
      </w:tr>
      <w:tr w14:paraId="6CD0FED1">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2EE72A11">
            <w:pPr>
              <w:pStyle w:val="72"/>
              <w:rPr>
                <w:rFonts w:hint="eastAsia"/>
                <w:b/>
              </w:rPr>
            </w:pPr>
            <w:r>
              <w:rPr>
                <w:b/>
              </w:rPr>
              <w:t>五</w:t>
            </w:r>
          </w:p>
        </w:tc>
        <w:tc>
          <w:tcPr>
            <w:tcW w:w="1132" w:type="pct"/>
            <w:tcBorders>
              <w:top w:val="nil"/>
              <w:left w:val="nil"/>
              <w:bottom w:val="single" w:color="auto" w:sz="4" w:space="0"/>
              <w:right w:val="single" w:color="auto" w:sz="4" w:space="0"/>
            </w:tcBorders>
            <w:vAlign w:val="center"/>
          </w:tcPr>
          <w:p w14:paraId="754590DC">
            <w:pPr>
              <w:pStyle w:val="72"/>
              <w:rPr>
                <w:rFonts w:hint="eastAsia"/>
                <w:b/>
              </w:rPr>
            </w:pPr>
            <w:r>
              <w:rPr>
                <w:b/>
              </w:rPr>
              <w:t>税金</w:t>
            </w:r>
          </w:p>
        </w:tc>
        <w:tc>
          <w:tcPr>
            <w:tcW w:w="802" w:type="pct"/>
            <w:tcBorders>
              <w:top w:val="nil"/>
              <w:left w:val="nil"/>
              <w:bottom w:val="single" w:color="auto" w:sz="4" w:space="0"/>
              <w:right w:val="single" w:color="auto" w:sz="4" w:space="0"/>
            </w:tcBorders>
            <w:vAlign w:val="center"/>
          </w:tcPr>
          <w:p w14:paraId="08D33B17">
            <w:pPr>
              <w:pStyle w:val="72"/>
              <w:rPr>
                <w:rFonts w:hint="eastAsia"/>
                <w:b/>
              </w:rPr>
            </w:pPr>
            <w:r>
              <w:rPr>
                <w:b/>
              </w:rPr>
              <w:t>%</w:t>
            </w:r>
          </w:p>
        </w:tc>
        <w:tc>
          <w:tcPr>
            <w:tcW w:w="782" w:type="pct"/>
            <w:tcBorders>
              <w:top w:val="nil"/>
              <w:left w:val="nil"/>
              <w:bottom w:val="single" w:color="auto" w:sz="4" w:space="0"/>
              <w:right w:val="single" w:color="auto" w:sz="4" w:space="0"/>
            </w:tcBorders>
            <w:vAlign w:val="center"/>
          </w:tcPr>
          <w:p w14:paraId="2A8E9BE0">
            <w:pPr>
              <w:pStyle w:val="72"/>
              <w:rPr>
                <w:rFonts w:hint="eastAsia" w:eastAsia="仿宋"/>
                <w:b/>
                <w:lang w:eastAsia="zh-CN"/>
              </w:rPr>
            </w:pPr>
            <w:r>
              <w:rPr>
                <w:rFonts w:hint="eastAsia" w:ascii="仿宋" w:hAnsi="仿宋"/>
                <w:b/>
              </w:rPr>
              <w:t>9.00</w:t>
            </w:r>
          </w:p>
        </w:tc>
        <w:tc>
          <w:tcPr>
            <w:tcW w:w="782" w:type="pct"/>
            <w:tcBorders>
              <w:top w:val="nil"/>
              <w:left w:val="nil"/>
              <w:bottom w:val="single" w:color="auto" w:sz="4" w:space="0"/>
              <w:right w:val="single" w:color="auto" w:sz="4" w:space="0"/>
            </w:tcBorders>
            <w:vAlign w:val="center"/>
          </w:tcPr>
          <w:p w14:paraId="3BFEB4E5">
            <w:pPr>
              <w:pStyle w:val="72"/>
              <w:rPr>
                <w:rFonts w:hint="eastAsia" w:eastAsia="仿宋"/>
                <w:b/>
                <w:lang w:eastAsia="zh-CN"/>
              </w:rPr>
            </w:pPr>
            <w:r>
              <w:rPr>
                <w:rFonts w:hint="eastAsia" w:ascii="仿宋" w:hAnsi="仿宋"/>
                <w:b/>
              </w:rPr>
              <w:t>584.34</w:t>
            </w:r>
          </w:p>
        </w:tc>
        <w:tc>
          <w:tcPr>
            <w:tcW w:w="793" w:type="pct"/>
            <w:tcBorders>
              <w:top w:val="nil"/>
              <w:left w:val="nil"/>
              <w:bottom w:val="single" w:color="auto" w:sz="4" w:space="0"/>
              <w:right w:val="single" w:color="auto" w:sz="4" w:space="0"/>
            </w:tcBorders>
            <w:vAlign w:val="center"/>
          </w:tcPr>
          <w:p w14:paraId="356E8AD6">
            <w:pPr>
              <w:pStyle w:val="72"/>
              <w:rPr>
                <w:rFonts w:hint="eastAsia" w:eastAsia="仿宋"/>
                <w:b/>
                <w:lang w:eastAsia="zh-CN"/>
              </w:rPr>
            </w:pPr>
            <w:r>
              <w:rPr>
                <w:rFonts w:hint="eastAsia" w:ascii="仿宋" w:hAnsi="仿宋"/>
                <w:b/>
              </w:rPr>
              <w:t>52.59</w:t>
            </w:r>
          </w:p>
        </w:tc>
      </w:tr>
      <w:tr w14:paraId="6563E0B9">
        <w:tblPrEx>
          <w:tblCellMar>
            <w:top w:w="0" w:type="dxa"/>
            <w:left w:w="108" w:type="dxa"/>
            <w:bottom w:w="0" w:type="dxa"/>
            <w:right w:w="108" w:type="dxa"/>
          </w:tblCellMar>
        </w:tblPrEx>
        <w:trPr>
          <w:trHeight w:val="282" w:hRule="exact"/>
        </w:trPr>
        <w:tc>
          <w:tcPr>
            <w:tcW w:w="709" w:type="pct"/>
            <w:tcBorders>
              <w:top w:val="nil"/>
              <w:left w:val="single" w:color="auto" w:sz="4" w:space="0"/>
              <w:bottom w:val="single" w:color="auto" w:sz="4" w:space="0"/>
              <w:right w:val="single" w:color="auto" w:sz="4" w:space="0"/>
            </w:tcBorders>
            <w:vAlign w:val="center"/>
          </w:tcPr>
          <w:p w14:paraId="28CC9848">
            <w:pPr>
              <w:pStyle w:val="72"/>
              <w:rPr>
                <w:rFonts w:hint="eastAsia"/>
                <w:b/>
              </w:rPr>
            </w:pPr>
            <w:r>
              <w:rPr>
                <w:b/>
              </w:rPr>
              <w:t>合计</w:t>
            </w:r>
          </w:p>
        </w:tc>
        <w:tc>
          <w:tcPr>
            <w:tcW w:w="1132" w:type="pct"/>
            <w:tcBorders>
              <w:top w:val="nil"/>
              <w:left w:val="nil"/>
              <w:bottom w:val="single" w:color="auto" w:sz="4" w:space="0"/>
              <w:right w:val="single" w:color="auto" w:sz="4" w:space="0"/>
            </w:tcBorders>
            <w:vAlign w:val="center"/>
          </w:tcPr>
          <w:p w14:paraId="4BFABB7A">
            <w:pPr>
              <w:pStyle w:val="72"/>
              <w:rPr>
                <w:rFonts w:hint="eastAsia"/>
              </w:rPr>
            </w:pPr>
            <w:r>
              <w:t>　</w:t>
            </w:r>
          </w:p>
        </w:tc>
        <w:tc>
          <w:tcPr>
            <w:tcW w:w="802" w:type="pct"/>
            <w:tcBorders>
              <w:top w:val="nil"/>
              <w:left w:val="nil"/>
              <w:bottom w:val="single" w:color="auto" w:sz="4" w:space="0"/>
              <w:right w:val="single" w:color="auto" w:sz="4" w:space="0"/>
            </w:tcBorders>
            <w:vAlign w:val="center"/>
          </w:tcPr>
          <w:p w14:paraId="6CF70F6F">
            <w:pPr>
              <w:pStyle w:val="72"/>
              <w:rPr>
                <w:rFonts w:hint="eastAsia"/>
              </w:rPr>
            </w:pPr>
            <w:r>
              <w:t>　</w:t>
            </w:r>
          </w:p>
        </w:tc>
        <w:tc>
          <w:tcPr>
            <w:tcW w:w="782" w:type="pct"/>
            <w:tcBorders>
              <w:top w:val="nil"/>
              <w:left w:val="nil"/>
              <w:bottom w:val="single" w:color="auto" w:sz="4" w:space="0"/>
              <w:right w:val="single" w:color="auto" w:sz="4" w:space="0"/>
            </w:tcBorders>
            <w:vAlign w:val="center"/>
          </w:tcPr>
          <w:p w14:paraId="5D18068A">
            <w:pPr>
              <w:pStyle w:val="72"/>
              <w:rPr>
                <w:rFonts w:hint="eastAsia"/>
              </w:rPr>
            </w:pPr>
            <w:r>
              <w:rPr>
                <w:rFonts w:hint="eastAsia" w:ascii="仿宋" w:hAnsi="仿宋"/>
              </w:rPr>
              <w:t>　</w:t>
            </w:r>
          </w:p>
        </w:tc>
        <w:tc>
          <w:tcPr>
            <w:tcW w:w="782" w:type="pct"/>
            <w:tcBorders>
              <w:top w:val="nil"/>
              <w:left w:val="nil"/>
              <w:bottom w:val="single" w:color="auto" w:sz="4" w:space="0"/>
              <w:right w:val="single" w:color="auto" w:sz="4" w:space="0"/>
            </w:tcBorders>
            <w:vAlign w:val="center"/>
          </w:tcPr>
          <w:p w14:paraId="7DBFC7A7">
            <w:pPr>
              <w:pStyle w:val="72"/>
              <w:rPr>
                <w:rFonts w:hint="eastAsia"/>
              </w:rPr>
            </w:pPr>
            <w:r>
              <w:rPr>
                <w:rFonts w:hint="eastAsia" w:ascii="仿宋" w:hAnsi="仿宋"/>
              </w:rPr>
              <w:t>　</w:t>
            </w:r>
          </w:p>
        </w:tc>
        <w:tc>
          <w:tcPr>
            <w:tcW w:w="793" w:type="pct"/>
            <w:tcBorders>
              <w:top w:val="nil"/>
              <w:left w:val="nil"/>
              <w:bottom w:val="single" w:color="auto" w:sz="4" w:space="0"/>
              <w:right w:val="single" w:color="auto" w:sz="4" w:space="0"/>
            </w:tcBorders>
            <w:vAlign w:val="center"/>
          </w:tcPr>
          <w:p w14:paraId="415B449C">
            <w:pPr>
              <w:pStyle w:val="72"/>
              <w:rPr>
                <w:rFonts w:hint="eastAsia" w:eastAsia="仿宋"/>
                <w:b/>
                <w:lang w:eastAsia="zh-CN"/>
              </w:rPr>
            </w:pPr>
            <w:r>
              <w:rPr>
                <w:rFonts w:hint="eastAsia" w:ascii="仿宋" w:hAnsi="仿宋"/>
                <w:b/>
              </w:rPr>
              <w:t>636.93</w:t>
            </w:r>
          </w:p>
        </w:tc>
      </w:tr>
    </w:tbl>
    <w:p w14:paraId="7BA50F12">
      <w:pPr>
        <w:pStyle w:val="41"/>
        <w:spacing w:after="0" w:line="240" w:lineRule="auto"/>
        <w:ind w:left="0" w:leftChars="0" w:firstLine="0" w:firstLineChars="0"/>
        <w:jc w:val="center"/>
        <w:rPr>
          <w:rFonts w:eastAsia="黑体"/>
          <w:bCs/>
          <w:sz w:val="24"/>
          <w:szCs w:val="24"/>
        </w:rPr>
      </w:pPr>
    </w:p>
    <w:p w14:paraId="383785FA">
      <w:pPr>
        <w:pStyle w:val="41"/>
        <w:spacing w:after="0" w:line="240" w:lineRule="auto"/>
        <w:ind w:left="0" w:leftChars="0" w:firstLine="0" w:firstLineChars="0"/>
        <w:jc w:val="center"/>
        <w:rPr>
          <w:rFonts w:eastAsia="黑体"/>
          <w:bCs/>
          <w:sz w:val="24"/>
          <w:szCs w:val="24"/>
        </w:rPr>
      </w:pPr>
      <w:r>
        <w:rPr>
          <w:rFonts w:hint="eastAsia" w:eastAsia="黑体"/>
          <w:bCs/>
          <w:sz w:val="24"/>
          <w:szCs w:val="24"/>
        </w:rPr>
        <w:t>4</w:t>
      </w:r>
      <w:r>
        <w:rPr>
          <w:rFonts w:eastAsia="黑体"/>
          <w:bCs/>
          <w:sz w:val="24"/>
          <w:szCs w:val="24"/>
        </w:rPr>
        <w:t>.表土回填</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50B69AD3">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451BA5DB">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定额编号：10305定额单位：100</w:t>
            </w:r>
            <w:r>
              <w:rPr>
                <w:rFonts w:hint="eastAsia" w:eastAsia="仿宋"/>
                <w:kern w:val="0"/>
                <w:sz w:val="21"/>
                <w:szCs w:val="21"/>
              </w:rPr>
              <w:t>m³</w:t>
            </w:r>
          </w:p>
        </w:tc>
      </w:tr>
      <w:tr w14:paraId="28FFF742">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085E6972">
            <w:pPr>
              <w:widowControl/>
              <w:adjustRightInd/>
              <w:snapToGrid/>
              <w:spacing w:line="240" w:lineRule="auto"/>
              <w:ind w:firstLine="0" w:firstLineChars="0"/>
              <w:jc w:val="center"/>
              <w:rPr>
                <w:rFonts w:eastAsia="仿宋"/>
                <w:kern w:val="0"/>
                <w:sz w:val="21"/>
                <w:szCs w:val="21"/>
              </w:rPr>
            </w:pPr>
            <w:r>
              <w:rPr>
                <w:rFonts w:eastAsia="仿宋"/>
                <w:kern w:val="0"/>
                <w:sz w:val="21"/>
                <w:szCs w:val="21"/>
              </w:rPr>
              <w:t>施工方法：推松、运送、卸除、拖平、空回。推土距离30～40m。</w:t>
            </w:r>
          </w:p>
        </w:tc>
      </w:tr>
      <w:tr w14:paraId="37CDFF0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EBD6555">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序号</w:t>
            </w:r>
          </w:p>
        </w:tc>
        <w:tc>
          <w:tcPr>
            <w:tcW w:w="1132" w:type="pct"/>
            <w:tcBorders>
              <w:top w:val="nil"/>
              <w:left w:val="nil"/>
              <w:bottom w:val="single" w:color="auto" w:sz="4" w:space="0"/>
              <w:right w:val="single" w:color="auto" w:sz="4" w:space="0"/>
            </w:tcBorders>
            <w:vAlign w:val="center"/>
          </w:tcPr>
          <w:p w14:paraId="42E55D39">
            <w:pPr>
              <w:widowControl/>
              <w:adjustRightInd/>
              <w:snapToGrid/>
              <w:spacing w:line="240" w:lineRule="auto"/>
              <w:ind w:firstLine="0" w:firstLineChars="0"/>
              <w:jc w:val="center"/>
              <w:rPr>
                <w:rFonts w:eastAsia="仿宋"/>
                <w:kern w:val="0"/>
                <w:sz w:val="21"/>
                <w:szCs w:val="21"/>
              </w:rPr>
            </w:pPr>
            <w:r>
              <w:rPr>
                <w:rFonts w:eastAsia="仿宋"/>
                <w:kern w:val="0"/>
                <w:sz w:val="21"/>
                <w:szCs w:val="21"/>
              </w:rPr>
              <w:t>项目名称</w:t>
            </w:r>
          </w:p>
        </w:tc>
        <w:tc>
          <w:tcPr>
            <w:tcW w:w="802" w:type="pct"/>
            <w:tcBorders>
              <w:top w:val="nil"/>
              <w:left w:val="nil"/>
              <w:bottom w:val="single" w:color="auto" w:sz="4" w:space="0"/>
              <w:right w:val="single" w:color="auto" w:sz="4" w:space="0"/>
            </w:tcBorders>
            <w:vAlign w:val="center"/>
          </w:tcPr>
          <w:p w14:paraId="74362A8C">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单位</w:t>
            </w:r>
          </w:p>
        </w:tc>
        <w:tc>
          <w:tcPr>
            <w:tcW w:w="782" w:type="pct"/>
            <w:tcBorders>
              <w:top w:val="nil"/>
              <w:left w:val="nil"/>
              <w:bottom w:val="single" w:color="auto" w:sz="4" w:space="0"/>
              <w:right w:val="single" w:color="auto" w:sz="4" w:space="0"/>
            </w:tcBorders>
            <w:vAlign w:val="center"/>
          </w:tcPr>
          <w:p w14:paraId="5D0B2AB4">
            <w:pPr>
              <w:widowControl/>
              <w:adjustRightInd/>
              <w:snapToGrid/>
              <w:spacing w:line="240" w:lineRule="auto"/>
              <w:ind w:firstLine="0" w:firstLineChars="0"/>
              <w:jc w:val="center"/>
              <w:rPr>
                <w:rFonts w:eastAsia="仿宋"/>
                <w:kern w:val="0"/>
                <w:sz w:val="21"/>
                <w:szCs w:val="21"/>
              </w:rPr>
            </w:pPr>
            <w:r>
              <w:rPr>
                <w:rFonts w:eastAsia="仿宋"/>
                <w:kern w:val="0"/>
                <w:sz w:val="21"/>
                <w:szCs w:val="21"/>
              </w:rPr>
              <w:t>数量</w:t>
            </w:r>
          </w:p>
        </w:tc>
        <w:tc>
          <w:tcPr>
            <w:tcW w:w="782" w:type="pct"/>
            <w:tcBorders>
              <w:top w:val="nil"/>
              <w:left w:val="nil"/>
              <w:bottom w:val="single" w:color="auto" w:sz="4" w:space="0"/>
              <w:right w:val="single" w:color="auto" w:sz="4" w:space="0"/>
            </w:tcBorders>
            <w:vAlign w:val="center"/>
          </w:tcPr>
          <w:p w14:paraId="10722052">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单价</w:t>
            </w:r>
          </w:p>
        </w:tc>
        <w:tc>
          <w:tcPr>
            <w:tcW w:w="792" w:type="pct"/>
            <w:tcBorders>
              <w:top w:val="nil"/>
              <w:left w:val="nil"/>
              <w:bottom w:val="single" w:color="auto" w:sz="4" w:space="0"/>
              <w:right w:val="single" w:color="auto" w:sz="4" w:space="0"/>
            </w:tcBorders>
            <w:vAlign w:val="center"/>
          </w:tcPr>
          <w:p w14:paraId="054EB6F8">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小计（元）</w:t>
            </w:r>
          </w:p>
        </w:tc>
      </w:tr>
      <w:tr w14:paraId="2CE9C83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4BD1BC2">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一</w:t>
            </w:r>
          </w:p>
        </w:tc>
        <w:tc>
          <w:tcPr>
            <w:tcW w:w="1132" w:type="pct"/>
            <w:tcBorders>
              <w:top w:val="nil"/>
              <w:left w:val="nil"/>
              <w:bottom w:val="single" w:color="auto" w:sz="4" w:space="0"/>
              <w:right w:val="single" w:color="auto" w:sz="4" w:space="0"/>
            </w:tcBorders>
            <w:vAlign w:val="center"/>
          </w:tcPr>
          <w:p w14:paraId="15DEE37B">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直接费</w:t>
            </w:r>
          </w:p>
        </w:tc>
        <w:tc>
          <w:tcPr>
            <w:tcW w:w="802" w:type="pct"/>
            <w:tcBorders>
              <w:top w:val="nil"/>
              <w:left w:val="nil"/>
              <w:bottom w:val="single" w:color="auto" w:sz="4" w:space="0"/>
              <w:right w:val="single" w:color="auto" w:sz="4" w:space="0"/>
            </w:tcBorders>
            <w:vAlign w:val="center"/>
          </w:tcPr>
          <w:p w14:paraId="22C99EDB">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2BE001BD">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82" w:type="pct"/>
            <w:tcBorders>
              <w:top w:val="nil"/>
              <w:left w:val="nil"/>
              <w:bottom w:val="single" w:color="auto" w:sz="4" w:space="0"/>
              <w:right w:val="single" w:color="auto" w:sz="4" w:space="0"/>
            </w:tcBorders>
            <w:vAlign w:val="center"/>
          </w:tcPr>
          <w:p w14:paraId="4BAF82C1">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92" w:type="pct"/>
            <w:tcBorders>
              <w:top w:val="nil"/>
              <w:left w:val="nil"/>
              <w:bottom w:val="single" w:color="auto" w:sz="4" w:space="0"/>
              <w:right w:val="single" w:color="auto" w:sz="4" w:space="0"/>
            </w:tcBorders>
            <w:vAlign w:val="center"/>
          </w:tcPr>
          <w:p w14:paraId="273810D0">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672.28</w:t>
            </w:r>
          </w:p>
        </w:tc>
      </w:tr>
      <w:tr w14:paraId="49B2956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FB2B8DA">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（一）</w:t>
            </w:r>
          </w:p>
        </w:tc>
        <w:tc>
          <w:tcPr>
            <w:tcW w:w="1132" w:type="pct"/>
            <w:tcBorders>
              <w:top w:val="nil"/>
              <w:left w:val="nil"/>
              <w:bottom w:val="single" w:color="auto" w:sz="4" w:space="0"/>
              <w:right w:val="single" w:color="auto" w:sz="4" w:space="0"/>
            </w:tcBorders>
            <w:vAlign w:val="center"/>
          </w:tcPr>
          <w:p w14:paraId="266A58FD">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直接工程费</w:t>
            </w:r>
          </w:p>
        </w:tc>
        <w:tc>
          <w:tcPr>
            <w:tcW w:w="802" w:type="pct"/>
            <w:tcBorders>
              <w:top w:val="nil"/>
              <w:left w:val="nil"/>
              <w:bottom w:val="single" w:color="auto" w:sz="4" w:space="0"/>
              <w:right w:val="single" w:color="auto" w:sz="4" w:space="0"/>
            </w:tcBorders>
            <w:vAlign w:val="center"/>
          </w:tcPr>
          <w:p w14:paraId="58E4BAEC">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59E3E7D8">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82" w:type="pct"/>
            <w:tcBorders>
              <w:top w:val="nil"/>
              <w:left w:val="nil"/>
              <w:bottom w:val="single" w:color="auto" w:sz="4" w:space="0"/>
              <w:right w:val="single" w:color="auto" w:sz="4" w:space="0"/>
            </w:tcBorders>
            <w:vAlign w:val="center"/>
          </w:tcPr>
          <w:p w14:paraId="174229D4">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92" w:type="pct"/>
            <w:tcBorders>
              <w:top w:val="nil"/>
              <w:left w:val="nil"/>
              <w:bottom w:val="single" w:color="auto" w:sz="4" w:space="0"/>
              <w:right w:val="single" w:color="auto" w:sz="4" w:space="0"/>
            </w:tcBorders>
            <w:vAlign w:val="center"/>
          </w:tcPr>
          <w:p w14:paraId="604B741E">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647.66</w:t>
            </w:r>
          </w:p>
        </w:tc>
      </w:tr>
      <w:tr w14:paraId="180447E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319E5C8">
            <w:pPr>
              <w:widowControl/>
              <w:adjustRightInd/>
              <w:snapToGrid/>
              <w:spacing w:line="240" w:lineRule="auto"/>
              <w:ind w:firstLine="0" w:firstLineChars="0"/>
              <w:jc w:val="center"/>
              <w:rPr>
                <w:rFonts w:hint="eastAsia" w:eastAsia="仿宋"/>
                <w:kern w:val="0"/>
                <w:sz w:val="21"/>
                <w:szCs w:val="21"/>
                <w:lang w:eastAsia="zh-CN"/>
              </w:rPr>
            </w:pPr>
            <w:r>
              <w:rPr>
                <w:rFonts w:eastAsia="仿宋"/>
                <w:kern w:val="0"/>
                <w:sz w:val="21"/>
                <w:szCs w:val="21"/>
              </w:rPr>
              <w:t>1</w:t>
            </w:r>
          </w:p>
        </w:tc>
        <w:tc>
          <w:tcPr>
            <w:tcW w:w="1132" w:type="pct"/>
            <w:tcBorders>
              <w:top w:val="nil"/>
              <w:left w:val="nil"/>
              <w:bottom w:val="single" w:color="auto" w:sz="4" w:space="0"/>
              <w:right w:val="single" w:color="auto" w:sz="4" w:space="0"/>
            </w:tcBorders>
            <w:vAlign w:val="center"/>
          </w:tcPr>
          <w:p w14:paraId="73911C4B">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人工费</w:t>
            </w:r>
          </w:p>
        </w:tc>
        <w:tc>
          <w:tcPr>
            <w:tcW w:w="802" w:type="pct"/>
            <w:tcBorders>
              <w:top w:val="nil"/>
              <w:left w:val="nil"/>
              <w:bottom w:val="single" w:color="auto" w:sz="4" w:space="0"/>
              <w:right w:val="single" w:color="auto" w:sz="4" w:space="0"/>
            </w:tcBorders>
            <w:vAlign w:val="center"/>
          </w:tcPr>
          <w:p w14:paraId="20F76601">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4E10F879">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82" w:type="pct"/>
            <w:tcBorders>
              <w:top w:val="nil"/>
              <w:left w:val="nil"/>
              <w:bottom w:val="single" w:color="auto" w:sz="4" w:space="0"/>
              <w:right w:val="single" w:color="auto" w:sz="4" w:space="0"/>
            </w:tcBorders>
            <w:vAlign w:val="center"/>
          </w:tcPr>
          <w:p w14:paraId="7C191810">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92" w:type="pct"/>
            <w:tcBorders>
              <w:top w:val="nil"/>
              <w:left w:val="nil"/>
              <w:bottom w:val="single" w:color="auto" w:sz="4" w:space="0"/>
              <w:right w:val="single" w:color="auto" w:sz="4" w:space="0"/>
            </w:tcBorders>
            <w:vAlign w:val="center"/>
          </w:tcPr>
          <w:p w14:paraId="69BD2368">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20.39</w:t>
            </w:r>
          </w:p>
        </w:tc>
      </w:tr>
      <w:tr w14:paraId="19CF7AE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746BA03">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6F5AEA2A">
            <w:pPr>
              <w:widowControl/>
              <w:adjustRightInd/>
              <w:snapToGrid/>
              <w:spacing w:line="240" w:lineRule="auto"/>
              <w:ind w:firstLine="0" w:firstLineChars="0"/>
              <w:jc w:val="center"/>
              <w:rPr>
                <w:rFonts w:eastAsia="仿宋"/>
                <w:kern w:val="0"/>
                <w:sz w:val="21"/>
                <w:szCs w:val="21"/>
              </w:rPr>
            </w:pPr>
            <w:r>
              <w:rPr>
                <w:rFonts w:eastAsia="仿宋"/>
                <w:kern w:val="0"/>
                <w:sz w:val="21"/>
                <w:szCs w:val="21"/>
              </w:rPr>
              <w:t>甲类工</w:t>
            </w:r>
          </w:p>
        </w:tc>
        <w:tc>
          <w:tcPr>
            <w:tcW w:w="802" w:type="pct"/>
            <w:tcBorders>
              <w:top w:val="nil"/>
              <w:left w:val="nil"/>
              <w:bottom w:val="single" w:color="auto" w:sz="4" w:space="0"/>
              <w:right w:val="single" w:color="auto" w:sz="4" w:space="0"/>
            </w:tcBorders>
            <w:vAlign w:val="center"/>
          </w:tcPr>
          <w:p w14:paraId="0DD64ED0">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工日</w:t>
            </w:r>
          </w:p>
        </w:tc>
        <w:tc>
          <w:tcPr>
            <w:tcW w:w="782" w:type="pct"/>
            <w:tcBorders>
              <w:top w:val="nil"/>
              <w:left w:val="nil"/>
              <w:bottom w:val="single" w:color="auto" w:sz="4" w:space="0"/>
              <w:right w:val="single" w:color="auto" w:sz="4" w:space="0"/>
            </w:tcBorders>
            <w:vAlign w:val="center"/>
          </w:tcPr>
          <w:p w14:paraId="719A3749">
            <w:pPr>
              <w:widowControl/>
              <w:adjustRightInd/>
              <w:snapToGrid/>
              <w:spacing w:line="240" w:lineRule="auto"/>
              <w:ind w:firstLine="0" w:firstLineChars="0"/>
              <w:jc w:val="center"/>
              <w:rPr>
                <w:rFonts w:eastAsia="仿宋"/>
                <w:kern w:val="0"/>
                <w:sz w:val="21"/>
                <w:szCs w:val="21"/>
              </w:rPr>
            </w:pPr>
            <w:r>
              <w:rPr>
                <w:rFonts w:hint="eastAsia" w:ascii="仿宋" w:hAnsi="仿宋" w:eastAsia="仿宋"/>
                <w:sz w:val="21"/>
                <w:szCs w:val="21"/>
              </w:rPr>
              <w:t>　</w:t>
            </w:r>
          </w:p>
        </w:tc>
        <w:tc>
          <w:tcPr>
            <w:tcW w:w="782" w:type="pct"/>
            <w:tcBorders>
              <w:top w:val="nil"/>
              <w:left w:val="nil"/>
              <w:bottom w:val="single" w:color="auto" w:sz="4" w:space="0"/>
              <w:right w:val="single" w:color="auto" w:sz="4" w:space="0"/>
            </w:tcBorders>
            <w:vAlign w:val="center"/>
          </w:tcPr>
          <w:p w14:paraId="4447CE6D">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51.04</w:t>
            </w:r>
          </w:p>
        </w:tc>
        <w:tc>
          <w:tcPr>
            <w:tcW w:w="792" w:type="pct"/>
            <w:tcBorders>
              <w:top w:val="nil"/>
              <w:left w:val="nil"/>
              <w:bottom w:val="single" w:color="auto" w:sz="4" w:space="0"/>
              <w:right w:val="single" w:color="auto" w:sz="4" w:space="0"/>
            </w:tcBorders>
            <w:vAlign w:val="center"/>
          </w:tcPr>
          <w:p w14:paraId="11C6FC73">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0.00</w:t>
            </w:r>
          </w:p>
        </w:tc>
      </w:tr>
      <w:tr w14:paraId="12E9345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7A9DEEE">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5ADA3E74">
            <w:pPr>
              <w:widowControl/>
              <w:adjustRightInd/>
              <w:snapToGrid/>
              <w:spacing w:line="240" w:lineRule="auto"/>
              <w:ind w:firstLine="0" w:firstLineChars="0"/>
              <w:jc w:val="center"/>
              <w:rPr>
                <w:rFonts w:eastAsia="仿宋"/>
                <w:kern w:val="0"/>
                <w:sz w:val="21"/>
                <w:szCs w:val="21"/>
              </w:rPr>
            </w:pPr>
            <w:r>
              <w:rPr>
                <w:rFonts w:eastAsia="仿宋"/>
                <w:kern w:val="0"/>
                <w:sz w:val="21"/>
                <w:szCs w:val="21"/>
              </w:rPr>
              <w:t>乙类工</w:t>
            </w:r>
          </w:p>
        </w:tc>
        <w:tc>
          <w:tcPr>
            <w:tcW w:w="802" w:type="pct"/>
            <w:tcBorders>
              <w:top w:val="nil"/>
              <w:left w:val="nil"/>
              <w:bottom w:val="single" w:color="auto" w:sz="4" w:space="0"/>
              <w:right w:val="single" w:color="auto" w:sz="4" w:space="0"/>
            </w:tcBorders>
            <w:vAlign w:val="center"/>
          </w:tcPr>
          <w:p w14:paraId="019ADADC">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工日</w:t>
            </w:r>
          </w:p>
        </w:tc>
        <w:tc>
          <w:tcPr>
            <w:tcW w:w="782" w:type="pct"/>
            <w:tcBorders>
              <w:top w:val="nil"/>
              <w:left w:val="nil"/>
              <w:bottom w:val="single" w:color="auto" w:sz="4" w:space="0"/>
              <w:right w:val="single" w:color="auto" w:sz="4" w:space="0"/>
            </w:tcBorders>
            <w:vAlign w:val="center"/>
          </w:tcPr>
          <w:p w14:paraId="2CCAE0EC">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0.50</w:t>
            </w:r>
          </w:p>
        </w:tc>
        <w:tc>
          <w:tcPr>
            <w:tcW w:w="782" w:type="pct"/>
            <w:tcBorders>
              <w:top w:val="nil"/>
              <w:left w:val="nil"/>
              <w:bottom w:val="single" w:color="auto" w:sz="4" w:space="0"/>
              <w:right w:val="single" w:color="auto" w:sz="4" w:space="0"/>
            </w:tcBorders>
            <w:vAlign w:val="center"/>
          </w:tcPr>
          <w:p w14:paraId="7E237DA5">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38.84</w:t>
            </w:r>
          </w:p>
        </w:tc>
        <w:tc>
          <w:tcPr>
            <w:tcW w:w="792" w:type="pct"/>
            <w:tcBorders>
              <w:top w:val="nil"/>
              <w:left w:val="nil"/>
              <w:bottom w:val="single" w:color="auto" w:sz="4" w:space="0"/>
              <w:right w:val="single" w:color="auto" w:sz="4" w:space="0"/>
            </w:tcBorders>
            <w:vAlign w:val="center"/>
          </w:tcPr>
          <w:p w14:paraId="32982C53">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19.42</w:t>
            </w:r>
          </w:p>
        </w:tc>
      </w:tr>
      <w:tr w14:paraId="5FF0AF9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7889178">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6D41691B">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其他费用</w:t>
            </w:r>
          </w:p>
        </w:tc>
        <w:tc>
          <w:tcPr>
            <w:tcW w:w="802" w:type="pct"/>
            <w:tcBorders>
              <w:top w:val="nil"/>
              <w:left w:val="nil"/>
              <w:bottom w:val="single" w:color="auto" w:sz="4" w:space="0"/>
              <w:right w:val="single" w:color="auto" w:sz="4" w:space="0"/>
            </w:tcBorders>
            <w:vAlign w:val="center"/>
          </w:tcPr>
          <w:p w14:paraId="016A19B6">
            <w:pPr>
              <w:widowControl/>
              <w:adjustRightInd/>
              <w:snapToGrid/>
              <w:spacing w:line="240" w:lineRule="auto"/>
              <w:ind w:firstLine="0" w:firstLineChars="0"/>
              <w:jc w:val="center"/>
              <w:rPr>
                <w:rFonts w:eastAsia="仿宋"/>
                <w:kern w:val="0"/>
                <w:sz w:val="21"/>
                <w:szCs w:val="21"/>
              </w:rPr>
            </w:pPr>
            <w:r>
              <w:rPr>
                <w:rFonts w:eastAsia="仿宋"/>
                <w:kern w:val="0"/>
                <w:sz w:val="21"/>
                <w:szCs w:val="21"/>
              </w:rPr>
              <w:t>%</w:t>
            </w:r>
          </w:p>
        </w:tc>
        <w:tc>
          <w:tcPr>
            <w:tcW w:w="782" w:type="pct"/>
            <w:tcBorders>
              <w:top w:val="nil"/>
              <w:left w:val="nil"/>
              <w:bottom w:val="single" w:color="auto" w:sz="4" w:space="0"/>
              <w:right w:val="single" w:color="auto" w:sz="4" w:space="0"/>
            </w:tcBorders>
            <w:vAlign w:val="center"/>
          </w:tcPr>
          <w:p w14:paraId="5E6919FB">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5.00</w:t>
            </w:r>
          </w:p>
        </w:tc>
        <w:tc>
          <w:tcPr>
            <w:tcW w:w="782" w:type="pct"/>
            <w:tcBorders>
              <w:top w:val="nil"/>
              <w:left w:val="nil"/>
              <w:bottom w:val="single" w:color="auto" w:sz="4" w:space="0"/>
              <w:right w:val="single" w:color="auto" w:sz="4" w:space="0"/>
            </w:tcBorders>
            <w:vAlign w:val="center"/>
          </w:tcPr>
          <w:p w14:paraId="01169B3D">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19.42</w:t>
            </w:r>
          </w:p>
        </w:tc>
        <w:tc>
          <w:tcPr>
            <w:tcW w:w="792" w:type="pct"/>
            <w:tcBorders>
              <w:top w:val="nil"/>
              <w:left w:val="nil"/>
              <w:bottom w:val="single" w:color="auto" w:sz="4" w:space="0"/>
              <w:right w:val="single" w:color="auto" w:sz="4" w:space="0"/>
            </w:tcBorders>
            <w:vAlign w:val="center"/>
          </w:tcPr>
          <w:p w14:paraId="5B4E2510">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0.97</w:t>
            </w:r>
          </w:p>
        </w:tc>
      </w:tr>
      <w:tr w14:paraId="064076B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F8D959E">
            <w:pPr>
              <w:widowControl/>
              <w:adjustRightInd/>
              <w:snapToGrid/>
              <w:spacing w:line="240" w:lineRule="auto"/>
              <w:ind w:firstLine="0" w:firstLineChars="0"/>
              <w:jc w:val="center"/>
              <w:rPr>
                <w:rFonts w:hint="eastAsia" w:eastAsia="仿宋"/>
                <w:kern w:val="0"/>
                <w:sz w:val="21"/>
                <w:szCs w:val="21"/>
                <w:lang w:eastAsia="zh-CN"/>
              </w:rPr>
            </w:pPr>
            <w:r>
              <w:rPr>
                <w:rFonts w:eastAsia="仿宋"/>
                <w:kern w:val="0"/>
                <w:sz w:val="21"/>
                <w:szCs w:val="21"/>
              </w:rPr>
              <w:t>2</w:t>
            </w:r>
          </w:p>
        </w:tc>
        <w:tc>
          <w:tcPr>
            <w:tcW w:w="1132" w:type="pct"/>
            <w:tcBorders>
              <w:top w:val="nil"/>
              <w:left w:val="nil"/>
              <w:bottom w:val="single" w:color="auto" w:sz="4" w:space="0"/>
              <w:right w:val="single" w:color="auto" w:sz="4" w:space="0"/>
            </w:tcBorders>
            <w:vAlign w:val="center"/>
          </w:tcPr>
          <w:p w14:paraId="65B18CBD">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材料费</w:t>
            </w:r>
          </w:p>
        </w:tc>
        <w:tc>
          <w:tcPr>
            <w:tcW w:w="802" w:type="pct"/>
            <w:tcBorders>
              <w:top w:val="nil"/>
              <w:left w:val="nil"/>
              <w:bottom w:val="single" w:color="auto" w:sz="4" w:space="0"/>
              <w:right w:val="single" w:color="auto" w:sz="4" w:space="0"/>
            </w:tcBorders>
            <w:vAlign w:val="center"/>
          </w:tcPr>
          <w:p w14:paraId="67710D4B">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7717DFE4">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82" w:type="pct"/>
            <w:tcBorders>
              <w:top w:val="nil"/>
              <w:left w:val="nil"/>
              <w:bottom w:val="single" w:color="auto" w:sz="4" w:space="0"/>
              <w:right w:val="single" w:color="auto" w:sz="4" w:space="0"/>
            </w:tcBorders>
            <w:vAlign w:val="center"/>
          </w:tcPr>
          <w:p w14:paraId="69F53260">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92" w:type="pct"/>
            <w:tcBorders>
              <w:top w:val="nil"/>
              <w:left w:val="nil"/>
              <w:bottom w:val="single" w:color="auto" w:sz="4" w:space="0"/>
              <w:right w:val="single" w:color="auto" w:sz="4" w:space="0"/>
            </w:tcBorders>
            <w:vAlign w:val="center"/>
          </w:tcPr>
          <w:p w14:paraId="7E9A7326">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0.00</w:t>
            </w:r>
          </w:p>
        </w:tc>
      </w:tr>
      <w:tr w14:paraId="0BED76B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215F768">
            <w:pPr>
              <w:widowControl/>
              <w:adjustRightInd/>
              <w:snapToGrid/>
              <w:spacing w:line="240" w:lineRule="auto"/>
              <w:ind w:firstLine="0" w:firstLineChars="0"/>
              <w:jc w:val="center"/>
              <w:rPr>
                <w:rFonts w:hint="eastAsia" w:eastAsia="仿宋"/>
                <w:kern w:val="0"/>
                <w:sz w:val="21"/>
                <w:szCs w:val="21"/>
                <w:lang w:eastAsia="zh-CN"/>
              </w:rPr>
            </w:pPr>
            <w:r>
              <w:rPr>
                <w:rFonts w:eastAsia="仿宋"/>
                <w:kern w:val="0"/>
                <w:sz w:val="21"/>
                <w:szCs w:val="21"/>
              </w:rPr>
              <w:t>3</w:t>
            </w:r>
          </w:p>
        </w:tc>
        <w:tc>
          <w:tcPr>
            <w:tcW w:w="1132" w:type="pct"/>
            <w:tcBorders>
              <w:top w:val="nil"/>
              <w:left w:val="nil"/>
              <w:bottom w:val="single" w:color="auto" w:sz="4" w:space="0"/>
              <w:right w:val="single" w:color="auto" w:sz="4" w:space="0"/>
            </w:tcBorders>
            <w:vAlign w:val="center"/>
          </w:tcPr>
          <w:p w14:paraId="4FC136D5">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机械费</w:t>
            </w:r>
          </w:p>
        </w:tc>
        <w:tc>
          <w:tcPr>
            <w:tcW w:w="802" w:type="pct"/>
            <w:tcBorders>
              <w:top w:val="nil"/>
              <w:left w:val="nil"/>
              <w:bottom w:val="single" w:color="auto" w:sz="4" w:space="0"/>
              <w:right w:val="single" w:color="auto" w:sz="4" w:space="0"/>
            </w:tcBorders>
            <w:vAlign w:val="center"/>
          </w:tcPr>
          <w:p w14:paraId="42617281">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2F7292A2">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82" w:type="pct"/>
            <w:tcBorders>
              <w:top w:val="nil"/>
              <w:left w:val="nil"/>
              <w:bottom w:val="single" w:color="auto" w:sz="4" w:space="0"/>
              <w:right w:val="single" w:color="auto" w:sz="4" w:space="0"/>
            </w:tcBorders>
            <w:vAlign w:val="center"/>
          </w:tcPr>
          <w:p w14:paraId="59702D89">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92" w:type="pct"/>
            <w:tcBorders>
              <w:top w:val="nil"/>
              <w:left w:val="nil"/>
              <w:bottom w:val="single" w:color="auto" w:sz="4" w:space="0"/>
              <w:right w:val="single" w:color="auto" w:sz="4" w:space="0"/>
            </w:tcBorders>
            <w:vAlign w:val="center"/>
          </w:tcPr>
          <w:p w14:paraId="3F8FD50F">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627.27</w:t>
            </w:r>
          </w:p>
        </w:tc>
      </w:tr>
      <w:tr w14:paraId="09379F2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FEF40C3">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0894583A">
            <w:pPr>
              <w:widowControl/>
              <w:adjustRightInd/>
              <w:snapToGrid/>
              <w:spacing w:line="240" w:lineRule="auto"/>
              <w:ind w:firstLine="0" w:firstLineChars="0"/>
              <w:jc w:val="center"/>
              <w:rPr>
                <w:rFonts w:eastAsia="仿宋"/>
                <w:kern w:val="0"/>
                <w:sz w:val="21"/>
                <w:szCs w:val="21"/>
              </w:rPr>
            </w:pPr>
            <w:r>
              <w:rPr>
                <w:rFonts w:eastAsia="仿宋"/>
                <w:kern w:val="0"/>
                <w:sz w:val="21"/>
                <w:szCs w:val="21"/>
              </w:rPr>
              <w:t>推土机55kW</w:t>
            </w:r>
          </w:p>
        </w:tc>
        <w:tc>
          <w:tcPr>
            <w:tcW w:w="802" w:type="pct"/>
            <w:tcBorders>
              <w:top w:val="nil"/>
              <w:left w:val="nil"/>
              <w:bottom w:val="single" w:color="auto" w:sz="4" w:space="0"/>
              <w:right w:val="single" w:color="auto" w:sz="4" w:space="0"/>
            </w:tcBorders>
            <w:vAlign w:val="center"/>
          </w:tcPr>
          <w:p w14:paraId="3E096550">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台班</w:t>
            </w:r>
          </w:p>
        </w:tc>
        <w:tc>
          <w:tcPr>
            <w:tcW w:w="782" w:type="pct"/>
            <w:tcBorders>
              <w:top w:val="nil"/>
              <w:left w:val="nil"/>
              <w:bottom w:val="single" w:color="auto" w:sz="4" w:space="0"/>
              <w:right w:val="single" w:color="auto" w:sz="4" w:space="0"/>
            </w:tcBorders>
            <w:vAlign w:val="center"/>
          </w:tcPr>
          <w:p w14:paraId="09808967">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1.73</w:t>
            </w:r>
          </w:p>
        </w:tc>
        <w:tc>
          <w:tcPr>
            <w:tcW w:w="782" w:type="pct"/>
            <w:tcBorders>
              <w:top w:val="nil"/>
              <w:left w:val="nil"/>
              <w:bottom w:val="single" w:color="auto" w:sz="4" w:space="0"/>
              <w:right w:val="single" w:color="auto" w:sz="4" w:space="0"/>
            </w:tcBorders>
            <w:vAlign w:val="center"/>
          </w:tcPr>
          <w:p w14:paraId="2323F801">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345.32</w:t>
            </w:r>
          </w:p>
        </w:tc>
        <w:tc>
          <w:tcPr>
            <w:tcW w:w="792" w:type="pct"/>
            <w:tcBorders>
              <w:top w:val="nil"/>
              <w:left w:val="nil"/>
              <w:bottom w:val="single" w:color="auto" w:sz="4" w:space="0"/>
              <w:right w:val="single" w:color="auto" w:sz="4" w:space="0"/>
            </w:tcBorders>
            <w:vAlign w:val="center"/>
          </w:tcPr>
          <w:p w14:paraId="35EE120F">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597.40</w:t>
            </w:r>
          </w:p>
        </w:tc>
      </w:tr>
      <w:tr w14:paraId="258641D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5E206AB">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3B26A3FD">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其他费用</w:t>
            </w:r>
          </w:p>
        </w:tc>
        <w:tc>
          <w:tcPr>
            <w:tcW w:w="802" w:type="pct"/>
            <w:tcBorders>
              <w:top w:val="nil"/>
              <w:left w:val="nil"/>
              <w:bottom w:val="single" w:color="auto" w:sz="4" w:space="0"/>
              <w:right w:val="single" w:color="auto" w:sz="4" w:space="0"/>
            </w:tcBorders>
            <w:vAlign w:val="center"/>
          </w:tcPr>
          <w:p w14:paraId="546E00E4">
            <w:pPr>
              <w:widowControl/>
              <w:adjustRightInd/>
              <w:snapToGrid/>
              <w:spacing w:line="240" w:lineRule="auto"/>
              <w:ind w:firstLine="0" w:firstLineChars="0"/>
              <w:jc w:val="center"/>
              <w:rPr>
                <w:rFonts w:eastAsia="仿宋"/>
                <w:kern w:val="0"/>
                <w:sz w:val="21"/>
                <w:szCs w:val="21"/>
              </w:rPr>
            </w:pPr>
            <w:r>
              <w:rPr>
                <w:rFonts w:eastAsia="仿宋"/>
                <w:kern w:val="0"/>
                <w:sz w:val="21"/>
                <w:szCs w:val="21"/>
              </w:rPr>
              <w:t>%</w:t>
            </w:r>
          </w:p>
        </w:tc>
        <w:tc>
          <w:tcPr>
            <w:tcW w:w="782" w:type="pct"/>
            <w:tcBorders>
              <w:top w:val="nil"/>
              <w:left w:val="nil"/>
              <w:bottom w:val="single" w:color="auto" w:sz="4" w:space="0"/>
              <w:right w:val="single" w:color="auto" w:sz="4" w:space="0"/>
            </w:tcBorders>
            <w:vAlign w:val="center"/>
          </w:tcPr>
          <w:p w14:paraId="1B251ED2">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5.00</w:t>
            </w:r>
          </w:p>
        </w:tc>
        <w:tc>
          <w:tcPr>
            <w:tcW w:w="782" w:type="pct"/>
            <w:tcBorders>
              <w:top w:val="nil"/>
              <w:left w:val="nil"/>
              <w:bottom w:val="single" w:color="auto" w:sz="4" w:space="0"/>
              <w:right w:val="single" w:color="auto" w:sz="4" w:space="0"/>
            </w:tcBorders>
            <w:vAlign w:val="center"/>
          </w:tcPr>
          <w:p w14:paraId="7A1C18A8">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597.40</w:t>
            </w:r>
          </w:p>
        </w:tc>
        <w:tc>
          <w:tcPr>
            <w:tcW w:w="792" w:type="pct"/>
            <w:tcBorders>
              <w:top w:val="nil"/>
              <w:left w:val="nil"/>
              <w:bottom w:val="single" w:color="auto" w:sz="4" w:space="0"/>
              <w:right w:val="single" w:color="auto" w:sz="4" w:space="0"/>
            </w:tcBorders>
            <w:vAlign w:val="center"/>
          </w:tcPr>
          <w:p w14:paraId="22EAD1FB">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29.87</w:t>
            </w:r>
          </w:p>
        </w:tc>
      </w:tr>
      <w:tr w14:paraId="2BE836F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A9946D3">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（二）</w:t>
            </w:r>
          </w:p>
        </w:tc>
        <w:tc>
          <w:tcPr>
            <w:tcW w:w="1132" w:type="pct"/>
            <w:tcBorders>
              <w:top w:val="nil"/>
              <w:left w:val="nil"/>
              <w:bottom w:val="single" w:color="auto" w:sz="4" w:space="0"/>
              <w:right w:val="single" w:color="auto" w:sz="4" w:space="0"/>
            </w:tcBorders>
            <w:vAlign w:val="center"/>
          </w:tcPr>
          <w:p w14:paraId="553EE571">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措施费</w:t>
            </w:r>
          </w:p>
        </w:tc>
        <w:tc>
          <w:tcPr>
            <w:tcW w:w="802" w:type="pct"/>
            <w:tcBorders>
              <w:top w:val="nil"/>
              <w:left w:val="nil"/>
              <w:bottom w:val="single" w:color="auto" w:sz="4" w:space="0"/>
              <w:right w:val="single" w:color="auto" w:sz="4" w:space="0"/>
            </w:tcBorders>
            <w:vAlign w:val="center"/>
          </w:tcPr>
          <w:p w14:paraId="68F50341">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w:t>
            </w:r>
          </w:p>
        </w:tc>
        <w:tc>
          <w:tcPr>
            <w:tcW w:w="782" w:type="pct"/>
            <w:tcBorders>
              <w:top w:val="nil"/>
              <w:left w:val="nil"/>
              <w:bottom w:val="single" w:color="auto" w:sz="4" w:space="0"/>
              <w:right w:val="single" w:color="auto" w:sz="4" w:space="0"/>
            </w:tcBorders>
            <w:vAlign w:val="center"/>
          </w:tcPr>
          <w:p w14:paraId="1A8AC156">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3.80</w:t>
            </w:r>
          </w:p>
        </w:tc>
        <w:tc>
          <w:tcPr>
            <w:tcW w:w="782" w:type="pct"/>
            <w:tcBorders>
              <w:top w:val="nil"/>
              <w:left w:val="nil"/>
              <w:bottom w:val="single" w:color="auto" w:sz="4" w:space="0"/>
              <w:right w:val="single" w:color="auto" w:sz="4" w:space="0"/>
            </w:tcBorders>
            <w:vAlign w:val="center"/>
          </w:tcPr>
          <w:p w14:paraId="5827C939">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647.66</w:t>
            </w:r>
          </w:p>
        </w:tc>
        <w:tc>
          <w:tcPr>
            <w:tcW w:w="792" w:type="pct"/>
            <w:tcBorders>
              <w:top w:val="nil"/>
              <w:left w:val="nil"/>
              <w:bottom w:val="single" w:color="auto" w:sz="4" w:space="0"/>
              <w:right w:val="single" w:color="auto" w:sz="4" w:space="0"/>
            </w:tcBorders>
            <w:vAlign w:val="center"/>
          </w:tcPr>
          <w:p w14:paraId="095F6667">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24.61</w:t>
            </w:r>
          </w:p>
        </w:tc>
      </w:tr>
      <w:tr w14:paraId="7A8891F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6916864">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二</w:t>
            </w:r>
          </w:p>
        </w:tc>
        <w:tc>
          <w:tcPr>
            <w:tcW w:w="1132" w:type="pct"/>
            <w:tcBorders>
              <w:top w:val="nil"/>
              <w:left w:val="nil"/>
              <w:bottom w:val="single" w:color="auto" w:sz="4" w:space="0"/>
              <w:right w:val="single" w:color="auto" w:sz="4" w:space="0"/>
            </w:tcBorders>
            <w:vAlign w:val="center"/>
          </w:tcPr>
          <w:p w14:paraId="135E82D2">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间接费</w:t>
            </w:r>
          </w:p>
        </w:tc>
        <w:tc>
          <w:tcPr>
            <w:tcW w:w="802" w:type="pct"/>
            <w:tcBorders>
              <w:top w:val="nil"/>
              <w:left w:val="nil"/>
              <w:bottom w:val="single" w:color="auto" w:sz="4" w:space="0"/>
              <w:right w:val="single" w:color="auto" w:sz="4" w:space="0"/>
            </w:tcBorders>
            <w:vAlign w:val="center"/>
          </w:tcPr>
          <w:p w14:paraId="2BCD7880">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w:t>
            </w:r>
          </w:p>
        </w:tc>
        <w:tc>
          <w:tcPr>
            <w:tcW w:w="782" w:type="pct"/>
            <w:tcBorders>
              <w:top w:val="nil"/>
              <w:left w:val="nil"/>
              <w:bottom w:val="single" w:color="auto" w:sz="4" w:space="0"/>
              <w:right w:val="single" w:color="auto" w:sz="4" w:space="0"/>
            </w:tcBorders>
            <w:vAlign w:val="center"/>
          </w:tcPr>
          <w:p w14:paraId="0494818C">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6.00</w:t>
            </w:r>
          </w:p>
        </w:tc>
        <w:tc>
          <w:tcPr>
            <w:tcW w:w="782" w:type="pct"/>
            <w:tcBorders>
              <w:top w:val="nil"/>
              <w:left w:val="nil"/>
              <w:bottom w:val="single" w:color="auto" w:sz="4" w:space="0"/>
              <w:right w:val="single" w:color="auto" w:sz="4" w:space="0"/>
            </w:tcBorders>
            <w:vAlign w:val="center"/>
          </w:tcPr>
          <w:p w14:paraId="503A906E">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672.28</w:t>
            </w:r>
          </w:p>
        </w:tc>
        <w:tc>
          <w:tcPr>
            <w:tcW w:w="792" w:type="pct"/>
            <w:tcBorders>
              <w:top w:val="nil"/>
              <w:left w:val="nil"/>
              <w:bottom w:val="single" w:color="auto" w:sz="4" w:space="0"/>
              <w:right w:val="single" w:color="auto" w:sz="4" w:space="0"/>
            </w:tcBorders>
            <w:vAlign w:val="center"/>
          </w:tcPr>
          <w:p w14:paraId="71C3AB1E">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40.34</w:t>
            </w:r>
          </w:p>
        </w:tc>
      </w:tr>
      <w:tr w14:paraId="0A7EC12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4547224">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三</w:t>
            </w:r>
          </w:p>
        </w:tc>
        <w:tc>
          <w:tcPr>
            <w:tcW w:w="1132" w:type="pct"/>
            <w:tcBorders>
              <w:top w:val="nil"/>
              <w:left w:val="nil"/>
              <w:bottom w:val="single" w:color="auto" w:sz="4" w:space="0"/>
              <w:right w:val="single" w:color="auto" w:sz="4" w:space="0"/>
            </w:tcBorders>
            <w:vAlign w:val="center"/>
          </w:tcPr>
          <w:p w14:paraId="16ABBEF3">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利润</w:t>
            </w:r>
          </w:p>
        </w:tc>
        <w:tc>
          <w:tcPr>
            <w:tcW w:w="802" w:type="pct"/>
            <w:tcBorders>
              <w:top w:val="nil"/>
              <w:left w:val="nil"/>
              <w:bottom w:val="single" w:color="auto" w:sz="4" w:space="0"/>
              <w:right w:val="single" w:color="auto" w:sz="4" w:space="0"/>
            </w:tcBorders>
            <w:vAlign w:val="center"/>
          </w:tcPr>
          <w:p w14:paraId="55C92B05">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w:t>
            </w:r>
          </w:p>
        </w:tc>
        <w:tc>
          <w:tcPr>
            <w:tcW w:w="782" w:type="pct"/>
            <w:tcBorders>
              <w:top w:val="nil"/>
              <w:left w:val="nil"/>
              <w:bottom w:val="single" w:color="auto" w:sz="4" w:space="0"/>
              <w:right w:val="single" w:color="auto" w:sz="4" w:space="0"/>
            </w:tcBorders>
            <w:vAlign w:val="center"/>
          </w:tcPr>
          <w:p w14:paraId="2184483E">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3.00</w:t>
            </w:r>
          </w:p>
        </w:tc>
        <w:tc>
          <w:tcPr>
            <w:tcW w:w="782" w:type="pct"/>
            <w:tcBorders>
              <w:top w:val="nil"/>
              <w:left w:val="nil"/>
              <w:bottom w:val="single" w:color="auto" w:sz="4" w:space="0"/>
              <w:right w:val="single" w:color="auto" w:sz="4" w:space="0"/>
            </w:tcBorders>
            <w:vAlign w:val="center"/>
          </w:tcPr>
          <w:p w14:paraId="6AD43BCD">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712.61</w:t>
            </w:r>
          </w:p>
        </w:tc>
        <w:tc>
          <w:tcPr>
            <w:tcW w:w="792" w:type="pct"/>
            <w:tcBorders>
              <w:top w:val="nil"/>
              <w:left w:val="nil"/>
              <w:bottom w:val="single" w:color="auto" w:sz="4" w:space="0"/>
              <w:right w:val="single" w:color="auto" w:sz="4" w:space="0"/>
            </w:tcBorders>
            <w:vAlign w:val="center"/>
          </w:tcPr>
          <w:p w14:paraId="6B071A09">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21.38</w:t>
            </w:r>
          </w:p>
        </w:tc>
      </w:tr>
      <w:tr w14:paraId="7942BE1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BC4048D">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四</w:t>
            </w:r>
          </w:p>
        </w:tc>
        <w:tc>
          <w:tcPr>
            <w:tcW w:w="1132" w:type="pct"/>
            <w:tcBorders>
              <w:top w:val="nil"/>
              <w:left w:val="nil"/>
              <w:bottom w:val="single" w:color="auto" w:sz="4" w:space="0"/>
              <w:right w:val="single" w:color="auto" w:sz="4" w:space="0"/>
            </w:tcBorders>
            <w:vAlign w:val="center"/>
          </w:tcPr>
          <w:p w14:paraId="69EF6ED6">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材料价差</w:t>
            </w:r>
          </w:p>
        </w:tc>
        <w:tc>
          <w:tcPr>
            <w:tcW w:w="802" w:type="pct"/>
            <w:tcBorders>
              <w:top w:val="nil"/>
              <w:left w:val="nil"/>
              <w:bottom w:val="single" w:color="auto" w:sz="4" w:space="0"/>
              <w:right w:val="single" w:color="auto" w:sz="4" w:space="0"/>
            </w:tcBorders>
            <w:vAlign w:val="center"/>
          </w:tcPr>
          <w:p w14:paraId="217BEAE0">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29EE52C4">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82" w:type="pct"/>
            <w:tcBorders>
              <w:top w:val="nil"/>
              <w:left w:val="nil"/>
              <w:bottom w:val="single" w:color="auto" w:sz="4" w:space="0"/>
              <w:right w:val="single" w:color="auto" w:sz="4" w:space="0"/>
            </w:tcBorders>
            <w:vAlign w:val="center"/>
          </w:tcPr>
          <w:p w14:paraId="36E9F64E">
            <w:pPr>
              <w:widowControl/>
              <w:adjustRightInd/>
              <w:snapToGrid/>
              <w:spacing w:line="240" w:lineRule="auto"/>
              <w:ind w:firstLine="0" w:firstLineChars="0"/>
              <w:jc w:val="center"/>
              <w:rPr>
                <w:rFonts w:eastAsia="仿宋"/>
                <w:b/>
                <w:bCs/>
                <w:kern w:val="0"/>
                <w:sz w:val="21"/>
                <w:szCs w:val="21"/>
              </w:rPr>
            </w:pPr>
            <w:r>
              <w:rPr>
                <w:rFonts w:hint="eastAsia" w:ascii="仿宋" w:hAnsi="仿宋" w:eastAsia="仿宋"/>
                <w:b/>
                <w:bCs/>
                <w:sz w:val="21"/>
                <w:szCs w:val="21"/>
              </w:rPr>
              <w:t>　</w:t>
            </w:r>
          </w:p>
        </w:tc>
        <w:tc>
          <w:tcPr>
            <w:tcW w:w="792" w:type="pct"/>
            <w:tcBorders>
              <w:top w:val="nil"/>
              <w:left w:val="nil"/>
              <w:bottom w:val="single" w:color="auto" w:sz="4" w:space="0"/>
              <w:right w:val="single" w:color="auto" w:sz="4" w:space="0"/>
            </w:tcBorders>
            <w:vAlign w:val="center"/>
          </w:tcPr>
          <w:p w14:paraId="489AE4A7">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251.89</w:t>
            </w:r>
          </w:p>
        </w:tc>
      </w:tr>
      <w:tr w14:paraId="0DC0160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083A059">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1132" w:type="pct"/>
            <w:tcBorders>
              <w:top w:val="nil"/>
              <w:left w:val="nil"/>
              <w:bottom w:val="single" w:color="auto" w:sz="4" w:space="0"/>
              <w:right w:val="single" w:color="auto" w:sz="4" w:space="0"/>
            </w:tcBorders>
            <w:vAlign w:val="center"/>
          </w:tcPr>
          <w:p w14:paraId="24AB331A">
            <w:pPr>
              <w:widowControl/>
              <w:adjustRightInd/>
              <w:snapToGrid/>
              <w:spacing w:line="240" w:lineRule="auto"/>
              <w:ind w:firstLine="0" w:firstLineChars="0"/>
              <w:jc w:val="center"/>
              <w:rPr>
                <w:rFonts w:eastAsia="仿宋"/>
                <w:kern w:val="0"/>
                <w:sz w:val="21"/>
                <w:szCs w:val="21"/>
              </w:rPr>
            </w:pPr>
            <w:r>
              <w:rPr>
                <w:rFonts w:eastAsia="仿宋"/>
                <w:kern w:val="0"/>
                <w:sz w:val="21"/>
                <w:szCs w:val="21"/>
              </w:rPr>
              <w:t>柴油</w:t>
            </w:r>
          </w:p>
        </w:tc>
        <w:tc>
          <w:tcPr>
            <w:tcW w:w="802" w:type="pct"/>
            <w:tcBorders>
              <w:top w:val="nil"/>
              <w:left w:val="nil"/>
              <w:bottom w:val="single" w:color="auto" w:sz="4" w:space="0"/>
              <w:right w:val="single" w:color="auto" w:sz="4" w:space="0"/>
            </w:tcBorders>
            <w:vAlign w:val="center"/>
          </w:tcPr>
          <w:p w14:paraId="56D42BD5">
            <w:pPr>
              <w:widowControl/>
              <w:adjustRightInd/>
              <w:snapToGrid/>
              <w:spacing w:line="240" w:lineRule="auto"/>
              <w:ind w:firstLine="0" w:firstLineChars="0"/>
              <w:jc w:val="center"/>
              <w:rPr>
                <w:rFonts w:eastAsia="仿宋"/>
                <w:kern w:val="0"/>
                <w:sz w:val="21"/>
                <w:szCs w:val="21"/>
              </w:rPr>
            </w:pPr>
            <w:r>
              <w:rPr>
                <w:rFonts w:eastAsia="仿宋"/>
                <w:kern w:val="0"/>
                <w:sz w:val="21"/>
                <w:szCs w:val="21"/>
              </w:rPr>
              <w:t>kg</w:t>
            </w:r>
          </w:p>
        </w:tc>
        <w:tc>
          <w:tcPr>
            <w:tcW w:w="782" w:type="pct"/>
            <w:tcBorders>
              <w:top w:val="nil"/>
              <w:left w:val="nil"/>
              <w:bottom w:val="single" w:color="auto" w:sz="4" w:space="0"/>
              <w:right w:val="single" w:color="auto" w:sz="4" w:space="0"/>
            </w:tcBorders>
            <w:vAlign w:val="center"/>
          </w:tcPr>
          <w:p w14:paraId="24A27DD8">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69.20</w:t>
            </w:r>
          </w:p>
        </w:tc>
        <w:tc>
          <w:tcPr>
            <w:tcW w:w="782" w:type="pct"/>
            <w:tcBorders>
              <w:top w:val="nil"/>
              <w:left w:val="nil"/>
              <w:bottom w:val="single" w:color="auto" w:sz="4" w:space="0"/>
              <w:right w:val="single" w:color="auto" w:sz="4" w:space="0"/>
            </w:tcBorders>
            <w:vAlign w:val="center"/>
          </w:tcPr>
          <w:p w14:paraId="08C29DCA">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3.64</w:t>
            </w:r>
          </w:p>
        </w:tc>
        <w:tc>
          <w:tcPr>
            <w:tcW w:w="792" w:type="pct"/>
            <w:tcBorders>
              <w:top w:val="nil"/>
              <w:left w:val="nil"/>
              <w:bottom w:val="single" w:color="auto" w:sz="4" w:space="0"/>
              <w:right w:val="single" w:color="auto" w:sz="4" w:space="0"/>
            </w:tcBorders>
            <w:vAlign w:val="center"/>
          </w:tcPr>
          <w:p w14:paraId="2D2C0B73">
            <w:pPr>
              <w:widowControl/>
              <w:adjustRightInd/>
              <w:snapToGrid/>
              <w:spacing w:line="240" w:lineRule="auto"/>
              <w:ind w:firstLine="0" w:firstLineChars="0"/>
              <w:jc w:val="center"/>
              <w:rPr>
                <w:rFonts w:hint="eastAsia" w:eastAsia="仿宋"/>
                <w:kern w:val="0"/>
                <w:sz w:val="21"/>
                <w:szCs w:val="21"/>
                <w:lang w:eastAsia="zh-CN"/>
              </w:rPr>
            </w:pPr>
            <w:r>
              <w:rPr>
                <w:rFonts w:hint="eastAsia" w:ascii="仿宋" w:hAnsi="仿宋" w:eastAsia="仿宋"/>
                <w:sz w:val="21"/>
                <w:szCs w:val="21"/>
              </w:rPr>
              <w:t>251.89</w:t>
            </w:r>
          </w:p>
        </w:tc>
      </w:tr>
      <w:tr w14:paraId="703875E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D1A609E">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五</w:t>
            </w:r>
          </w:p>
        </w:tc>
        <w:tc>
          <w:tcPr>
            <w:tcW w:w="1132" w:type="pct"/>
            <w:tcBorders>
              <w:top w:val="nil"/>
              <w:left w:val="nil"/>
              <w:bottom w:val="single" w:color="auto" w:sz="4" w:space="0"/>
              <w:right w:val="single" w:color="auto" w:sz="4" w:space="0"/>
            </w:tcBorders>
            <w:vAlign w:val="center"/>
          </w:tcPr>
          <w:p w14:paraId="17F93EDB">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税金</w:t>
            </w:r>
          </w:p>
        </w:tc>
        <w:tc>
          <w:tcPr>
            <w:tcW w:w="802" w:type="pct"/>
            <w:tcBorders>
              <w:top w:val="nil"/>
              <w:left w:val="nil"/>
              <w:bottom w:val="single" w:color="auto" w:sz="4" w:space="0"/>
              <w:right w:val="single" w:color="auto" w:sz="4" w:space="0"/>
            </w:tcBorders>
            <w:vAlign w:val="center"/>
          </w:tcPr>
          <w:p w14:paraId="4FED068A">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w:t>
            </w:r>
          </w:p>
        </w:tc>
        <w:tc>
          <w:tcPr>
            <w:tcW w:w="782" w:type="pct"/>
            <w:tcBorders>
              <w:top w:val="nil"/>
              <w:left w:val="nil"/>
              <w:bottom w:val="single" w:color="auto" w:sz="4" w:space="0"/>
              <w:right w:val="single" w:color="auto" w:sz="4" w:space="0"/>
            </w:tcBorders>
            <w:vAlign w:val="center"/>
          </w:tcPr>
          <w:p w14:paraId="5320B1B3">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9.00</w:t>
            </w:r>
          </w:p>
        </w:tc>
        <w:tc>
          <w:tcPr>
            <w:tcW w:w="782" w:type="pct"/>
            <w:tcBorders>
              <w:top w:val="nil"/>
              <w:left w:val="nil"/>
              <w:bottom w:val="single" w:color="auto" w:sz="4" w:space="0"/>
              <w:right w:val="single" w:color="auto" w:sz="4" w:space="0"/>
            </w:tcBorders>
            <w:vAlign w:val="center"/>
          </w:tcPr>
          <w:p w14:paraId="284E0A81">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985.88</w:t>
            </w:r>
          </w:p>
        </w:tc>
        <w:tc>
          <w:tcPr>
            <w:tcW w:w="792" w:type="pct"/>
            <w:tcBorders>
              <w:top w:val="nil"/>
              <w:left w:val="nil"/>
              <w:bottom w:val="single" w:color="auto" w:sz="4" w:space="0"/>
              <w:right w:val="single" w:color="auto" w:sz="4" w:space="0"/>
            </w:tcBorders>
            <w:vAlign w:val="center"/>
          </w:tcPr>
          <w:p w14:paraId="54F5AE9C">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88.73</w:t>
            </w:r>
          </w:p>
        </w:tc>
      </w:tr>
      <w:tr w14:paraId="5145675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11019F3">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合计</w:t>
            </w:r>
          </w:p>
        </w:tc>
        <w:tc>
          <w:tcPr>
            <w:tcW w:w="1132" w:type="pct"/>
            <w:tcBorders>
              <w:top w:val="nil"/>
              <w:left w:val="nil"/>
              <w:bottom w:val="single" w:color="auto" w:sz="4" w:space="0"/>
              <w:right w:val="single" w:color="auto" w:sz="4" w:space="0"/>
            </w:tcBorders>
            <w:vAlign w:val="center"/>
          </w:tcPr>
          <w:p w14:paraId="21C06302">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802" w:type="pct"/>
            <w:tcBorders>
              <w:top w:val="nil"/>
              <w:left w:val="nil"/>
              <w:bottom w:val="single" w:color="auto" w:sz="4" w:space="0"/>
              <w:right w:val="single" w:color="auto" w:sz="4" w:space="0"/>
            </w:tcBorders>
            <w:vAlign w:val="center"/>
          </w:tcPr>
          <w:p w14:paraId="6CA3147F">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782" w:type="pct"/>
            <w:tcBorders>
              <w:top w:val="nil"/>
              <w:left w:val="nil"/>
              <w:bottom w:val="single" w:color="auto" w:sz="4" w:space="0"/>
              <w:right w:val="single" w:color="auto" w:sz="4" w:space="0"/>
            </w:tcBorders>
            <w:vAlign w:val="center"/>
          </w:tcPr>
          <w:p w14:paraId="475644FF">
            <w:pPr>
              <w:widowControl/>
              <w:adjustRightInd/>
              <w:snapToGrid/>
              <w:spacing w:line="240" w:lineRule="auto"/>
              <w:ind w:firstLine="0" w:firstLineChars="0"/>
              <w:jc w:val="center"/>
              <w:rPr>
                <w:rFonts w:eastAsia="仿宋"/>
                <w:kern w:val="0"/>
                <w:sz w:val="21"/>
                <w:szCs w:val="21"/>
              </w:rPr>
            </w:pPr>
            <w:r>
              <w:rPr>
                <w:rFonts w:hint="eastAsia" w:ascii="仿宋" w:hAnsi="仿宋" w:eastAsia="仿宋"/>
                <w:sz w:val="21"/>
                <w:szCs w:val="21"/>
              </w:rPr>
              <w:t>　</w:t>
            </w:r>
          </w:p>
        </w:tc>
        <w:tc>
          <w:tcPr>
            <w:tcW w:w="782" w:type="pct"/>
            <w:tcBorders>
              <w:top w:val="nil"/>
              <w:left w:val="nil"/>
              <w:bottom w:val="single" w:color="auto" w:sz="4" w:space="0"/>
              <w:right w:val="single" w:color="auto" w:sz="4" w:space="0"/>
            </w:tcBorders>
            <w:vAlign w:val="center"/>
          </w:tcPr>
          <w:p w14:paraId="53A1C406">
            <w:pPr>
              <w:widowControl/>
              <w:adjustRightInd/>
              <w:snapToGrid/>
              <w:spacing w:line="240" w:lineRule="auto"/>
              <w:ind w:firstLine="0" w:firstLineChars="0"/>
              <w:jc w:val="center"/>
              <w:rPr>
                <w:rFonts w:eastAsia="仿宋"/>
                <w:kern w:val="0"/>
                <w:sz w:val="21"/>
                <w:szCs w:val="21"/>
              </w:rPr>
            </w:pPr>
            <w:r>
              <w:rPr>
                <w:rFonts w:hint="eastAsia" w:ascii="仿宋" w:hAnsi="仿宋" w:eastAsia="仿宋"/>
                <w:sz w:val="21"/>
                <w:szCs w:val="21"/>
              </w:rPr>
              <w:t>　</w:t>
            </w:r>
          </w:p>
        </w:tc>
        <w:tc>
          <w:tcPr>
            <w:tcW w:w="792" w:type="pct"/>
            <w:tcBorders>
              <w:top w:val="nil"/>
              <w:left w:val="nil"/>
              <w:bottom w:val="single" w:color="auto" w:sz="4" w:space="0"/>
              <w:right w:val="single" w:color="auto" w:sz="4" w:space="0"/>
            </w:tcBorders>
            <w:vAlign w:val="center"/>
          </w:tcPr>
          <w:p w14:paraId="7FEA0EC4">
            <w:pPr>
              <w:widowControl/>
              <w:adjustRightInd/>
              <w:snapToGrid/>
              <w:spacing w:line="240" w:lineRule="auto"/>
              <w:ind w:firstLine="0" w:firstLineChars="0"/>
              <w:jc w:val="center"/>
              <w:rPr>
                <w:rFonts w:hint="eastAsia" w:eastAsia="仿宋"/>
                <w:b/>
                <w:bCs/>
                <w:kern w:val="0"/>
                <w:sz w:val="21"/>
                <w:szCs w:val="21"/>
                <w:lang w:eastAsia="zh-CN"/>
              </w:rPr>
            </w:pPr>
            <w:r>
              <w:rPr>
                <w:rFonts w:hint="eastAsia" w:ascii="仿宋" w:hAnsi="仿宋" w:eastAsia="仿宋"/>
                <w:b/>
                <w:bCs/>
                <w:sz w:val="21"/>
                <w:szCs w:val="21"/>
              </w:rPr>
              <w:t>1074.61</w:t>
            </w:r>
          </w:p>
        </w:tc>
      </w:tr>
    </w:tbl>
    <w:p w14:paraId="6B124D97">
      <w:pPr>
        <w:pStyle w:val="41"/>
        <w:spacing w:after="0" w:line="240" w:lineRule="auto"/>
        <w:ind w:left="0" w:leftChars="0" w:firstLine="0" w:firstLineChars="0"/>
        <w:jc w:val="center"/>
        <w:rPr>
          <w:rFonts w:eastAsia="黑体"/>
          <w:bCs/>
          <w:sz w:val="24"/>
          <w:szCs w:val="24"/>
        </w:rPr>
      </w:pPr>
    </w:p>
    <w:p w14:paraId="3279E72E">
      <w:pPr>
        <w:pStyle w:val="41"/>
        <w:spacing w:after="0" w:line="240" w:lineRule="auto"/>
        <w:ind w:left="0" w:leftChars="0" w:firstLine="0" w:firstLineChars="0"/>
        <w:jc w:val="center"/>
        <w:rPr>
          <w:rFonts w:eastAsia="黑体"/>
          <w:bCs/>
          <w:sz w:val="24"/>
          <w:szCs w:val="24"/>
        </w:rPr>
      </w:pPr>
    </w:p>
    <w:p w14:paraId="55C9C5AD">
      <w:pPr>
        <w:pStyle w:val="41"/>
        <w:spacing w:after="0" w:line="240" w:lineRule="auto"/>
        <w:ind w:left="0" w:leftChars="0" w:firstLine="0" w:firstLineChars="0"/>
        <w:jc w:val="center"/>
        <w:rPr>
          <w:rFonts w:eastAsia="黑体"/>
          <w:bCs/>
          <w:sz w:val="24"/>
          <w:szCs w:val="24"/>
        </w:rPr>
      </w:pPr>
    </w:p>
    <w:p w14:paraId="0694CB94">
      <w:pPr>
        <w:pStyle w:val="41"/>
        <w:spacing w:after="0" w:line="240" w:lineRule="auto"/>
        <w:ind w:left="0" w:leftChars="0" w:firstLine="0" w:firstLineChars="0"/>
        <w:jc w:val="center"/>
        <w:rPr>
          <w:rFonts w:eastAsia="黑体"/>
          <w:bCs/>
          <w:sz w:val="24"/>
          <w:szCs w:val="24"/>
        </w:rPr>
      </w:pPr>
    </w:p>
    <w:p w14:paraId="0C3BB8BC">
      <w:pPr>
        <w:pStyle w:val="41"/>
        <w:spacing w:after="0" w:line="240" w:lineRule="auto"/>
        <w:ind w:left="0" w:leftChars="0" w:firstLine="0" w:firstLineChars="0"/>
        <w:jc w:val="center"/>
        <w:rPr>
          <w:rFonts w:eastAsia="黑体"/>
          <w:bCs/>
          <w:sz w:val="24"/>
          <w:szCs w:val="24"/>
        </w:rPr>
      </w:pPr>
      <w:r>
        <w:rPr>
          <w:rFonts w:hint="eastAsia" w:eastAsia="黑体"/>
          <w:bCs/>
          <w:sz w:val="24"/>
          <w:szCs w:val="24"/>
        </w:rPr>
        <w:t>5</w:t>
      </w:r>
      <w:r>
        <w:rPr>
          <w:rFonts w:eastAsia="黑体"/>
          <w:bCs/>
          <w:sz w:val="24"/>
          <w:szCs w:val="24"/>
        </w:rPr>
        <w:t>.</w:t>
      </w:r>
      <w:r>
        <w:rPr>
          <w:rFonts w:hint="eastAsia" w:eastAsia="黑体"/>
          <w:bCs/>
          <w:sz w:val="24"/>
          <w:szCs w:val="24"/>
        </w:rPr>
        <w:t>土壤培肥</w:t>
      </w:r>
    </w:p>
    <w:tbl>
      <w:tblPr>
        <w:tblStyle w:val="42"/>
        <w:tblW w:w="5000" w:type="pct"/>
        <w:tblInd w:w="0" w:type="dxa"/>
        <w:tblLayout w:type="autofit"/>
        <w:tblCellMar>
          <w:top w:w="0" w:type="dxa"/>
          <w:left w:w="108" w:type="dxa"/>
          <w:bottom w:w="0" w:type="dxa"/>
          <w:right w:w="108" w:type="dxa"/>
        </w:tblCellMar>
      </w:tblPr>
      <w:tblGrid>
        <w:gridCol w:w="817"/>
        <w:gridCol w:w="2708"/>
        <w:gridCol w:w="1535"/>
        <w:gridCol w:w="1497"/>
        <w:gridCol w:w="1497"/>
        <w:gridCol w:w="1516"/>
      </w:tblGrid>
      <w:tr w14:paraId="05010B49">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A2ABF7D">
            <w:pPr>
              <w:pStyle w:val="145"/>
            </w:pPr>
            <w:r>
              <w:t>定额编号：</w:t>
            </w:r>
            <w:r>
              <w:rPr>
                <w:rFonts w:hint="eastAsia"/>
              </w:rPr>
              <w:t>A001</w:t>
            </w:r>
            <w:r>
              <w:t>定额单位：</w:t>
            </w:r>
            <w:r>
              <w:rPr>
                <w:rFonts w:hint="eastAsia"/>
              </w:rPr>
              <w:t>hm</w:t>
            </w:r>
            <w:r>
              <w:rPr>
                <w:rFonts w:hint="eastAsia" w:ascii="Calibri" w:hAnsi="Calibri" w:cs="Calibri"/>
                <w:vertAlign w:val="superscript"/>
              </w:rPr>
              <w:t>2</w:t>
            </w:r>
          </w:p>
        </w:tc>
      </w:tr>
      <w:tr w14:paraId="5C7BC75A">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141AA013">
            <w:pPr>
              <w:pStyle w:val="145"/>
            </w:pPr>
            <w:r>
              <w:t>施工方法：</w:t>
            </w:r>
            <w:r>
              <w:rPr>
                <w:rFonts w:hint="eastAsia"/>
              </w:rPr>
              <w:t>人工操作</w:t>
            </w:r>
            <w:r>
              <w:t>。</w:t>
            </w:r>
          </w:p>
        </w:tc>
      </w:tr>
      <w:tr w14:paraId="61D26CAE">
        <w:tblPrEx>
          <w:tblCellMar>
            <w:top w:w="0" w:type="dxa"/>
            <w:left w:w="108" w:type="dxa"/>
            <w:bottom w:w="0" w:type="dxa"/>
            <w:right w:w="108" w:type="dxa"/>
          </w:tblCellMar>
        </w:tblPrEx>
        <w:trPr>
          <w:trHeight w:val="312" w:hRule="atLeast"/>
        </w:trPr>
        <w:tc>
          <w:tcPr>
            <w:tcW w:w="427" w:type="pct"/>
            <w:tcBorders>
              <w:top w:val="nil"/>
              <w:left w:val="single" w:color="auto" w:sz="4" w:space="0"/>
              <w:bottom w:val="single" w:color="auto" w:sz="4" w:space="0"/>
              <w:right w:val="single" w:color="auto" w:sz="4" w:space="0"/>
            </w:tcBorders>
            <w:vAlign w:val="center"/>
          </w:tcPr>
          <w:p w14:paraId="139BA85B">
            <w:pPr>
              <w:pStyle w:val="145"/>
            </w:pPr>
            <w:r>
              <w:t>序号</w:t>
            </w:r>
          </w:p>
        </w:tc>
        <w:tc>
          <w:tcPr>
            <w:tcW w:w="1415" w:type="pct"/>
            <w:tcBorders>
              <w:top w:val="nil"/>
              <w:left w:val="nil"/>
              <w:bottom w:val="single" w:color="auto" w:sz="4" w:space="0"/>
              <w:right w:val="single" w:color="auto" w:sz="4" w:space="0"/>
            </w:tcBorders>
            <w:vAlign w:val="center"/>
          </w:tcPr>
          <w:p w14:paraId="55966AAC">
            <w:pPr>
              <w:pStyle w:val="145"/>
            </w:pPr>
            <w:r>
              <w:t>项目名称</w:t>
            </w:r>
          </w:p>
        </w:tc>
        <w:tc>
          <w:tcPr>
            <w:tcW w:w="802" w:type="pct"/>
            <w:tcBorders>
              <w:top w:val="nil"/>
              <w:left w:val="nil"/>
              <w:bottom w:val="single" w:color="auto" w:sz="4" w:space="0"/>
              <w:right w:val="single" w:color="auto" w:sz="4" w:space="0"/>
            </w:tcBorders>
            <w:vAlign w:val="center"/>
          </w:tcPr>
          <w:p w14:paraId="06872A7F">
            <w:pPr>
              <w:pStyle w:val="145"/>
            </w:pPr>
            <w:r>
              <w:t>单位</w:t>
            </w:r>
          </w:p>
        </w:tc>
        <w:tc>
          <w:tcPr>
            <w:tcW w:w="782" w:type="pct"/>
            <w:tcBorders>
              <w:top w:val="nil"/>
              <w:left w:val="nil"/>
              <w:bottom w:val="single" w:color="auto" w:sz="4" w:space="0"/>
              <w:right w:val="single" w:color="auto" w:sz="4" w:space="0"/>
            </w:tcBorders>
            <w:vAlign w:val="center"/>
          </w:tcPr>
          <w:p w14:paraId="0A75EDBB">
            <w:pPr>
              <w:pStyle w:val="145"/>
            </w:pPr>
            <w:r>
              <w:t>数量</w:t>
            </w:r>
          </w:p>
        </w:tc>
        <w:tc>
          <w:tcPr>
            <w:tcW w:w="782" w:type="pct"/>
            <w:tcBorders>
              <w:top w:val="nil"/>
              <w:left w:val="nil"/>
              <w:bottom w:val="single" w:color="auto" w:sz="4" w:space="0"/>
              <w:right w:val="single" w:color="auto" w:sz="4" w:space="0"/>
            </w:tcBorders>
            <w:vAlign w:val="center"/>
          </w:tcPr>
          <w:p w14:paraId="692DDD1F">
            <w:pPr>
              <w:pStyle w:val="145"/>
            </w:pPr>
            <w:r>
              <w:t>单价</w:t>
            </w:r>
          </w:p>
        </w:tc>
        <w:tc>
          <w:tcPr>
            <w:tcW w:w="792" w:type="pct"/>
            <w:tcBorders>
              <w:top w:val="nil"/>
              <w:left w:val="nil"/>
              <w:bottom w:val="single" w:color="auto" w:sz="4" w:space="0"/>
              <w:right w:val="single" w:color="auto" w:sz="4" w:space="0"/>
            </w:tcBorders>
            <w:vAlign w:val="center"/>
          </w:tcPr>
          <w:p w14:paraId="1F88E553">
            <w:pPr>
              <w:pStyle w:val="145"/>
            </w:pPr>
            <w:r>
              <w:t>小计（元）</w:t>
            </w:r>
          </w:p>
        </w:tc>
      </w:tr>
      <w:tr w14:paraId="057ABE59">
        <w:tblPrEx>
          <w:tblCellMar>
            <w:top w:w="0" w:type="dxa"/>
            <w:left w:w="108" w:type="dxa"/>
            <w:bottom w:w="0" w:type="dxa"/>
            <w:right w:w="108" w:type="dxa"/>
          </w:tblCellMar>
        </w:tblPrEx>
        <w:trPr>
          <w:trHeight w:val="312" w:hRule="atLeast"/>
        </w:trPr>
        <w:tc>
          <w:tcPr>
            <w:tcW w:w="427" w:type="pct"/>
            <w:tcBorders>
              <w:top w:val="nil"/>
              <w:left w:val="single" w:color="auto" w:sz="4" w:space="0"/>
              <w:bottom w:val="single" w:color="auto" w:sz="4" w:space="0"/>
              <w:right w:val="single" w:color="auto" w:sz="4" w:space="0"/>
            </w:tcBorders>
            <w:vAlign w:val="center"/>
          </w:tcPr>
          <w:p w14:paraId="60A02CA5">
            <w:pPr>
              <w:pStyle w:val="145"/>
            </w:pPr>
            <w:r>
              <w:t>1</w:t>
            </w:r>
          </w:p>
        </w:tc>
        <w:tc>
          <w:tcPr>
            <w:tcW w:w="1415" w:type="pct"/>
            <w:tcBorders>
              <w:top w:val="nil"/>
              <w:left w:val="nil"/>
              <w:bottom w:val="single" w:color="auto" w:sz="4" w:space="0"/>
              <w:right w:val="single" w:color="auto" w:sz="4" w:space="0"/>
            </w:tcBorders>
            <w:vAlign w:val="center"/>
          </w:tcPr>
          <w:p w14:paraId="7BDDA32F">
            <w:pPr>
              <w:pStyle w:val="145"/>
              <w:rPr>
                <w:b/>
                <w:bCs/>
              </w:rPr>
            </w:pPr>
            <w:r>
              <w:rPr>
                <w:rFonts w:hint="eastAsia" w:ascii="仿宋_GB2312"/>
                <w:b/>
                <w:bCs/>
              </w:rPr>
              <w:t>人工费</w:t>
            </w:r>
          </w:p>
        </w:tc>
        <w:tc>
          <w:tcPr>
            <w:tcW w:w="802" w:type="pct"/>
            <w:tcBorders>
              <w:top w:val="nil"/>
              <w:left w:val="nil"/>
              <w:bottom w:val="single" w:color="auto" w:sz="4" w:space="0"/>
              <w:right w:val="single" w:color="auto" w:sz="4" w:space="0"/>
            </w:tcBorders>
            <w:vAlign w:val="center"/>
          </w:tcPr>
          <w:p w14:paraId="00CA3BD6">
            <w:pPr>
              <w:pStyle w:val="145"/>
              <w:rPr>
                <w:b/>
                <w:bCs/>
              </w:rPr>
            </w:pPr>
            <w:r>
              <w:rPr>
                <w:rFonts w:hint="eastAsia" w:ascii="仿宋_GB2312"/>
                <w:b/>
                <w:bCs/>
              </w:rPr>
              <w:t>　</w:t>
            </w:r>
          </w:p>
        </w:tc>
        <w:tc>
          <w:tcPr>
            <w:tcW w:w="782" w:type="pct"/>
            <w:tcBorders>
              <w:top w:val="nil"/>
              <w:left w:val="nil"/>
              <w:bottom w:val="single" w:color="auto" w:sz="4" w:space="0"/>
              <w:right w:val="single" w:color="auto" w:sz="4" w:space="0"/>
            </w:tcBorders>
            <w:vAlign w:val="center"/>
          </w:tcPr>
          <w:p w14:paraId="69663AA9">
            <w:pPr>
              <w:pStyle w:val="145"/>
              <w:rPr>
                <w:b/>
                <w:bCs/>
              </w:rPr>
            </w:pPr>
            <w:r>
              <w:rPr>
                <w:rFonts w:hint="eastAsia" w:ascii="仿宋_GB2312"/>
                <w:b/>
                <w:bCs/>
              </w:rPr>
              <w:t>　</w:t>
            </w:r>
          </w:p>
        </w:tc>
        <w:tc>
          <w:tcPr>
            <w:tcW w:w="782" w:type="pct"/>
            <w:tcBorders>
              <w:top w:val="nil"/>
              <w:left w:val="nil"/>
              <w:bottom w:val="single" w:color="auto" w:sz="4" w:space="0"/>
              <w:right w:val="single" w:color="auto" w:sz="4" w:space="0"/>
            </w:tcBorders>
            <w:vAlign w:val="center"/>
          </w:tcPr>
          <w:p w14:paraId="11E54EE6">
            <w:pPr>
              <w:pStyle w:val="145"/>
              <w:rPr>
                <w:b/>
                <w:bCs/>
              </w:rPr>
            </w:pPr>
            <w:r>
              <w:rPr>
                <w:rFonts w:hint="eastAsia" w:ascii="仿宋_GB2312"/>
                <w:b/>
                <w:bCs/>
              </w:rPr>
              <w:t>　</w:t>
            </w:r>
          </w:p>
        </w:tc>
        <w:tc>
          <w:tcPr>
            <w:tcW w:w="792" w:type="pct"/>
            <w:tcBorders>
              <w:top w:val="nil"/>
              <w:left w:val="nil"/>
              <w:bottom w:val="single" w:color="auto" w:sz="4" w:space="0"/>
              <w:right w:val="single" w:color="auto" w:sz="4" w:space="0"/>
            </w:tcBorders>
            <w:vAlign w:val="center"/>
          </w:tcPr>
          <w:p w14:paraId="251082E8">
            <w:pPr>
              <w:pStyle w:val="145"/>
              <w:rPr>
                <w:b/>
                <w:bCs/>
              </w:rPr>
            </w:pPr>
            <w:r>
              <w:rPr>
                <w:rFonts w:hint="eastAsia" w:ascii="仿宋" w:hAnsi="仿宋" w:eastAsia="仿宋"/>
                <w:b/>
                <w:bCs/>
              </w:rPr>
              <w:t>466.08</w:t>
            </w:r>
          </w:p>
        </w:tc>
      </w:tr>
      <w:tr w14:paraId="7862EBF4">
        <w:tblPrEx>
          <w:tblCellMar>
            <w:top w:w="0" w:type="dxa"/>
            <w:left w:w="108" w:type="dxa"/>
            <w:bottom w:w="0" w:type="dxa"/>
            <w:right w:w="108" w:type="dxa"/>
          </w:tblCellMar>
        </w:tblPrEx>
        <w:trPr>
          <w:trHeight w:val="312" w:hRule="atLeast"/>
        </w:trPr>
        <w:tc>
          <w:tcPr>
            <w:tcW w:w="427" w:type="pct"/>
            <w:tcBorders>
              <w:top w:val="nil"/>
              <w:left w:val="single" w:color="auto" w:sz="4" w:space="0"/>
              <w:bottom w:val="single" w:color="auto" w:sz="4" w:space="0"/>
              <w:right w:val="single" w:color="auto" w:sz="4" w:space="0"/>
            </w:tcBorders>
            <w:vAlign w:val="center"/>
          </w:tcPr>
          <w:p w14:paraId="50E51B6C">
            <w:pPr>
              <w:pStyle w:val="145"/>
            </w:pPr>
            <w:r>
              <w:rPr>
                <w:rFonts w:hint="eastAsia" w:ascii="仿宋_GB2312"/>
              </w:rPr>
              <w:t>　</w:t>
            </w:r>
          </w:p>
        </w:tc>
        <w:tc>
          <w:tcPr>
            <w:tcW w:w="1415" w:type="pct"/>
            <w:tcBorders>
              <w:top w:val="nil"/>
              <w:left w:val="nil"/>
              <w:bottom w:val="single" w:color="auto" w:sz="4" w:space="0"/>
              <w:right w:val="single" w:color="auto" w:sz="4" w:space="0"/>
            </w:tcBorders>
            <w:vAlign w:val="center"/>
          </w:tcPr>
          <w:p w14:paraId="0059D5D4">
            <w:pPr>
              <w:pStyle w:val="145"/>
            </w:pPr>
            <w:r>
              <w:rPr>
                <w:rFonts w:hint="eastAsia" w:ascii="仿宋_GB2312"/>
              </w:rPr>
              <w:t>乙类工</w:t>
            </w:r>
          </w:p>
        </w:tc>
        <w:tc>
          <w:tcPr>
            <w:tcW w:w="802" w:type="pct"/>
            <w:tcBorders>
              <w:top w:val="nil"/>
              <w:left w:val="nil"/>
              <w:bottom w:val="single" w:color="auto" w:sz="4" w:space="0"/>
              <w:right w:val="single" w:color="auto" w:sz="4" w:space="0"/>
            </w:tcBorders>
            <w:vAlign w:val="center"/>
          </w:tcPr>
          <w:p w14:paraId="116CE675">
            <w:pPr>
              <w:pStyle w:val="145"/>
            </w:pPr>
            <w:r>
              <w:rPr>
                <w:rFonts w:hint="eastAsia" w:ascii="仿宋_GB2312"/>
              </w:rPr>
              <w:t>工日</w:t>
            </w:r>
          </w:p>
        </w:tc>
        <w:tc>
          <w:tcPr>
            <w:tcW w:w="782" w:type="pct"/>
            <w:tcBorders>
              <w:top w:val="nil"/>
              <w:left w:val="nil"/>
              <w:bottom w:val="single" w:color="auto" w:sz="4" w:space="0"/>
              <w:right w:val="single" w:color="auto" w:sz="4" w:space="0"/>
            </w:tcBorders>
            <w:vAlign w:val="center"/>
          </w:tcPr>
          <w:p w14:paraId="19D1D213">
            <w:pPr>
              <w:pStyle w:val="145"/>
            </w:pPr>
            <w:r>
              <w:rPr>
                <w:rFonts w:hint="eastAsia" w:ascii="仿宋" w:hAnsi="仿宋" w:eastAsia="仿宋"/>
              </w:rPr>
              <w:t>12</w:t>
            </w:r>
          </w:p>
        </w:tc>
        <w:tc>
          <w:tcPr>
            <w:tcW w:w="782" w:type="pct"/>
            <w:tcBorders>
              <w:top w:val="nil"/>
              <w:left w:val="nil"/>
              <w:bottom w:val="single" w:color="auto" w:sz="4" w:space="0"/>
              <w:right w:val="single" w:color="auto" w:sz="4" w:space="0"/>
            </w:tcBorders>
            <w:vAlign w:val="center"/>
          </w:tcPr>
          <w:p w14:paraId="2174F442">
            <w:pPr>
              <w:pStyle w:val="145"/>
            </w:pPr>
            <w:r>
              <w:rPr>
                <w:rFonts w:hint="eastAsia" w:ascii="仿宋" w:hAnsi="仿宋" w:eastAsia="仿宋"/>
              </w:rPr>
              <w:t>38.84</w:t>
            </w:r>
          </w:p>
        </w:tc>
        <w:tc>
          <w:tcPr>
            <w:tcW w:w="792" w:type="pct"/>
            <w:tcBorders>
              <w:top w:val="nil"/>
              <w:left w:val="nil"/>
              <w:bottom w:val="single" w:color="auto" w:sz="4" w:space="0"/>
              <w:right w:val="single" w:color="auto" w:sz="4" w:space="0"/>
            </w:tcBorders>
            <w:vAlign w:val="center"/>
          </w:tcPr>
          <w:p w14:paraId="1ECB4D58">
            <w:pPr>
              <w:pStyle w:val="145"/>
            </w:pPr>
            <w:r>
              <w:rPr>
                <w:rFonts w:hint="eastAsia" w:ascii="仿宋" w:hAnsi="仿宋" w:eastAsia="仿宋"/>
              </w:rPr>
              <w:t>466.08</w:t>
            </w:r>
          </w:p>
        </w:tc>
      </w:tr>
      <w:tr w14:paraId="312C467D">
        <w:tblPrEx>
          <w:tblCellMar>
            <w:top w:w="0" w:type="dxa"/>
            <w:left w:w="108" w:type="dxa"/>
            <w:bottom w:w="0" w:type="dxa"/>
            <w:right w:w="108" w:type="dxa"/>
          </w:tblCellMar>
        </w:tblPrEx>
        <w:trPr>
          <w:trHeight w:val="312" w:hRule="atLeast"/>
        </w:trPr>
        <w:tc>
          <w:tcPr>
            <w:tcW w:w="427" w:type="pct"/>
            <w:tcBorders>
              <w:top w:val="nil"/>
              <w:left w:val="single" w:color="auto" w:sz="4" w:space="0"/>
              <w:bottom w:val="single" w:color="auto" w:sz="4" w:space="0"/>
              <w:right w:val="single" w:color="auto" w:sz="4" w:space="0"/>
            </w:tcBorders>
            <w:vAlign w:val="center"/>
          </w:tcPr>
          <w:p w14:paraId="0602D852">
            <w:pPr>
              <w:pStyle w:val="145"/>
            </w:pPr>
            <w:r>
              <w:t>2</w:t>
            </w:r>
          </w:p>
        </w:tc>
        <w:tc>
          <w:tcPr>
            <w:tcW w:w="1415" w:type="pct"/>
            <w:tcBorders>
              <w:top w:val="nil"/>
              <w:left w:val="nil"/>
              <w:bottom w:val="single" w:color="auto" w:sz="4" w:space="0"/>
              <w:right w:val="single" w:color="auto" w:sz="4" w:space="0"/>
            </w:tcBorders>
            <w:vAlign w:val="center"/>
          </w:tcPr>
          <w:p w14:paraId="36316BD3">
            <w:pPr>
              <w:pStyle w:val="145"/>
              <w:rPr>
                <w:b/>
                <w:bCs/>
              </w:rPr>
            </w:pPr>
            <w:r>
              <w:rPr>
                <w:rFonts w:hint="eastAsia" w:ascii="仿宋_GB2312"/>
                <w:b/>
                <w:bCs/>
              </w:rPr>
              <w:t>材料费</w:t>
            </w:r>
          </w:p>
        </w:tc>
        <w:tc>
          <w:tcPr>
            <w:tcW w:w="802" w:type="pct"/>
            <w:tcBorders>
              <w:top w:val="nil"/>
              <w:left w:val="nil"/>
              <w:bottom w:val="single" w:color="auto" w:sz="4" w:space="0"/>
              <w:right w:val="single" w:color="auto" w:sz="4" w:space="0"/>
            </w:tcBorders>
            <w:vAlign w:val="center"/>
          </w:tcPr>
          <w:p w14:paraId="210253AC">
            <w:pPr>
              <w:pStyle w:val="145"/>
              <w:rPr>
                <w:b/>
                <w:bCs/>
              </w:rPr>
            </w:pPr>
            <w:r>
              <w:rPr>
                <w:rFonts w:hint="eastAsia" w:ascii="仿宋_GB2312"/>
                <w:b/>
                <w:bCs/>
              </w:rPr>
              <w:t>　</w:t>
            </w:r>
          </w:p>
        </w:tc>
        <w:tc>
          <w:tcPr>
            <w:tcW w:w="782" w:type="pct"/>
            <w:tcBorders>
              <w:top w:val="nil"/>
              <w:left w:val="nil"/>
              <w:bottom w:val="single" w:color="auto" w:sz="4" w:space="0"/>
              <w:right w:val="single" w:color="auto" w:sz="4" w:space="0"/>
            </w:tcBorders>
            <w:vAlign w:val="center"/>
          </w:tcPr>
          <w:p w14:paraId="7150B50A">
            <w:pPr>
              <w:pStyle w:val="145"/>
              <w:rPr>
                <w:b/>
                <w:bCs/>
              </w:rPr>
            </w:pPr>
            <w:r>
              <w:rPr>
                <w:rFonts w:hint="eastAsia" w:ascii="仿宋_GB2312"/>
                <w:b/>
                <w:bCs/>
              </w:rPr>
              <w:t>　</w:t>
            </w:r>
          </w:p>
        </w:tc>
        <w:tc>
          <w:tcPr>
            <w:tcW w:w="782" w:type="pct"/>
            <w:tcBorders>
              <w:top w:val="nil"/>
              <w:left w:val="nil"/>
              <w:bottom w:val="single" w:color="auto" w:sz="4" w:space="0"/>
              <w:right w:val="single" w:color="auto" w:sz="4" w:space="0"/>
            </w:tcBorders>
            <w:vAlign w:val="center"/>
          </w:tcPr>
          <w:p w14:paraId="403E2C61">
            <w:pPr>
              <w:pStyle w:val="145"/>
              <w:rPr>
                <w:b/>
                <w:bCs/>
              </w:rPr>
            </w:pPr>
            <w:r>
              <w:rPr>
                <w:rFonts w:hint="eastAsia" w:ascii="仿宋_GB2312"/>
                <w:b/>
                <w:bCs/>
              </w:rPr>
              <w:t>　</w:t>
            </w:r>
          </w:p>
        </w:tc>
        <w:tc>
          <w:tcPr>
            <w:tcW w:w="792" w:type="pct"/>
            <w:tcBorders>
              <w:top w:val="nil"/>
              <w:left w:val="nil"/>
              <w:bottom w:val="single" w:color="auto" w:sz="4" w:space="0"/>
              <w:right w:val="single" w:color="auto" w:sz="4" w:space="0"/>
            </w:tcBorders>
            <w:vAlign w:val="center"/>
          </w:tcPr>
          <w:p w14:paraId="2C3966DF">
            <w:pPr>
              <w:pStyle w:val="145"/>
              <w:rPr>
                <w:b/>
                <w:bCs/>
              </w:rPr>
            </w:pPr>
            <w:r>
              <w:rPr>
                <w:rFonts w:hint="eastAsia" w:ascii="仿宋" w:hAnsi="仿宋" w:eastAsia="仿宋"/>
                <w:b/>
                <w:bCs/>
              </w:rPr>
              <w:t>450</w:t>
            </w:r>
          </w:p>
        </w:tc>
      </w:tr>
      <w:tr w14:paraId="0609CAFB">
        <w:tblPrEx>
          <w:tblCellMar>
            <w:top w:w="0" w:type="dxa"/>
            <w:left w:w="108" w:type="dxa"/>
            <w:bottom w:w="0" w:type="dxa"/>
            <w:right w:w="108" w:type="dxa"/>
          </w:tblCellMar>
        </w:tblPrEx>
        <w:trPr>
          <w:trHeight w:val="312" w:hRule="atLeast"/>
        </w:trPr>
        <w:tc>
          <w:tcPr>
            <w:tcW w:w="427" w:type="pct"/>
            <w:tcBorders>
              <w:top w:val="nil"/>
              <w:left w:val="single" w:color="auto" w:sz="4" w:space="0"/>
              <w:bottom w:val="single" w:color="auto" w:sz="4" w:space="0"/>
              <w:right w:val="single" w:color="auto" w:sz="4" w:space="0"/>
            </w:tcBorders>
            <w:vAlign w:val="center"/>
          </w:tcPr>
          <w:p w14:paraId="0A98FC36">
            <w:pPr>
              <w:pStyle w:val="145"/>
            </w:pPr>
            <w:r>
              <w:t>　</w:t>
            </w:r>
          </w:p>
        </w:tc>
        <w:tc>
          <w:tcPr>
            <w:tcW w:w="1415" w:type="pct"/>
            <w:tcBorders>
              <w:top w:val="nil"/>
              <w:left w:val="nil"/>
              <w:bottom w:val="single" w:color="auto" w:sz="4" w:space="0"/>
              <w:right w:val="single" w:color="auto" w:sz="4" w:space="0"/>
            </w:tcBorders>
            <w:vAlign w:val="center"/>
          </w:tcPr>
          <w:p w14:paraId="2A104C15">
            <w:pPr>
              <w:pStyle w:val="145"/>
            </w:pPr>
            <w:r>
              <w:rPr>
                <w:rFonts w:hint="eastAsia" w:ascii="仿宋_GB2312"/>
              </w:rPr>
              <w:t>腐熟农家肥（羊粪、牛粪等）</w:t>
            </w:r>
          </w:p>
        </w:tc>
        <w:tc>
          <w:tcPr>
            <w:tcW w:w="802" w:type="pct"/>
            <w:tcBorders>
              <w:top w:val="nil"/>
              <w:left w:val="nil"/>
              <w:bottom w:val="single" w:color="auto" w:sz="4" w:space="0"/>
              <w:right w:val="single" w:color="auto" w:sz="4" w:space="0"/>
            </w:tcBorders>
            <w:vAlign w:val="center"/>
          </w:tcPr>
          <w:p w14:paraId="4E437867">
            <w:pPr>
              <w:pStyle w:val="145"/>
            </w:pPr>
            <w:r>
              <w:t>t</w:t>
            </w:r>
          </w:p>
        </w:tc>
        <w:tc>
          <w:tcPr>
            <w:tcW w:w="782" w:type="pct"/>
            <w:tcBorders>
              <w:top w:val="nil"/>
              <w:left w:val="nil"/>
              <w:bottom w:val="single" w:color="auto" w:sz="4" w:space="0"/>
              <w:right w:val="single" w:color="auto" w:sz="4" w:space="0"/>
            </w:tcBorders>
            <w:vAlign w:val="center"/>
          </w:tcPr>
          <w:p w14:paraId="0D6ED8CB">
            <w:pPr>
              <w:pStyle w:val="145"/>
              <w:rPr>
                <w:rFonts w:hint="eastAsia" w:ascii="仿宋" w:hAnsi="仿宋"/>
              </w:rPr>
            </w:pPr>
            <w:r>
              <w:rPr>
                <w:rFonts w:hint="eastAsia" w:ascii="仿宋" w:hAnsi="仿宋" w:eastAsia="仿宋"/>
              </w:rPr>
              <w:t>1.5</w:t>
            </w:r>
          </w:p>
        </w:tc>
        <w:tc>
          <w:tcPr>
            <w:tcW w:w="782" w:type="pct"/>
            <w:tcBorders>
              <w:top w:val="nil"/>
              <w:left w:val="nil"/>
              <w:bottom w:val="single" w:color="auto" w:sz="4" w:space="0"/>
              <w:right w:val="single" w:color="auto" w:sz="4" w:space="0"/>
            </w:tcBorders>
            <w:vAlign w:val="center"/>
          </w:tcPr>
          <w:p w14:paraId="707FA142">
            <w:pPr>
              <w:pStyle w:val="145"/>
              <w:rPr>
                <w:rFonts w:hint="eastAsia" w:ascii="仿宋" w:hAnsi="仿宋"/>
              </w:rPr>
            </w:pPr>
            <w:r>
              <w:rPr>
                <w:rFonts w:hint="eastAsia" w:ascii="仿宋" w:hAnsi="仿宋" w:eastAsia="仿宋"/>
              </w:rPr>
              <w:t>300</w:t>
            </w:r>
          </w:p>
        </w:tc>
        <w:tc>
          <w:tcPr>
            <w:tcW w:w="792" w:type="pct"/>
            <w:tcBorders>
              <w:top w:val="nil"/>
              <w:left w:val="nil"/>
              <w:bottom w:val="single" w:color="auto" w:sz="4" w:space="0"/>
              <w:right w:val="single" w:color="auto" w:sz="4" w:space="0"/>
            </w:tcBorders>
            <w:vAlign w:val="center"/>
          </w:tcPr>
          <w:p w14:paraId="6B5A660C">
            <w:pPr>
              <w:pStyle w:val="145"/>
              <w:rPr>
                <w:rFonts w:hint="eastAsia" w:ascii="仿宋" w:hAnsi="仿宋"/>
                <w:b/>
                <w:bCs/>
              </w:rPr>
            </w:pPr>
            <w:r>
              <w:rPr>
                <w:rFonts w:hint="eastAsia" w:ascii="仿宋" w:hAnsi="仿宋" w:eastAsia="仿宋"/>
                <w:b/>
                <w:bCs/>
              </w:rPr>
              <w:t>450</w:t>
            </w:r>
          </w:p>
        </w:tc>
      </w:tr>
      <w:tr w14:paraId="3989CB5F">
        <w:tblPrEx>
          <w:tblCellMar>
            <w:top w:w="0" w:type="dxa"/>
            <w:left w:w="108" w:type="dxa"/>
            <w:bottom w:w="0" w:type="dxa"/>
            <w:right w:w="108" w:type="dxa"/>
          </w:tblCellMar>
        </w:tblPrEx>
        <w:trPr>
          <w:trHeight w:val="312" w:hRule="atLeast"/>
        </w:trPr>
        <w:tc>
          <w:tcPr>
            <w:tcW w:w="427" w:type="pct"/>
            <w:tcBorders>
              <w:top w:val="nil"/>
              <w:left w:val="single" w:color="auto" w:sz="4" w:space="0"/>
              <w:bottom w:val="single" w:color="auto" w:sz="4" w:space="0"/>
              <w:right w:val="single" w:color="auto" w:sz="4" w:space="0"/>
            </w:tcBorders>
            <w:vAlign w:val="center"/>
          </w:tcPr>
          <w:p w14:paraId="40BCB2F6">
            <w:pPr>
              <w:pStyle w:val="145"/>
              <w:rPr>
                <w:b/>
                <w:bCs/>
              </w:rPr>
            </w:pPr>
            <w:r>
              <w:rPr>
                <w:rFonts w:hint="eastAsia" w:ascii="仿宋_GB2312"/>
                <w:b/>
                <w:bCs/>
              </w:rPr>
              <w:t>3</w:t>
            </w:r>
          </w:p>
        </w:tc>
        <w:tc>
          <w:tcPr>
            <w:tcW w:w="1415" w:type="pct"/>
            <w:tcBorders>
              <w:top w:val="nil"/>
              <w:left w:val="nil"/>
              <w:bottom w:val="single" w:color="auto" w:sz="4" w:space="0"/>
              <w:right w:val="single" w:color="auto" w:sz="4" w:space="0"/>
            </w:tcBorders>
            <w:vAlign w:val="center"/>
          </w:tcPr>
          <w:p w14:paraId="222A4E8D">
            <w:pPr>
              <w:pStyle w:val="145"/>
              <w:rPr>
                <w:b/>
                <w:bCs/>
              </w:rPr>
            </w:pPr>
            <w:r>
              <w:rPr>
                <w:rFonts w:hint="eastAsia" w:ascii="仿宋_GB2312"/>
                <w:b/>
                <w:bCs/>
              </w:rPr>
              <w:t>税金</w:t>
            </w:r>
          </w:p>
        </w:tc>
        <w:tc>
          <w:tcPr>
            <w:tcW w:w="802" w:type="pct"/>
            <w:tcBorders>
              <w:top w:val="nil"/>
              <w:left w:val="nil"/>
              <w:bottom w:val="single" w:color="auto" w:sz="4" w:space="0"/>
              <w:right w:val="single" w:color="auto" w:sz="4" w:space="0"/>
            </w:tcBorders>
            <w:vAlign w:val="center"/>
          </w:tcPr>
          <w:p w14:paraId="4C144021">
            <w:pPr>
              <w:pStyle w:val="145"/>
              <w:rPr>
                <w:b/>
                <w:bCs/>
              </w:rPr>
            </w:pPr>
            <w:r>
              <w:rPr>
                <w:b/>
                <w:bCs/>
              </w:rPr>
              <w:t>%</w:t>
            </w:r>
          </w:p>
        </w:tc>
        <w:tc>
          <w:tcPr>
            <w:tcW w:w="782" w:type="pct"/>
            <w:tcBorders>
              <w:top w:val="nil"/>
              <w:left w:val="nil"/>
              <w:bottom w:val="single" w:color="auto" w:sz="4" w:space="0"/>
              <w:right w:val="single" w:color="auto" w:sz="4" w:space="0"/>
            </w:tcBorders>
            <w:vAlign w:val="center"/>
          </w:tcPr>
          <w:p w14:paraId="3FED01B6">
            <w:pPr>
              <w:pStyle w:val="145"/>
              <w:rPr>
                <w:b/>
                <w:bCs/>
              </w:rPr>
            </w:pPr>
            <w:r>
              <w:rPr>
                <w:rFonts w:hint="eastAsia" w:ascii="仿宋" w:hAnsi="仿宋" w:eastAsia="仿宋"/>
                <w:b/>
                <w:bCs/>
              </w:rPr>
              <w:t>9.00</w:t>
            </w:r>
          </w:p>
        </w:tc>
        <w:tc>
          <w:tcPr>
            <w:tcW w:w="782" w:type="pct"/>
            <w:tcBorders>
              <w:top w:val="nil"/>
              <w:left w:val="nil"/>
              <w:bottom w:val="single" w:color="auto" w:sz="4" w:space="0"/>
              <w:right w:val="single" w:color="auto" w:sz="4" w:space="0"/>
            </w:tcBorders>
            <w:vAlign w:val="center"/>
          </w:tcPr>
          <w:p w14:paraId="02678727">
            <w:pPr>
              <w:pStyle w:val="145"/>
              <w:rPr>
                <w:b/>
                <w:bCs/>
              </w:rPr>
            </w:pPr>
            <w:r>
              <w:rPr>
                <w:rFonts w:hint="eastAsia" w:ascii="仿宋" w:hAnsi="仿宋" w:eastAsia="仿宋"/>
                <w:b/>
                <w:bCs/>
              </w:rPr>
              <w:t>916.08</w:t>
            </w:r>
          </w:p>
        </w:tc>
        <w:tc>
          <w:tcPr>
            <w:tcW w:w="792" w:type="pct"/>
            <w:tcBorders>
              <w:top w:val="nil"/>
              <w:left w:val="nil"/>
              <w:bottom w:val="single" w:color="auto" w:sz="4" w:space="0"/>
              <w:right w:val="single" w:color="auto" w:sz="4" w:space="0"/>
            </w:tcBorders>
            <w:vAlign w:val="center"/>
          </w:tcPr>
          <w:p w14:paraId="58B88316">
            <w:pPr>
              <w:pStyle w:val="145"/>
              <w:rPr>
                <w:b/>
                <w:bCs/>
              </w:rPr>
            </w:pPr>
            <w:r>
              <w:rPr>
                <w:rFonts w:hint="eastAsia" w:ascii="仿宋" w:hAnsi="仿宋" w:eastAsia="仿宋"/>
                <w:b/>
                <w:bCs/>
              </w:rPr>
              <w:t>82.4472</w:t>
            </w:r>
          </w:p>
        </w:tc>
      </w:tr>
      <w:tr w14:paraId="009742C6">
        <w:tblPrEx>
          <w:tblCellMar>
            <w:top w:w="0" w:type="dxa"/>
            <w:left w:w="108" w:type="dxa"/>
            <w:bottom w:w="0" w:type="dxa"/>
            <w:right w:w="108" w:type="dxa"/>
          </w:tblCellMar>
        </w:tblPrEx>
        <w:trPr>
          <w:trHeight w:val="312" w:hRule="atLeast"/>
        </w:trPr>
        <w:tc>
          <w:tcPr>
            <w:tcW w:w="427" w:type="pct"/>
            <w:tcBorders>
              <w:top w:val="nil"/>
              <w:left w:val="single" w:color="auto" w:sz="4" w:space="0"/>
              <w:bottom w:val="single" w:color="auto" w:sz="4" w:space="0"/>
              <w:right w:val="single" w:color="auto" w:sz="4" w:space="0"/>
            </w:tcBorders>
            <w:vAlign w:val="center"/>
          </w:tcPr>
          <w:p w14:paraId="764BC6F6">
            <w:pPr>
              <w:pStyle w:val="145"/>
              <w:rPr>
                <w:b/>
                <w:bCs/>
              </w:rPr>
            </w:pPr>
            <w:r>
              <w:rPr>
                <w:rFonts w:hint="eastAsia" w:ascii="仿宋_GB2312"/>
                <w:b/>
                <w:bCs/>
              </w:rPr>
              <w:t>合计</w:t>
            </w:r>
          </w:p>
        </w:tc>
        <w:tc>
          <w:tcPr>
            <w:tcW w:w="1415" w:type="pct"/>
            <w:tcBorders>
              <w:top w:val="nil"/>
              <w:left w:val="nil"/>
              <w:bottom w:val="single" w:color="auto" w:sz="4" w:space="0"/>
              <w:right w:val="single" w:color="auto" w:sz="4" w:space="0"/>
            </w:tcBorders>
            <w:vAlign w:val="center"/>
          </w:tcPr>
          <w:p w14:paraId="541CC832">
            <w:pPr>
              <w:pStyle w:val="145"/>
            </w:pPr>
            <w:r>
              <w:rPr>
                <w:rFonts w:hint="eastAsia" w:ascii="仿宋_GB2312"/>
              </w:rPr>
              <w:t>　</w:t>
            </w:r>
          </w:p>
        </w:tc>
        <w:tc>
          <w:tcPr>
            <w:tcW w:w="802" w:type="pct"/>
            <w:tcBorders>
              <w:top w:val="nil"/>
              <w:left w:val="nil"/>
              <w:bottom w:val="single" w:color="auto" w:sz="4" w:space="0"/>
              <w:right w:val="single" w:color="auto" w:sz="4" w:space="0"/>
            </w:tcBorders>
            <w:vAlign w:val="center"/>
          </w:tcPr>
          <w:p w14:paraId="6F3917AE">
            <w:pPr>
              <w:pStyle w:val="145"/>
            </w:pPr>
            <w:r>
              <w:rPr>
                <w:rFonts w:hint="eastAsia" w:ascii="仿宋_GB2312"/>
              </w:rPr>
              <w:t>　</w:t>
            </w:r>
          </w:p>
        </w:tc>
        <w:tc>
          <w:tcPr>
            <w:tcW w:w="782" w:type="pct"/>
            <w:tcBorders>
              <w:top w:val="nil"/>
              <w:left w:val="nil"/>
              <w:bottom w:val="single" w:color="auto" w:sz="4" w:space="0"/>
              <w:right w:val="single" w:color="auto" w:sz="4" w:space="0"/>
            </w:tcBorders>
            <w:vAlign w:val="center"/>
          </w:tcPr>
          <w:p w14:paraId="7C4E4F2A">
            <w:pPr>
              <w:pStyle w:val="145"/>
            </w:pPr>
            <w:r>
              <w:rPr>
                <w:rFonts w:hint="eastAsia" w:ascii="仿宋_GB2312"/>
              </w:rPr>
              <w:t>　</w:t>
            </w:r>
          </w:p>
        </w:tc>
        <w:tc>
          <w:tcPr>
            <w:tcW w:w="782" w:type="pct"/>
            <w:tcBorders>
              <w:top w:val="nil"/>
              <w:left w:val="nil"/>
              <w:bottom w:val="single" w:color="auto" w:sz="4" w:space="0"/>
              <w:right w:val="single" w:color="auto" w:sz="4" w:space="0"/>
            </w:tcBorders>
            <w:vAlign w:val="center"/>
          </w:tcPr>
          <w:p w14:paraId="63400042">
            <w:pPr>
              <w:pStyle w:val="145"/>
            </w:pPr>
            <w:r>
              <w:rPr>
                <w:rFonts w:hint="eastAsia" w:ascii="仿宋_GB2312"/>
              </w:rPr>
              <w:t>　</w:t>
            </w:r>
          </w:p>
        </w:tc>
        <w:tc>
          <w:tcPr>
            <w:tcW w:w="792" w:type="pct"/>
            <w:tcBorders>
              <w:top w:val="nil"/>
              <w:left w:val="nil"/>
              <w:bottom w:val="single" w:color="auto" w:sz="4" w:space="0"/>
              <w:right w:val="single" w:color="auto" w:sz="4" w:space="0"/>
            </w:tcBorders>
            <w:vAlign w:val="center"/>
          </w:tcPr>
          <w:p w14:paraId="2956C383">
            <w:pPr>
              <w:pStyle w:val="145"/>
              <w:rPr>
                <w:b/>
                <w:bCs/>
              </w:rPr>
            </w:pPr>
            <w:r>
              <w:rPr>
                <w:rFonts w:hint="eastAsia" w:ascii="仿宋" w:hAnsi="仿宋" w:eastAsia="仿宋"/>
                <w:b/>
                <w:bCs/>
              </w:rPr>
              <w:t>998.53</w:t>
            </w:r>
          </w:p>
        </w:tc>
      </w:tr>
    </w:tbl>
    <w:p w14:paraId="45E952A9">
      <w:pPr>
        <w:pStyle w:val="41"/>
        <w:spacing w:after="0" w:line="240" w:lineRule="auto"/>
        <w:ind w:left="0" w:leftChars="0" w:firstLine="0" w:firstLineChars="0"/>
        <w:jc w:val="center"/>
        <w:rPr>
          <w:rFonts w:eastAsia="黑体"/>
          <w:bCs/>
          <w:sz w:val="24"/>
          <w:szCs w:val="24"/>
        </w:rPr>
      </w:pPr>
    </w:p>
    <w:p w14:paraId="3E55BF23">
      <w:pPr>
        <w:pStyle w:val="41"/>
        <w:spacing w:after="0" w:line="240" w:lineRule="auto"/>
        <w:ind w:left="0" w:leftChars="0" w:firstLine="0" w:firstLineChars="0"/>
        <w:jc w:val="center"/>
        <w:rPr>
          <w:rFonts w:hint="eastAsia" w:eastAsia="黑体"/>
          <w:bCs/>
          <w:sz w:val="24"/>
          <w:szCs w:val="24"/>
          <w:lang w:eastAsia="zh-CN"/>
        </w:rPr>
      </w:pPr>
      <w:r>
        <w:rPr>
          <w:rFonts w:hint="eastAsia" w:eastAsia="黑体"/>
          <w:bCs/>
          <w:sz w:val="24"/>
          <w:szCs w:val="24"/>
        </w:rPr>
        <w:t>6</w:t>
      </w:r>
      <w:r>
        <w:rPr>
          <w:rFonts w:eastAsia="黑体"/>
          <w:bCs/>
          <w:sz w:val="24"/>
          <w:szCs w:val="24"/>
        </w:rPr>
        <w:t>.栽植</w:t>
      </w:r>
      <w:r>
        <w:rPr>
          <w:rFonts w:hint="eastAsia" w:eastAsia="黑体"/>
          <w:bCs/>
          <w:sz w:val="24"/>
          <w:szCs w:val="24"/>
          <w:lang w:val="en-US" w:eastAsia="zh-CN"/>
        </w:rPr>
        <w:t>乔木</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5ED1CB35">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7A926FA3">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定额编号：90008定额单位：100株</w:t>
            </w:r>
          </w:p>
        </w:tc>
      </w:tr>
      <w:tr w14:paraId="52071003">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316D87FF">
            <w:pPr>
              <w:widowControl/>
              <w:adjustRightInd/>
              <w:snapToGrid/>
              <w:spacing w:line="240" w:lineRule="auto"/>
              <w:ind w:firstLine="0" w:firstLineChars="0"/>
              <w:jc w:val="center"/>
              <w:rPr>
                <w:rFonts w:eastAsia="仿宋"/>
                <w:kern w:val="0"/>
                <w:sz w:val="21"/>
                <w:szCs w:val="21"/>
              </w:rPr>
            </w:pPr>
            <w:r>
              <w:rPr>
                <w:rFonts w:eastAsia="仿宋"/>
                <w:kern w:val="0"/>
                <w:sz w:val="21"/>
                <w:szCs w:val="21"/>
              </w:rPr>
              <w:t>施工方法：栽植、浇水、覆土保墒、整形、清理</w:t>
            </w:r>
          </w:p>
        </w:tc>
      </w:tr>
      <w:tr w14:paraId="33EE0B6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3FE1CC7">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序号</w:t>
            </w:r>
          </w:p>
        </w:tc>
        <w:tc>
          <w:tcPr>
            <w:tcW w:w="1132" w:type="pct"/>
            <w:tcBorders>
              <w:top w:val="nil"/>
              <w:left w:val="nil"/>
              <w:bottom w:val="single" w:color="auto" w:sz="4" w:space="0"/>
              <w:right w:val="single" w:color="auto" w:sz="4" w:space="0"/>
            </w:tcBorders>
            <w:vAlign w:val="center"/>
          </w:tcPr>
          <w:p w14:paraId="76A2E863">
            <w:pPr>
              <w:widowControl/>
              <w:adjustRightInd/>
              <w:snapToGrid/>
              <w:spacing w:line="240" w:lineRule="auto"/>
              <w:ind w:firstLine="0" w:firstLineChars="0"/>
              <w:jc w:val="center"/>
              <w:rPr>
                <w:rFonts w:eastAsia="仿宋"/>
                <w:kern w:val="0"/>
                <w:sz w:val="21"/>
                <w:szCs w:val="21"/>
              </w:rPr>
            </w:pPr>
            <w:r>
              <w:rPr>
                <w:rFonts w:eastAsia="仿宋"/>
                <w:kern w:val="0"/>
                <w:sz w:val="21"/>
                <w:szCs w:val="21"/>
              </w:rPr>
              <w:t>项目名称</w:t>
            </w:r>
          </w:p>
        </w:tc>
        <w:tc>
          <w:tcPr>
            <w:tcW w:w="802" w:type="pct"/>
            <w:tcBorders>
              <w:top w:val="nil"/>
              <w:left w:val="nil"/>
              <w:bottom w:val="single" w:color="auto" w:sz="4" w:space="0"/>
              <w:right w:val="single" w:color="auto" w:sz="4" w:space="0"/>
            </w:tcBorders>
            <w:vAlign w:val="center"/>
          </w:tcPr>
          <w:p w14:paraId="62BA25F5">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单位</w:t>
            </w:r>
          </w:p>
        </w:tc>
        <w:tc>
          <w:tcPr>
            <w:tcW w:w="782" w:type="pct"/>
            <w:tcBorders>
              <w:top w:val="nil"/>
              <w:left w:val="nil"/>
              <w:bottom w:val="single" w:color="auto" w:sz="4" w:space="0"/>
              <w:right w:val="single" w:color="auto" w:sz="4" w:space="0"/>
            </w:tcBorders>
            <w:vAlign w:val="center"/>
          </w:tcPr>
          <w:p w14:paraId="1A4F1BEC">
            <w:pPr>
              <w:widowControl/>
              <w:adjustRightInd/>
              <w:snapToGrid/>
              <w:spacing w:line="240" w:lineRule="auto"/>
              <w:ind w:firstLine="0" w:firstLineChars="0"/>
              <w:jc w:val="center"/>
              <w:rPr>
                <w:rFonts w:eastAsia="仿宋"/>
                <w:kern w:val="0"/>
                <w:sz w:val="21"/>
                <w:szCs w:val="21"/>
              </w:rPr>
            </w:pPr>
            <w:r>
              <w:rPr>
                <w:rFonts w:eastAsia="仿宋"/>
                <w:kern w:val="0"/>
                <w:sz w:val="21"/>
                <w:szCs w:val="21"/>
              </w:rPr>
              <w:t>数量</w:t>
            </w:r>
          </w:p>
        </w:tc>
        <w:tc>
          <w:tcPr>
            <w:tcW w:w="782" w:type="pct"/>
            <w:tcBorders>
              <w:top w:val="nil"/>
              <w:left w:val="nil"/>
              <w:bottom w:val="single" w:color="auto" w:sz="4" w:space="0"/>
              <w:right w:val="single" w:color="auto" w:sz="4" w:space="0"/>
            </w:tcBorders>
            <w:vAlign w:val="center"/>
          </w:tcPr>
          <w:p w14:paraId="67EEE022">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单价</w:t>
            </w:r>
          </w:p>
        </w:tc>
        <w:tc>
          <w:tcPr>
            <w:tcW w:w="792" w:type="pct"/>
            <w:tcBorders>
              <w:top w:val="nil"/>
              <w:left w:val="nil"/>
              <w:bottom w:val="single" w:color="auto" w:sz="4" w:space="0"/>
              <w:right w:val="single" w:color="auto" w:sz="4" w:space="0"/>
            </w:tcBorders>
            <w:vAlign w:val="center"/>
          </w:tcPr>
          <w:p w14:paraId="5219696B">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小计（元）</w:t>
            </w:r>
          </w:p>
        </w:tc>
      </w:tr>
      <w:tr w14:paraId="6FDAF27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E377C74">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一</w:t>
            </w:r>
          </w:p>
        </w:tc>
        <w:tc>
          <w:tcPr>
            <w:tcW w:w="1132" w:type="pct"/>
            <w:tcBorders>
              <w:top w:val="nil"/>
              <w:left w:val="nil"/>
              <w:bottom w:val="single" w:color="auto" w:sz="4" w:space="0"/>
              <w:right w:val="single" w:color="auto" w:sz="4" w:space="0"/>
            </w:tcBorders>
            <w:vAlign w:val="center"/>
          </w:tcPr>
          <w:p w14:paraId="41AE3D6A">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直接费</w:t>
            </w:r>
          </w:p>
        </w:tc>
        <w:tc>
          <w:tcPr>
            <w:tcW w:w="802" w:type="pct"/>
            <w:tcBorders>
              <w:top w:val="nil"/>
              <w:left w:val="nil"/>
              <w:bottom w:val="single" w:color="auto" w:sz="4" w:space="0"/>
              <w:right w:val="single" w:color="auto" w:sz="4" w:space="0"/>
            </w:tcBorders>
            <w:vAlign w:val="center"/>
          </w:tcPr>
          <w:p w14:paraId="5476EC17">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714C0D5D">
            <w:pPr>
              <w:pStyle w:val="72"/>
              <w:rPr>
                <w:rFonts w:ascii="Times New Roman" w:hAnsi="Times New Roman"/>
                <w:kern w:val="0"/>
              </w:rPr>
            </w:pPr>
            <w:r>
              <w:rPr>
                <w:rFonts w:ascii="Times New Roman" w:hAnsi="Times New Roman"/>
              </w:rPr>
              <w:t>　</w:t>
            </w:r>
          </w:p>
        </w:tc>
        <w:tc>
          <w:tcPr>
            <w:tcW w:w="782" w:type="pct"/>
            <w:tcBorders>
              <w:top w:val="nil"/>
              <w:left w:val="nil"/>
              <w:bottom w:val="single" w:color="auto" w:sz="4" w:space="0"/>
              <w:right w:val="single" w:color="auto" w:sz="4" w:space="0"/>
            </w:tcBorders>
            <w:vAlign w:val="center"/>
          </w:tcPr>
          <w:p w14:paraId="0DA98EEA">
            <w:pPr>
              <w:pStyle w:val="72"/>
              <w:rPr>
                <w:rFonts w:ascii="Times New Roman" w:hAnsi="Times New Roman"/>
                <w:kern w:val="0"/>
              </w:rPr>
            </w:pPr>
            <w:r>
              <w:rPr>
                <w:rFonts w:ascii="Times New Roman" w:hAnsi="Times New Roman"/>
              </w:rPr>
              <w:t>　</w:t>
            </w:r>
          </w:p>
        </w:tc>
        <w:tc>
          <w:tcPr>
            <w:tcW w:w="792" w:type="pct"/>
            <w:tcBorders>
              <w:top w:val="nil"/>
              <w:left w:val="nil"/>
              <w:bottom w:val="single" w:color="auto" w:sz="4" w:space="0"/>
              <w:right w:val="single" w:color="auto" w:sz="4" w:space="0"/>
            </w:tcBorders>
            <w:vAlign w:val="center"/>
          </w:tcPr>
          <w:p w14:paraId="3CDC70AA">
            <w:pPr>
              <w:pStyle w:val="72"/>
              <w:rPr>
                <w:rFonts w:hint="eastAsia" w:ascii="Times New Roman" w:hAnsi="Times New Roman" w:eastAsia="仿宋"/>
                <w:kern w:val="0"/>
                <w:lang w:eastAsia="zh-CN"/>
              </w:rPr>
            </w:pPr>
            <w:r>
              <w:rPr>
                <w:rFonts w:ascii="Times New Roman" w:hAnsi="Times New Roman"/>
              </w:rPr>
              <w:t>664.29</w:t>
            </w:r>
          </w:p>
        </w:tc>
      </w:tr>
      <w:tr w14:paraId="0DE4437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D9393DF">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（一）</w:t>
            </w:r>
          </w:p>
        </w:tc>
        <w:tc>
          <w:tcPr>
            <w:tcW w:w="1132" w:type="pct"/>
            <w:tcBorders>
              <w:top w:val="nil"/>
              <w:left w:val="nil"/>
              <w:bottom w:val="single" w:color="auto" w:sz="4" w:space="0"/>
              <w:right w:val="single" w:color="auto" w:sz="4" w:space="0"/>
            </w:tcBorders>
            <w:vAlign w:val="center"/>
          </w:tcPr>
          <w:p w14:paraId="619C9C1D">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直接工程费</w:t>
            </w:r>
          </w:p>
        </w:tc>
        <w:tc>
          <w:tcPr>
            <w:tcW w:w="802" w:type="pct"/>
            <w:tcBorders>
              <w:top w:val="nil"/>
              <w:left w:val="nil"/>
              <w:bottom w:val="single" w:color="auto" w:sz="4" w:space="0"/>
              <w:right w:val="single" w:color="auto" w:sz="4" w:space="0"/>
            </w:tcBorders>
            <w:vAlign w:val="center"/>
          </w:tcPr>
          <w:p w14:paraId="501DF706">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289A9000">
            <w:pPr>
              <w:pStyle w:val="72"/>
              <w:rPr>
                <w:rFonts w:ascii="Times New Roman" w:hAnsi="Times New Roman"/>
                <w:kern w:val="0"/>
              </w:rPr>
            </w:pPr>
            <w:r>
              <w:rPr>
                <w:rFonts w:ascii="Times New Roman" w:hAnsi="Times New Roman"/>
              </w:rPr>
              <w:t>　</w:t>
            </w:r>
          </w:p>
        </w:tc>
        <w:tc>
          <w:tcPr>
            <w:tcW w:w="782" w:type="pct"/>
            <w:tcBorders>
              <w:top w:val="nil"/>
              <w:left w:val="nil"/>
              <w:bottom w:val="single" w:color="auto" w:sz="4" w:space="0"/>
              <w:right w:val="single" w:color="auto" w:sz="4" w:space="0"/>
            </w:tcBorders>
            <w:vAlign w:val="center"/>
          </w:tcPr>
          <w:p w14:paraId="4C931C47">
            <w:pPr>
              <w:pStyle w:val="72"/>
              <w:rPr>
                <w:rFonts w:ascii="Times New Roman" w:hAnsi="Times New Roman"/>
                <w:kern w:val="0"/>
              </w:rPr>
            </w:pPr>
            <w:r>
              <w:rPr>
                <w:rFonts w:ascii="Times New Roman" w:hAnsi="Times New Roman"/>
              </w:rPr>
              <w:t>　</w:t>
            </w:r>
          </w:p>
        </w:tc>
        <w:tc>
          <w:tcPr>
            <w:tcW w:w="792" w:type="pct"/>
            <w:tcBorders>
              <w:top w:val="nil"/>
              <w:left w:val="nil"/>
              <w:bottom w:val="single" w:color="auto" w:sz="4" w:space="0"/>
              <w:right w:val="single" w:color="auto" w:sz="4" w:space="0"/>
            </w:tcBorders>
            <w:vAlign w:val="center"/>
          </w:tcPr>
          <w:p w14:paraId="42B0A62F">
            <w:pPr>
              <w:pStyle w:val="72"/>
              <w:rPr>
                <w:rFonts w:hint="eastAsia" w:ascii="Times New Roman" w:hAnsi="Times New Roman" w:eastAsia="仿宋"/>
                <w:kern w:val="0"/>
                <w:lang w:eastAsia="zh-CN"/>
              </w:rPr>
            </w:pPr>
            <w:r>
              <w:rPr>
                <w:rFonts w:ascii="Times New Roman" w:hAnsi="Times New Roman"/>
              </w:rPr>
              <w:t>639.97</w:t>
            </w:r>
          </w:p>
        </w:tc>
      </w:tr>
      <w:tr w14:paraId="283328D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8FD501A">
            <w:pPr>
              <w:widowControl/>
              <w:adjustRightInd/>
              <w:snapToGrid/>
              <w:spacing w:line="240" w:lineRule="auto"/>
              <w:ind w:firstLine="0" w:firstLineChars="0"/>
              <w:jc w:val="center"/>
              <w:rPr>
                <w:rFonts w:hint="eastAsia" w:eastAsia="仿宋"/>
                <w:kern w:val="0"/>
                <w:sz w:val="21"/>
                <w:szCs w:val="21"/>
                <w:lang w:eastAsia="zh-CN"/>
              </w:rPr>
            </w:pPr>
            <w:r>
              <w:rPr>
                <w:rFonts w:eastAsia="仿宋"/>
                <w:kern w:val="0"/>
                <w:sz w:val="21"/>
                <w:szCs w:val="21"/>
              </w:rPr>
              <w:t>1</w:t>
            </w:r>
          </w:p>
        </w:tc>
        <w:tc>
          <w:tcPr>
            <w:tcW w:w="1132" w:type="pct"/>
            <w:tcBorders>
              <w:top w:val="nil"/>
              <w:left w:val="nil"/>
              <w:bottom w:val="single" w:color="auto" w:sz="4" w:space="0"/>
              <w:right w:val="single" w:color="auto" w:sz="4" w:space="0"/>
            </w:tcBorders>
            <w:vAlign w:val="center"/>
          </w:tcPr>
          <w:p w14:paraId="78F6B26F">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人工费</w:t>
            </w:r>
          </w:p>
        </w:tc>
        <w:tc>
          <w:tcPr>
            <w:tcW w:w="802" w:type="pct"/>
            <w:tcBorders>
              <w:top w:val="nil"/>
              <w:left w:val="nil"/>
              <w:bottom w:val="single" w:color="auto" w:sz="4" w:space="0"/>
              <w:right w:val="single" w:color="auto" w:sz="4" w:space="0"/>
            </w:tcBorders>
            <w:vAlign w:val="center"/>
          </w:tcPr>
          <w:p w14:paraId="2B2846FC">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4337F25C">
            <w:pPr>
              <w:pStyle w:val="72"/>
              <w:rPr>
                <w:rFonts w:ascii="Times New Roman" w:hAnsi="Times New Roman"/>
                <w:kern w:val="0"/>
              </w:rPr>
            </w:pPr>
            <w:r>
              <w:rPr>
                <w:rFonts w:ascii="Times New Roman" w:hAnsi="Times New Roman"/>
              </w:rPr>
              <w:t>　</w:t>
            </w:r>
          </w:p>
        </w:tc>
        <w:tc>
          <w:tcPr>
            <w:tcW w:w="782" w:type="pct"/>
            <w:tcBorders>
              <w:top w:val="nil"/>
              <w:left w:val="nil"/>
              <w:bottom w:val="single" w:color="auto" w:sz="4" w:space="0"/>
              <w:right w:val="single" w:color="auto" w:sz="4" w:space="0"/>
            </w:tcBorders>
            <w:vAlign w:val="center"/>
          </w:tcPr>
          <w:p w14:paraId="545991D5">
            <w:pPr>
              <w:pStyle w:val="72"/>
              <w:rPr>
                <w:rFonts w:ascii="Times New Roman" w:hAnsi="Times New Roman"/>
                <w:kern w:val="0"/>
              </w:rPr>
            </w:pPr>
            <w:r>
              <w:rPr>
                <w:rFonts w:ascii="Times New Roman" w:hAnsi="Times New Roman"/>
              </w:rPr>
              <w:t>　</w:t>
            </w:r>
          </w:p>
        </w:tc>
        <w:tc>
          <w:tcPr>
            <w:tcW w:w="792" w:type="pct"/>
            <w:tcBorders>
              <w:top w:val="nil"/>
              <w:left w:val="nil"/>
              <w:bottom w:val="single" w:color="auto" w:sz="4" w:space="0"/>
              <w:right w:val="single" w:color="auto" w:sz="4" w:space="0"/>
            </w:tcBorders>
            <w:vAlign w:val="center"/>
          </w:tcPr>
          <w:p w14:paraId="0B3C6D20">
            <w:pPr>
              <w:pStyle w:val="72"/>
              <w:rPr>
                <w:rFonts w:hint="eastAsia" w:ascii="Times New Roman" w:hAnsi="Times New Roman" w:eastAsia="仿宋"/>
                <w:kern w:val="0"/>
                <w:lang w:eastAsia="zh-CN"/>
              </w:rPr>
            </w:pPr>
            <w:r>
              <w:rPr>
                <w:rFonts w:ascii="Times New Roman" w:hAnsi="Times New Roman"/>
              </w:rPr>
              <w:t>124.91</w:t>
            </w:r>
          </w:p>
        </w:tc>
      </w:tr>
      <w:tr w14:paraId="60C5A32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DB17247">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2B79E8E8">
            <w:pPr>
              <w:widowControl/>
              <w:adjustRightInd/>
              <w:snapToGrid/>
              <w:spacing w:line="240" w:lineRule="auto"/>
              <w:ind w:firstLine="0" w:firstLineChars="0"/>
              <w:jc w:val="center"/>
              <w:rPr>
                <w:rFonts w:eastAsia="仿宋"/>
                <w:kern w:val="0"/>
                <w:sz w:val="21"/>
                <w:szCs w:val="21"/>
              </w:rPr>
            </w:pPr>
            <w:r>
              <w:rPr>
                <w:rFonts w:eastAsia="仿宋"/>
                <w:kern w:val="0"/>
                <w:sz w:val="21"/>
                <w:szCs w:val="21"/>
              </w:rPr>
              <w:t>甲类工</w:t>
            </w:r>
          </w:p>
        </w:tc>
        <w:tc>
          <w:tcPr>
            <w:tcW w:w="802" w:type="pct"/>
            <w:tcBorders>
              <w:top w:val="nil"/>
              <w:left w:val="nil"/>
              <w:bottom w:val="single" w:color="auto" w:sz="4" w:space="0"/>
              <w:right w:val="single" w:color="auto" w:sz="4" w:space="0"/>
            </w:tcBorders>
            <w:vAlign w:val="center"/>
          </w:tcPr>
          <w:p w14:paraId="7EE8E152">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工日</w:t>
            </w:r>
          </w:p>
        </w:tc>
        <w:tc>
          <w:tcPr>
            <w:tcW w:w="782" w:type="pct"/>
            <w:tcBorders>
              <w:top w:val="nil"/>
              <w:left w:val="nil"/>
              <w:bottom w:val="single" w:color="auto" w:sz="4" w:space="0"/>
              <w:right w:val="single" w:color="auto" w:sz="4" w:space="0"/>
            </w:tcBorders>
            <w:vAlign w:val="center"/>
          </w:tcPr>
          <w:p w14:paraId="47190D36">
            <w:pPr>
              <w:pStyle w:val="72"/>
              <w:rPr>
                <w:rFonts w:ascii="Times New Roman" w:hAnsi="Times New Roman"/>
                <w:kern w:val="0"/>
              </w:rPr>
            </w:pPr>
            <w:r>
              <w:rPr>
                <w:rFonts w:ascii="Times New Roman" w:hAnsi="Times New Roman"/>
              </w:rPr>
              <w:t>　</w:t>
            </w:r>
          </w:p>
        </w:tc>
        <w:tc>
          <w:tcPr>
            <w:tcW w:w="782" w:type="pct"/>
            <w:tcBorders>
              <w:top w:val="nil"/>
              <w:left w:val="nil"/>
              <w:bottom w:val="single" w:color="auto" w:sz="4" w:space="0"/>
              <w:right w:val="single" w:color="auto" w:sz="4" w:space="0"/>
            </w:tcBorders>
            <w:vAlign w:val="center"/>
          </w:tcPr>
          <w:p w14:paraId="271CA55D">
            <w:pPr>
              <w:pStyle w:val="72"/>
              <w:rPr>
                <w:rFonts w:hint="eastAsia" w:ascii="Times New Roman" w:hAnsi="Times New Roman" w:eastAsia="仿宋"/>
                <w:kern w:val="0"/>
                <w:lang w:eastAsia="zh-CN"/>
              </w:rPr>
            </w:pPr>
            <w:r>
              <w:rPr>
                <w:rFonts w:ascii="Times New Roman" w:hAnsi="Times New Roman"/>
              </w:rPr>
              <w:t>51.04</w:t>
            </w:r>
          </w:p>
        </w:tc>
        <w:tc>
          <w:tcPr>
            <w:tcW w:w="792" w:type="pct"/>
            <w:tcBorders>
              <w:top w:val="nil"/>
              <w:left w:val="nil"/>
              <w:bottom w:val="single" w:color="auto" w:sz="4" w:space="0"/>
              <w:right w:val="single" w:color="auto" w:sz="4" w:space="0"/>
            </w:tcBorders>
            <w:vAlign w:val="center"/>
          </w:tcPr>
          <w:p w14:paraId="1100A4F9">
            <w:pPr>
              <w:pStyle w:val="72"/>
              <w:rPr>
                <w:rFonts w:hint="eastAsia" w:ascii="Times New Roman" w:hAnsi="Times New Roman" w:eastAsia="仿宋"/>
                <w:kern w:val="0"/>
                <w:lang w:eastAsia="zh-CN"/>
              </w:rPr>
            </w:pPr>
            <w:r>
              <w:rPr>
                <w:rFonts w:ascii="Times New Roman" w:hAnsi="Times New Roman"/>
              </w:rPr>
              <w:t>0.00</w:t>
            </w:r>
          </w:p>
        </w:tc>
      </w:tr>
      <w:tr w14:paraId="6BFE215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911AA1A">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55B75620">
            <w:pPr>
              <w:widowControl/>
              <w:adjustRightInd/>
              <w:snapToGrid/>
              <w:spacing w:line="240" w:lineRule="auto"/>
              <w:ind w:firstLine="0" w:firstLineChars="0"/>
              <w:jc w:val="center"/>
              <w:rPr>
                <w:rFonts w:eastAsia="仿宋"/>
                <w:kern w:val="0"/>
                <w:sz w:val="21"/>
                <w:szCs w:val="21"/>
              </w:rPr>
            </w:pPr>
            <w:r>
              <w:rPr>
                <w:rFonts w:eastAsia="仿宋"/>
                <w:kern w:val="0"/>
                <w:sz w:val="21"/>
                <w:szCs w:val="21"/>
              </w:rPr>
              <w:t>乙类工</w:t>
            </w:r>
          </w:p>
        </w:tc>
        <w:tc>
          <w:tcPr>
            <w:tcW w:w="802" w:type="pct"/>
            <w:tcBorders>
              <w:top w:val="nil"/>
              <w:left w:val="nil"/>
              <w:bottom w:val="single" w:color="auto" w:sz="4" w:space="0"/>
              <w:right w:val="single" w:color="auto" w:sz="4" w:space="0"/>
            </w:tcBorders>
            <w:vAlign w:val="center"/>
          </w:tcPr>
          <w:p w14:paraId="756FE9AE">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工日</w:t>
            </w:r>
          </w:p>
        </w:tc>
        <w:tc>
          <w:tcPr>
            <w:tcW w:w="782" w:type="pct"/>
            <w:tcBorders>
              <w:top w:val="nil"/>
              <w:left w:val="nil"/>
              <w:bottom w:val="single" w:color="auto" w:sz="4" w:space="0"/>
              <w:right w:val="single" w:color="auto" w:sz="4" w:space="0"/>
            </w:tcBorders>
            <w:vAlign w:val="center"/>
          </w:tcPr>
          <w:p w14:paraId="6164B32B">
            <w:pPr>
              <w:pStyle w:val="72"/>
              <w:rPr>
                <w:rFonts w:hint="eastAsia" w:ascii="Times New Roman" w:hAnsi="Times New Roman" w:eastAsia="仿宋"/>
                <w:kern w:val="0"/>
                <w:lang w:eastAsia="zh-CN"/>
              </w:rPr>
            </w:pPr>
            <w:r>
              <w:rPr>
                <w:rFonts w:ascii="Times New Roman" w:hAnsi="Times New Roman"/>
              </w:rPr>
              <w:t>3.20</w:t>
            </w:r>
          </w:p>
        </w:tc>
        <w:tc>
          <w:tcPr>
            <w:tcW w:w="782" w:type="pct"/>
            <w:tcBorders>
              <w:top w:val="nil"/>
              <w:left w:val="nil"/>
              <w:bottom w:val="single" w:color="auto" w:sz="4" w:space="0"/>
              <w:right w:val="single" w:color="auto" w:sz="4" w:space="0"/>
            </w:tcBorders>
            <w:vAlign w:val="center"/>
          </w:tcPr>
          <w:p w14:paraId="6F3A554E">
            <w:pPr>
              <w:pStyle w:val="72"/>
              <w:rPr>
                <w:rFonts w:hint="eastAsia" w:ascii="Times New Roman" w:hAnsi="Times New Roman" w:eastAsia="仿宋"/>
                <w:kern w:val="0"/>
                <w:lang w:eastAsia="zh-CN"/>
              </w:rPr>
            </w:pPr>
            <w:r>
              <w:rPr>
                <w:rFonts w:ascii="Times New Roman" w:hAnsi="Times New Roman"/>
              </w:rPr>
              <w:t>38.84</w:t>
            </w:r>
          </w:p>
        </w:tc>
        <w:tc>
          <w:tcPr>
            <w:tcW w:w="792" w:type="pct"/>
            <w:tcBorders>
              <w:top w:val="nil"/>
              <w:left w:val="nil"/>
              <w:bottom w:val="single" w:color="auto" w:sz="4" w:space="0"/>
              <w:right w:val="single" w:color="auto" w:sz="4" w:space="0"/>
            </w:tcBorders>
            <w:vAlign w:val="center"/>
          </w:tcPr>
          <w:p w14:paraId="2BE785A0">
            <w:pPr>
              <w:pStyle w:val="72"/>
              <w:rPr>
                <w:rFonts w:hint="eastAsia" w:ascii="Times New Roman" w:hAnsi="Times New Roman" w:eastAsia="仿宋"/>
                <w:kern w:val="0"/>
                <w:lang w:eastAsia="zh-CN"/>
              </w:rPr>
            </w:pPr>
            <w:r>
              <w:rPr>
                <w:rFonts w:ascii="Times New Roman" w:hAnsi="Times New Roman"/>
              </w:rPr>
              <w:t>124.29</w:t>
            </w:r>
          </w:p>
        </w:tc>
      </w:tr>
      <w:tr w14:paraId="206F725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F52EF9D">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7BBF1334">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其他费用</w:t>
            </w:r>
          </w:p>
        </w:tc>
        <w:tc>
          <w:tcPr>
            <w:tcW w:w="802" w:type="pct"/>
            <w:tcBorders>
              <w:top w:val="nil"/>
              <w:left w:val="nil"/>
              <w:bottom w:val="single" w:color="auto" w:sz="4" w:space="0"/>
              <w:right w:val="single" w:color="auto" w:sz="4" w:space="0"/>
            </w:tcBorders>
            <w:vAlign w:val="center"/>
          </w:tcPr>
          <w:p w14:paraId="6C50A26E">
            <w:pPr>
              <w:widowControl/>
              <w:adjustRightInd/>
              <w:snapToGrid/>
              <w:spacing w:line="240" w:lineRule="auto"/>
              <w:ind w:firstLine="0" w:firstLineChars="0"/>
              <w:jc w:val="center"/>
              <w:rPr>
                <w:rFonts w:eastAsia="仿宋"/>
                <w:kern w:val="0"/>
                <w:sz w:val="21"/>
                <w:szCs w:val="21"/>
              </w:rPr>
            </w:pPr>
            <w:r>
              <w:rPr>
                <w:rFonts w:eastAsia="仿宋"/>
                <w:kern w:val="0"/>
                <w:sz w:val="21"/>
                <w:szCs w:val="21"/>
              </w:rPr>
              <w:t>%</w:t>
            </w:r>
          </w:p>
        </w:tc>
        <w:tc>
          <w:tcPr>
            <w:tcW w:w="782" w:type="pct"/>
            <w:tcBorders>
              <w:top w:val="nil"/>
              <w:left w:val="nil"/>
              <w:bottom w:val="single" w:color="auto" w:sz="4" w:space="0"/>
              <w:right w:val="single" w:color="auto" w:sz="4" w:space="0"/>
            </w:tcBorders>
            <w:vAlign w:val="center"/>
          </w:tcPr>
          <w:p w14:paraId="6C744F91">
            <w:pPr>
              <w:pStyle w:val="72"/>
              <w:rPr>
                <w:rFonts w:hint="eastAsia" w:ascii="Times New Roman" w:hAnsi="Times New Roman" w:eastAsia="仿宋"/>
                <w:kern w:val="0"/>
                <w:lang w:eastAsia="zh-CN"/>
              </w:rPr>
            </w:pPr>
            <w:r>
              <w:rPr>
                <w:rFonts w:ascii="Times New Roman" w:hAnsi="Times New Roman"/>
              </w:rPr>
              <w:t>0.50</w:t>
            </w:r>
          </w:p>
        </w:tc>
        <w:tc>
          <w:tcPr>
            <w:tcW w:w="782" w:type="pct"/>
            <w:tcBorders>
              <w:top w:val="nil"/>
              <w:left w:val="nil"/>
              <w:bottom w:val="single" w:color="auto" w:sz="4" w:space="0"/>
              <w:right w:val="single" w:color="auto" w:sz="4" w:space="0"/>
            </w:tcBorders>
            <w:vAlign w:val="center"/>
          </w:tcPr>
          <w:p w14:paraId="451D6663">
            <w:pPr>
              <w:pStyle w:val="72"/>
              <w:rPr>
                <w:rFonts w:hint="eastAsia" w:ascii="Times New Roman" w:hAnsi="Times New Roman" w:eastAsia="仿宋"/>
                <w:kern w:val="0"/>
                <w:lang w:eastAsia="zh-CN"/>
              </w:rPr>
            </w:pPr>
            <w:r>
              <w:rPr>
                <w:rFonts w:ascii="Times New Roman" w:hAnsi="Times New Roman"/>
              </w:rPr>
              <w:t>124.29</w:t>
            </w:r>
          </w:p>
        </w:tc>
        <w:tc>
          <w:tcPr>
            <w:tcW w:w="792" w:type="pct"/>
            <w:tcBorders>
              <w:top w:val="nil"/>
              <w:left w:val="nil"/>
              <w:bottom w:val="single" w:color="auto" w:sz="4" w:space="0"/>
              <w:right w:val="single" w:color="auto" w:sz="4" w:space="0"/>
            </w:tcBorders>
            <w:vAlign w:val="center"/>
          </w:tcPr>
          <w:p w14:paraId="13EDAF6C">
            <w:pPr>
              <w:pStyle w:val="72"/>
              <w:rPr>
                <w:rFonts w:hint="eastAsia" w:ascii="Times New Roman" w:hAnsi="Times New Roman" w:eastAsia="仿宋"/>
                <w:kern w:val="0"/>
                <w:lang w:eastAsia="zh-CN"/>
              </w:rPr>
            </w:pPr>
            <w:r>
              <w:rPr>
                <w:rFonts w:ascii="Times New Roman" w:hAnsi="Times New Roman"/>
              </w:rPr>
              <w:t>0.62</w:t>
            </w:r>
          </w:p>
        </w:tc>
      </w:tr>
      <w:tr w14:paraId="37A979A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E823E9B">
            <w:pPr>
              <w:widowControl/>
              <w:adjustRightInd/>
              <w:snapToGrid/>
              <w:spacing w:line="240" w:lineRule="auto"/>
              <w:ind w:firstLine="0" w:firstLineChars="0"/>
              <w:jc w:val="center"/>
              <w:rPr>
                <w:rFonts w:hint="eastAsia" w:eastAsia="仿宋"/>
                <w:kern w:val="0"/>
                <w:sz w:val="21"/>
                <w:szCs w:val="21"/>
                <w:lang w:eastAsia="zh-CN"/>
              </w:rPr>
            </w:pPr>
            <w:r>
              <w:rPr>
                <w:rFonts w:eastAsia="仿宋"/>
                <w:kern w:val="0"/>
                <w:sz w:val="21"/>
                <w:szCs w:val="21"/>
              </w:rPr>
              <w:t>2</w:t>
            </w:r>
          </w:p>
        </w:tc>
        <w:tc>
          <w:tcPr>
            <w:tcW w:w="1132" w:type="pct"/>
            <w:tcBorders>
              <w:top w:val="nil"/>
              <w:left w:val="nil"/>
              <w:bottom w:val="single" w:color="auto" w:sz="4" w:space="0"/>
              <w:right w:val="single" w:color="auto" w:sz="4" w:space="0"/>
            </w:tcBorders>
            <w:vAlign w:val="center"/>
          </w:tcPr>
          <w:p w14:paraId="15A8B9B2">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材料费</w:t>
            </w:r>
          </w:p>
        </w:tc>
        <w:tc>
          <w:tcPr>
            <w:tcW w:w="802" w:type="pct"/>
            <w:tcBorders>
              <w:top w:val="nil"/>
              <w:left w:val="nil"/>
              <w:bottom w:val="single" w:color="auto" w:sz="4" w:space="0"/>
              <w:right w:val="single" w:color="auto" w:sz="4" w:space="0"/>
            </w:tcBorders>
            <w:vAlign w:val="center"/>
          </w:tcPr>
          <w:p w14:paraId="04E89F09">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6B29C6AD">
            <w:pPr>
              <w:pStyle w:val="72"/>
              <w:rPr>
                <w:rFonts w:ascii="Times New Roman" w:hAnsi="Times New Roman"/>
                <w:kern w:val="0"/>
              </w:rPr>
            </w:pPr>
            <w:r>
              <w:rPr>
                <w:rFonts w:ascii="Times New Roman" w:hAnsi="Times New Roman"/>
              </w:rPr>
              <w:t>　</w:t>
            </w:r>
          </w:p>
        </w:tc>
        <w:tc>
          <w:tcPr>
            <w:tcW w:w="782" w:type="pct"/>
            <w:tcBorders>
              <w:top w:val="nil"/>
              <w:left w:val="nil"/>
              <w:bottom w:val="single" w:color="auto" w:sz="4" w:space="0"/>
              <w:right w:val="single" w:color="auto" w:sz="4" w:space="0"/>
            </w:tcBorders>
            <w:vAlign w:val="center"/>
          </w:tcPr>
          <w:p w14:paraId="3CB7D3B5">
            <w:pPr>
              <w:pStyle w:val="72"/>
              <w:rPr>
                <w:rFonts w:ascii="Times New Roman" w:hAnsi="Times New Roman"/>
                <w:kern w:val="0"/>
              </w:rPr>
            </w:pPr>
            <w:r>
              <w:rPr>
                <w:rFonts w:ascii="Times New Roman" w:hAnsi="Times New Roman"/>
              </w:rPr>
              <w:t>　</w:t>
            </w:r>
          </w:p>
        </w:tc>
        <w:tc>
          <w:tcPr>
            <w:tcW w:w="792" w:type="pct"/>
            <w:tcBorders>
              <w:top w:val="nil"/>
              <w:left w:val="nil"/>
              <w:bottom w:val="single" w:color="auto" w:sz="4" w:space="0"/>
              <w:right w:val="single" w:color="auto" w:sz="4" w:space="0"/>
            </w:tcBorders>
            <w:vAlign w:val="center"/>
          </w:tcPr>
          <w:p w14:paraId="7341A024">
            <w:pPr>
              <w:pStyle w:val="72"/>
              <w:rPr>
                <w:rFonts w:hint="eastAsia" w:ascii="Times New Roman" w:hAnsi="Times New Roman" w:eastAsia="仿宋"/>
                <w:kern w:val="0"/>
                <w:lang w:eastAsia="zh-CN"/>
              </w:rPr>
            </w:pPr>
            <w:r>
              <w:rPr>
                <w:rFonts w:ascii="Times New Roman" w:hAnsi="Times New Roman"/>
              </w:rPr>
              <w:t>515.06</w:t>
            </w:r>
          </w:p>
        </w:tc>
      </w:tr>
      <w:tr w14:paraId="01BD4FF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BAD60DF">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456A3D5A">
            <w:pPr>
              <w:widowControl/>
              <w:adjustRightInd/>
              <w:snapToGrid/>
              <w:spacing w:line="240" w:lineRule="auto"/>
              <w:ind w:firstLine="0" w:firstLineChars="0"/>
              <w:jc w:val="center"/>
              <w:rPr>
                <w:rFonts w:eastAsia="仿宋"/>
                <w:kern w:val="0"/>
                <w:sz w:val="21"/>
                <w:szCs w:val="21"/>
              </w:rPr>
            </w:pPr>
            <w:r>
              <w:rPr>
                <w:rFonts w:eastAsia="仿宋"/>
                <w:kern w:val="0"/>
                <w:sz w:val="21"/>
                <w:szCs w:val="21"/>
              </w:rPr>
              <w:t>树苗</w:t>
            </w:r>
          </w:p>
        </w:tc>
        <w:tc>
          <w:tcPr>
            <w:tcW w:w="802" w:type="pct"/>
            <w:tcBorders>
              <w:top w:val="nil"/>
              <w:left w:val="nil"/>
              <w:bottom w:val="single" w:color="auto" w:sz="4" w:space="0"/>
              <w:right w:val="single" w:color="auto" w:sz="4" w:space="0"/>
            </w:tcBorders>
            <w:vAlign w:val="center"/>
          </w:tcPr>
          <w:p w14:paraId="17C086BB">
            <w:pPr>
              <w:widowControl/>
              <w:adjustRightInd/>
              <w:snapToGrid/>
              <w:spacing w:line="240" w:lineRule="auto"/>
              <w:ind w:firstLine="0" w:firstLineChars="0"/>
              <w:jc w:val="center"/>
              <w:rPr>
                <w:rFonts w:eastAsia="仿宋"/>
                <w:kern w:val="0"/>
                <w:sz w:val="21"/>
                <w:szCs w:val="21"/>
              </w:rPr>
            </w:pPr>
            <w:r>
              <w:rPr>
                <w:rFonts w:eastAsia="仿宋"/>
                <w:kern w:val="0"/>
                <w:sz w:val="21"/>
                <w:szCs w:val="21"/>
              </w:rPr>
              <w:t>株</w:t>
            </w:r>
          </w:p>
        </w:tc>
        <w:tc>
          <w:tcPr>
            <w:tcW w:w="782" w:type="pct"/>
            <w:tcBorders>
              <w:top w:val="nil"/>
              <w:left w:val="nil"/>
              <w:bottom w:val="single" w:color="auto" w:sz="4" w:space="0"/>
              <w:right w:val="single" w:color="auto" w:sz="4" w:space="0"/>
            </w:tcBorders>
            <w:vAlign w:val="center"/>
          </w:tcPr>
          <w:p w14:paraId="4FFD7007">
            <w:pPr>
              <w:pStyle w:val="72"/>
              <w:rPr>
                <w:rFonts w:hint="eastAsia" w:ascii="Times New Roman" w:hAnsi="Times New Roman" w:eastAsia="仿宋"/>
                <w:kern w:val="0"/>
                <w:lang w:eastAsia="zh-CN"/>
              </w:rPr>
            </w:pPr>
            <w:r>
              <w:rPr>
                <w:rFonts w:ascii="Times New Roman" w:hAnsi="Times New Roman"/>
              </w:rPr>
              <w:t>102.00</w:t>
            </w:r>
          </w:p>
        </w:tc>
        <w:tc>
          <w:tcPr>
            <w:tcW w:w="782" w:type="pct"/>
            <w:tcBorders>
              <w:top w:val="nil"/>
              <w:left w:val="nil"/>
              <w:bottom w:val="single" w:color="auto" w:sz="4" w:space="0"/>
              <w:right w:val="single" w:color="auto" w:sz="4" w:space="0"/>
            </w:tcBorders>
            <w:vAlign w:val="center"/>
          </w:tcPr>
          <w:p w14:paraId="48BF89F2">
            <w:pPr>
              <w:pStyle w:val="72"/>
              <w:rPr>
                <w:rFonts w:hint="eastAsia" w:ascii="Times New Roman" w:hAnsi="Times New Roman" w:eastAsia="仿宋"/>
                <w:kern w:val="0"/>
                <w:lang w:eastAsia="zh-CN"/>
              </w:rPr>
            </w:pPr>
            <w:r>
              <w:rPr>
                <w:rFonts w:ascii="Times New Roman" w:hAnsi="Times New Roman"/>
              </w:rPr>
              <w:t>5.00</w:t>
            </w:r>
          </w:p>
        </w:tc>
        <w:tc>
          <w:tcPr>
            <w:tcW w:w="792" w:type="pct"/>
            <w:tcBorders>
              <w:top w:val="nil"/>
              <w:left w:val="nil"/>
              <w:bottom w:val="single" w:color="auto" w:sz="4" w:space="0"/>
              <w:right w:val="single" w:color="auto" w:sz="4" w:space="0"/>
            </w:tcBorders>
            <w:vAlign w:val="center"/>
          </w:tcPr>
          <w:p w14:paraId="771BD4BD">
            <w:pPr>
              <w:pStyle w:val="72"/>
              <w:rPr>
                <w:rFonts w:hint="eastAsia" w:ascii="Times New Roman" w:hAnsi="Times New Roman" w:eastAsia="仿宋"/>
                <w:kern w:val="0"/>
                <w:lang w:eastAsia="zh-CN"/>
              </w:rPr>
            </w:pPr>
            <w:r>
              <w:rPr>
                <w:rFonts w:ascii="Times New Roman" w:hAnsi="Times New Roman"/>
              </w:rPr>
              <w:t>510.00</w:t>
            </w:r>
          </w:p>
        </w:tc>
      </w:tr>
      <w:tr w14:paraId="2261CC17">
        <w:tblPrEx>
          <w:tblCellMar>
            <w:top w:w="0" w:type="dxa"/>
            <w:left w:w="108" w:type="dxa"/>
            <w:bottom w:w="0" w:type="dxa"/>
            <w:right w:w="108" w:type="dxa"/>
          </w:tblCellMar>
        </w:tblPrEx>
        <w:trPr>
          <w:trHeight w:val="336" w:hRule="atLeast"/>
        </w:trPr>
        <w:tc>
          <w:tcPr>
            <w:tcW w:w="710" w:type="pct"/>
            <w:tcBorders>
              <w:top w:val="nil"/>
              <w:left w:val="single" w:color="auto" w:sz="4" w:space="0"/>
              <w:bottom w:val="single" w:color="auto" w:sz="4" w:space="0"/>
              <w:right w:val="single" w:color="auto" w:sz="4" w:space="0"/>
            </w:tcBorders>
            <w:vAlign w:val="center"/>
          </w:tcPr>
          <w:p w14:paraId="56B1B9EE">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7B36BB52">
            <w:pPr>
              <w:widowControl/>
              <w:adjustRightInd/>
              <w:snapToGrid/>
              <w:spacing w:line="240" w:lineRule="auto"/>
              <w:ind w:firstLine="0" w:firstLineChars="0"/>
              <w:jc w:val="center"/>
              <w:rPr>
                <w:rFonts w:eastAsia="仿宋"/>
                <w:kern w:val="0"/>
                <w:sz w:val="21"/>
                <w:szCs w:val="21"/>
              </w:rPr>
            </w:pPr>
            <w:r>
              <w:rPr>
                <w:rFonts w:eastAsia="仿宋"/>
                <w:kern w:val="0"/>
                <w:sz w:val="21"/>
                <w:szCs w:val="21"/>
              </w:rPr>
              <w:t>水</w:t>
            </w:r>
          </w:p>
        </w:tc>
        <w:tc>
          <w:tcPr>
            <w:tcW w:w="802" w:type="pct"/>
            <w:tcBorders>
              <w:top w:val="nil"/>
              <w:left w:val="nil"/>
              <w:bottom w:val="single" w:color="auto" w:sz="4" w:space="0"/>
              <w:right w:val="single" w:color="auto" w:sz="4" w:space="0"/>
            </w:tcBorders>
            <w:vAlign w:val="center"/>
          </w:tcPr>
          <w:p w14:paraId="7DBD4427">
            <w:pPr>
              <w:widowControl/>
              <w:adjustRightInd/>
              <w:snapToGrid/>
              <w:spacing w:line="240" w:lineRule="auto"/>
              <w:ind w:firstLine="0" w:firstLineChars="0"/>
              <w:jc w:val="center"/>
              <w:rPr>
                <w:rFonts w:eastAsia="仿宋"/>
                <w:kern w:val="0"/>
                <w:sz w:val="21"/>
                <w:szCs w:val="21"/>
              </w:rPr>
            </w:pPr>
            <w:r>
              <w:rPr>
                <w:rFonts w:hint="eastAsia" w:eastAsia="仿宋"/>
                <w:kern w:val="0"/>
                <w:sz w:val="21"/>
                <w:szCs w:val="21"/>
              </w:rPr>
              <w:t>m³</w:t>
            </w:r>
          </w:p>
        </w:tc>
        <w:tc>
          <w:tcPr>
            <w:tcW w:w="782" w:type="pct"/>
            <w:tcBorders>
              <w:top w:val="nil"/>
              <w:left w:val="nil"/>
              <w:bottom w:val="single" w:color="auto" w:sz="4" w:space="0"/>
              <w:right w:val="single" w:color="auto" w:sz="4" w:space="0"/>
            </w:tcBorders>
            <w:vAlign w:val="center"/>
          </w:tcPr>
          <w:p w14:paraId="60EC86AD">
            <w:pPr>
              <w:pStyle w:val="72"/>
              <w:rPr>
                <w:rFonts w:hint="eastAsia" w:ascii="Times New Roman" w:hAnsi="Times New Roman" w:eastAsia="仿宋"/>
                <w:kern w:val="0"/>
                <w:lang w:eastAsia="zh-CN"/>
              </w:rPr>
            </w:pPr>
            <w:r>
              <w:rPr>
                <w:rFonts w:ascii="Times New Roman" w:hAnsi="Times New Roman"/>
              </w:rPr>
              <w:t>5.00</w:t>
            </w:r>
          </w:p>
        </w:tc>
        <w:tc>
          <w:tcPr>
            <w:tcW w:w="782" w:type="pct"/>
            <w:tcBorders>
              <w:top w:val="nil"/>
              <w:left w:val="nil"/>
              <w:bottom w:val="single" w:color="auto" w:sz="4" w:space="0"/>
              <w:right w:val="single" w:color="auto" w:sz="4" w:space="0"/>
            </w:tcBorders>
            <w:vAlign w:val="center"/>
          </w:tcPr>
          <w:p w14:paraId="6CF77416">
            <w:pPr>
              <w:pStyle w:val="72"/>
              <w:rPr>
                <w:rFonts w:hint="eastAsia" w:ascii="Times New Roman" w:hAnsi="Times New Roman" w:eastAsia="仿宋"/>
                <w:kern w:val="0"/>
                <w:lang w:eastAsia="zh-CN"/>
              </w:rPr>
            </w:pPr>
            <w:r>
              <w:rPr>
                <w:rFonts w:ascii="Times New Roman" w:hAnsi="Times New Roman"/>
              </w:rPr>
              <w:t>0.50</w:t>
            </w:r>
          </w:p>
        </w:tc>
        <w:tc>
          <w:tcPr>
            <w:tcW w:w="792" w:type="pct"/>
            <w:tcBorders>
              <w:top w:val="nil"/>
              <w:left w:val="nil"/>
              <w:bottom w:val="single" w:color="auto" w:sz="4" w:space="0"/>
              <w:right w:val="single" w:color="auto" w:sz="4" w:space="0"/>
            </w:tcBorders>
            <w:vAlign w:val="center"/>
          </w:tcPr>
          <w:p w14:paraId="6C2D56A4">
            <w:pPr>
              <w:pStyle w:val="72"/>
              <w:rPr>
                <w:rFonts w:hint="eastAsia" w:ascii="Times New Roman" w:hAnsi="Times New Roman" w:eastAsia="仿宋"/>
                <w:kern w:val="0"/>
                <w:lang w:eastAsia="zh-CN"/>
              </w:rPr>
            </w:pPr>
            <w:r>
              <w:rPr>
                <w:rFonts w:ascii="Times New Roman" w:hAnsi="Times New Roman"/>
              </w:rPr>
              <w:t>2.50</w:t>
            </w:r>
          </w:p>
        </w:tc>
      </w:tr>
      <w:tr w14:paraId="7A2364C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CDF413C">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3BD65B16">
            <w:pPr>
              <w:widowControl/>
              <w:adjustRightInd/>
              <w:snapToGrid/>
              <w:spacing w:line="240" w:lineRule="auto"/>
              <w:ind w:firstLine="0" w:firstLineChars="0"/>
              <w:jc w:val="center"/>
              <w:rPr>
                <w:rFonts w:eastAsia="仿宋"/>
                <w:kern w:val="0"/>
                <w:sz w:val="21"/>
                <w:szCs w:val="21"/>
              </w:rPr>
            </w:pPr>
            <w:r>
              <w:rPr>
                <w:rFonts w:eastAsia="仿宋"/>
                <w:kern w:val="0"/>
                <w:sz w:val="21"/>
                <w:szCs w:val="21"/>
              </w:rPr>
              <w:t>其它费用</w:t>
            </w:r>
          </w:p>
        </w:tc>
        <w:tc>
          <w:tcPr>
            <w:tcW w:w="802" w:type="pct"/>
            <w:tcBorders>
              <w:top w:val="nil"/>
              <w:left w:val="nil"/>
              <w:bottom w:val="single" w:color="auto" w:sz="4" w:space="0"/>
              <w:right w:val="single" w:color="auto" w:sz="4" w:space="0"/>
            </w:tcBorders>
            <w:vAlign w:val="center"/>
          </w:tcPr>
          <w:p w14:paraId="29712EFD">
            <w:pPr>
              <w:widowControl/>
              <w:adjustRightInd/>
              <w:snapToGrid/>
              <w:spacing w:line="240" w:lineRule="auto"/>
              <w:ind w:firstLine="0" w:firstLineChars="0"/>
              <w:jc w:val="center"/>
              <w:rPr>
                <w:rFonts w:eastAsia="仿宋"/>
                <w:kern w:val="0"/>
                <w:sz w:val="21"/>
                <w:szCs w:val="21"/>
              </w:rPr>
            </w:pPr>
            <w:r>
              <w:rPr>
                <w:rFonts w:eastAsia="仿宋"/>
                <w:kern w:val="0"/>
                <w:sz w:val="21"/>
                <w:szCs w:val="21"/>
              </w:rPr>
              <w:t>%</w:t>
            </w:r>
          </w:p>
        </w:tc>
        <w:tc>
          <w:tcPr>
            <w:tcW w:w="782" w:type="pct"/>
            <w:tcBorders>
              <w:top w:val="nil"/>
              <w:left w:val="nil"/>
              <w:bottom w:val="single" w:color="auto" w:sz="4" w:space="0"/>
              <w:right w:val="single" w:color="auto" w:sz="4" w:space="0"/>
            </w:tcBorders>
            <w:vAlign w:val="center"/>
          </w:tcPr>
          <w:p w14:paraId="76246B23">
            <w:pPr>
              <w:pStyle w:val="72"/>
              <w:rPr>
                <w:rFonts w:hint="eastAsia" w:ascii="Times New Roman" w:hAnsi="Times New Roman" w:eastAsia="仿宋"/>
                <w:kern w:val="0"/>
                <w:lang w:eastAsia="zh-CN"/>
              </w:rPr>
            </w:pPr>
            <w:r>
              <w:rPr>
                <w:rFonts w:ascii="Times New Roman" w:hAnsi="Times New Roman"/>
              </w:rPr>
              <w:t>0.50</w:t>
            </w:r>
          </w:p>
        </w:tc>
        <w:tc>
          <w:tcPr>
            <w:tcW w:w="782" w:type="pct"/>
            <w:tcBorders>
              <w:top w:val="nil"/>
              <w:left w:val="nil"/>
              <w:bottom w:val="single" w:color="auto" w:sz="4" w:space="0"/>
              <w:right w:val="single" w:color="auto" w:sz="4" w:space="0"/>
            </w:tcBorders>
            <w:vAlign w:val="center"/>
          </w:tcPr>
          <w:p w14:paraId="6E2F05A3">
            <w:pPr>
              <w:pStyle w:val="72"/>
              <w:rPr>
                <w:rFonts w:hint="eastAsia" w:ascii="Times New Roman" w:hAnsi="Times New Roman" w:eastAsia="仿宋"/>
                <w:kern w:val="0"/>
                <w:lang w:eastAsia="zh-CN"/>
              </w:rPr>
            </w:pPr>
            <w:r>
              <w:rPr>
                <w:rFonts w:ascii="Times New Roman" w:hAnsi="Times New Roman"/>
              </w:rPr>
              <w:t>512.50</w:t>
            </w:r>
          </w:p>
        </w:tc>
        <w:tc>
          <w:tcPr>
            <w:tcW w:w="792" w:type="pct"/>
            <w:tcBorders>
              <w:top w:val="nil"/>
              <w:left w:val="nil"/>
              <w:bottom w:val="single" w:color="auto" w:sz="4" w:space="0"/>
              <w:right w:val="single" w:color="auto" w:sz="4" w:space="0"/>
            </w:tcBorders>
            <w:vAlign w:val="center"/>
          </w:tcPr>
          <w:p w14:paraId="1CF83C06">
            <w:pPr>
              <w:pStyle w:val="72"/>
              <w:rPr>
                <w:rFonts w:hint="eastAsia" w:ascii="Times New Roman" w:hAnsi="Times New Roman" w:eastAsia="仿宋"/>
                <w:kern w:val="0"/>
                <w:lang w:eastAsia="zh-CN"/>
              </w:rPr>
            </w:pPr>
            <w:r>
              <w:rPr>
                <w:rFonts w:ascii="Times New Roman" w:hAnsi="Times New Roman"/>
              </w:rPr>
              <w:t>2.56</w:t>
            </w:r>
          </w:p>
        </w:tc>
      </w:tr>
      <w:tr w14:paraId="1346C6E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ADD3141">
            <w:pPr>
              <w:widowControl/>
              <w:adjustRightInd/>
              <w:snapToGrid/>
              <w:spacing w:line="240" w:lineRule="auto"/>
              <w:ind w:firstLine="0" w:firstLineChars="0"/>
              <w:jc w:val="center"/>
              <w:rPr>
                <w:rFonts w:hint="eastAsia" w:eastAsia="仿宋"/>
                <w:kern w:val="0"/>
                <w:sz w:val="21"/>
                <w:szCs w:val="21"/>
                <w:lang w:eastAsia="zh-CN"/>
              </w:rPr>
            </w:pPr>
            <w:r>
              <w:rPr>
                <w:rFonts w:eastAsia="仿宋"/>
                <w:kern w:val="0"/>
                <w:sz w:val="21"/>
                <w:szCs w:val="21"/>
              </w:rPr>
              <w:t>3</w:t>
            </w:r>
          </w:p>
        </w:tc>
        <w:tc>
          <w:tcPr>
            <w:tcW w:w="1132" w:type="pct"/>
            <w:tcBorders>
              <w:top w:val="nil"/>
              <w:left w:val="nil"/>
              <w:bottom w:val="single" w:color="auto" w:sz="4" w:space="0"/>
              <w:right w:val="single" w:color="auto" w:sz="4" w:space="0"/>
            </w:tcBorders>
            <w:vAlign w:val="center"/>
          </w:tcPr>
          <w:p w14:paraId="52B76F3E">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机械费</w:t>
            </w:r>
          </w:p>
        </w:tc>
        <w:tc>
          <w:tcPr>
            <w:tcW w:w="802" w:type="pct"/>
            <w:tcBorders>
              <w:top w:val="nil"/>
              <w:left w:val="nil"/>
              <w:bottom w:val="single" w:color="auto" w:sz="4" w:space="0"/>
              <w:right w:val="single" w:color="auto" w:sz="4" w:space="0"/>
            </w:tcBorders>
            <w:vAlign w:val="center"/>
          </w:tcPr>
          <w:p w14:paraId="62337530">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6B23A035">
            <w:pPr>
              <w:pStyle w:val="72"/>
              <w:rPr>
                <w:rFonts w:ascii="Times New Roman" w:hAnsi="Times New Roman"/>
                <w:kern w:val="0"/>
              </w:rPr>
            </w:pPr>
            <w:r>
              <w:rPr>
                <w:rFonts w:ascii="Times New Roman" w:hAnsi="Times New Roman"/>
              </w:rPr>
              <w:t>　</w:t>
            </w:r>
          </w:p>
        </w:tc>
        <w:tc>
          <w:tcPr>
            <w:tcW w:w="782" w:type="pct"/>
            <w:tcBorders>
              <w:top w:val="nil"/>
              <w:left w:val="nil"/>
              <w:bottom w:val="single" w:color="auto" w:sz="4" w:space="0"/>
              <w:right w:val="single" w:color="auto" w:sz="4" w:space="0"/>
            </w:tcBorders>
            <w:vAlign w:val="center"/>
          </w:tcPr>
          <w:p w14:paraId="50C5EF10">
            <w:pPr>
              <w:pStyle w:val="72"/>
              <w:rPr>
                <w:rFonts w:ascii="Times New Roman" w:hAnsi="Times New Roman"/>
                <w:kern w:val="0"/>
              </w:rPr>
            </w:pPr>
            <w:r>
              <w:rPr>
                <w:rFonts w:ascii="Times New Roman" w:hAnsi="Times New Roman"/>
              </w:rPr>
              <w:t>　</w:t>
            </w:r>
          </w:p>
        </w:tc>
        <w:tc>
          <w:tcPr>
            <w:tcW w:w="792" w:type="pct"/>
            <w:tcBorders>
              <w:top w:val="nil"/>
              <w:left w:val="nil"/>
              <w:bottom w:val="single" w:color="auto" w:sz="4" w:space="0"/>
              <w:right w:val="single" w:color="auto" w:sz="4" w:space="0"/>
            </w:tcBorders>
            <w:vAlign w:val="center"/>
          </w:tcPr>
          <w:p w14:paraId="54712289">
            <w:pPr>
              <w:pStyle w:val="72"/>
              <w:rPr>
                <w:rFonts w:hint="eastAsia" w:ascii="Times New Roman" w:hAnsi="Times New Roman" w:eastAsia="仿宋"/>
                <w:kern w:val="0"/>
                <w:lang w:eastAsia="zh-CN"/>
              </w:rPr>
            </w:pPr>
            <w:r>
              <w:rPr>
                <w:rFonts w:ascii="Times New Roman" w:hAnsi="Times New Roman"/>
              </w:rPr>
              <w:t>0.00</w:t>
            </w:r>
          </w:p>
        </w:tc>
      </w:tr>
      <w:tr w14:paraId="52E1B49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D4A2DD1">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（二）</w:t>
            </w:r>
          </w:p>
        </w:tc>
        <w:tc>
          <w:tcPr>
            <w:tcW w:w="1132" w:type="pct"/>
            <w:tcBorders>
              <w:top w:val="nil"/>
              <w:left w:val="nil"/>
              <w:bottom w:val="single" w:color="auto" w:sz="4" w:space="0"/>
              <w:right w:val="single" w:color="auto" w:sz="4" w:space="0"/>
            </w:tcBorders>
            <w:vAlign w:val="center"/>
          </w:tcPr>
          <w:p w14:paraId="41CC7BD9">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措施费</w:t>
            </w:r>
          </w:p>
        </w:tc>
        <w:tc>
          <w:tcPr>
            <w:tcW w:w="802" w:type="pct"/>
            <w:tcBorders>
              <w:top w:val="nil"/>
              <w:left w:val="nil"/>
              <w:bottom w:val="single" w:color="auto" w:sz="4" w:space="0"/>
              <w:right w:val="single" w:color="auto" w:sz="4" w:space="0"/>
            </w:tcBorders>
            <w:vAlign w:val="center"/>
          </w:tcPr>
          <w:p w14:paraId="5CB81443">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w:t>
            </w:r>
          </w:p>
        </w:tc>
        <w:tc>
          <w:tcPr>
            <w:tcW w:w="782" w:type="pct"/>
            <w:tcBorders>
              <w:top w:val="nil"/>
              <w:left w:val="nil"/>
              <w:bottom w:val="single" w:color="auto" w:sz="4" w:space="0"/>
              <w:right w:val="single" w:color="auto" w:sz="4" w:space="0"/>
            </w:tcBorders>
            <w:vAlign w:val="center"/>
          </w:tcPr>
          <w:p w14:paraId="1CEE45C7">
            <w:pPr>
              <w:pStyle w:val="72"/>
              <w:rPr>
                <w:rFonts w:hint="eastAsia" w:ascii="Times New Roman" w:hAnsi="Times New Roman" w:eastAsia="仿宋"/>
                <w:kern w:val="0"/>
                <w:lang w:eastAsia="zh-CN"/>
              </w:rPr>
            </w:pPr>
            <w:r>
              <w:rPr>
                <w:rFonts w:ascii="Times New Roman" w:hAnsi="Times New Roman"/>
              </w:rPr>
              <w:t>3.80</w:t>
            </w:r>
          </w:p>
        </w:tc>
        <w:tc>
          <w:tcPr>
            <w:tcW w:w="782" w:type="pct"/>
            <w:tcBorders>
              <w:top w:val="nil"/>
              <w:left w:val="nil"/>
              <w:bottom w:val="single" w:color="auto" w:sz="4" w:space="0"/>
              <w:right w:val="single" w:color="auto" w:sz="4" w:space="0"/>
            </w:tcBorders>
            <w:vAlign w:val="center"/>
          </w:tcPr>
          <w:p w14:paraId="7BF7AB4C">
            <w:pPr>
              <w:pStyle w:val="72"/>
              <w:rPr>
                <w:rFonts w:hint="eastAsia" w:ascii="Times New Roman" w:hAnsi="Times New Roman" w:eastAsia="仿宋"/>
                <w:kern w:val="0"/>
                <w:lang w:eastAsia="zh-CN"/>
              </w:rPr>
            </w:pPr>
            <w:r>
              <w:rPr>
                <w:rFonts w:ascii="Times New Roman" w:hAnsi="Times New Roman"/>
              </w:rPr>
              <w:t>639.97</w:t>
            </w:r>
          </w:p>
        </w:tc>
        <w:tc>
          <w:tcPr>
            <w:tcW w:w="792" w:type="pct"/>
            <w:tcBorders>
              <w:top w:val="nil"/>
              <w:left w:val="nil"/>
              <w:bottom w:val="single" w:color="auto" w:sz="4" w:space="0"/>
              <w:right w:val="single" w:color="auto" w:sz="4" w:space="0"/>
            </w:tcBorders>
            <w:vAlign w:val="center"/>
          </w:tcPr>
          <w:p w14:paraId="677371CD">
            <w:pPr>
              <w:pStyle w:val="72"/>
              <w:rPr>
                <w:rFonts w:hint="eastAsia" w:ascii="Times New Roman" w:hAnsi="Times New Roman" w:eastAsia="仿宋"/>
                <w:kern w:val="0"/>
                <w:lang w:eastAsia="zh-CN"/>
              </w:rPr>
            </w:pPr>
            <w:r>
              <w:rPr>
                <w:rFonts w:ascii="Times New Roman" w:hAnsi="Times New Roman"/>
              </w:rPr>
              <w:t>24.32</w:t>
            </w:r>
          </w:p>
        </w:tc>
      </w:tr>
      <w:tr w14:paraId="72490EE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7D9ED02">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二</w:t>
            </w:r>
          </w:p>
        </w:tc>
        <w:tc>
          <w:tcPr>
            <w:tcW w:w="1132" w:type="pct"/>
            <w:tcBorders>
              <w:top w:val="nil"/>
              <w:left w:val="nil"/>
              <w:bottom w:val="single" w:color="auto" w:sz="4" w:space="0"/>
              <w:right w:val="single" w:color="auto" w:sz="4" w:space="0"/>
            </w:tcBorders>
            <w:vAlign w:val="center"/>
          </w:tcPr>
          <w:p w14:paraId="3E662BA3">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间接费</w:t>
            </w:r>
          </w:p>
        </w:tc>
        <w:tc>
          <w:tcPr>
            <w:tcW w:w="802" w:type="pct"/>
            <w:tcBorders>
              <w:top w:val="nil"/>
              <w:left w:val="nil"/>
              <w:bottom w:val="single" w:color="auto" w:sz="4" w:space="0"/>
              <w:right w:val="single" w:color="auto" w:sz="4" w:space="0"/>
            </w:tcBorders>
            <w:vAlign w:val="center"/>
          </w:tcPr>
          <w:p w14:paraId="70A4D1BF">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w:t>
            </w:r>
          </w:p>
        </w:tc>
        <w:tc>
          <w:tcPr>
            <w:tcW w:w="782" w:type="pct"/>
            <w:tcBorders>
              <w:top w:val="nil"/>
              <w:left w:val="nil"/>
              <w:bottom w:val="single" w:color="auto" w:sz="4" w:space="0"/>
              <w:right w:val="single" w:color="auto" w:sz="4" w:space="0"/>
            </w:tcBorders>
            <w:vAlign w:val="center"/>
          </w:tcPr>
          <w:p w14:paraId="7E0F7BCD">
            <w:pPr>
              <w:pStyle w:val="72"/>
              <w:rPr>
                <w:rFonts w:hint="eastAsia" w:ascii="Times New Roman" w:hAnsi="Times New Roman" w:eastAsia="仿宋"/>
                <w:kern w:val="0"/>
                <w:lang w:eastAsia="zh-CN"/>
              </w:rPr>
            </w:pPr>
            <w:r>
              <w:rPr>
                <w:rFonts w:ascii="Times New Roman" w:hAnsi="Times New Roman"/>
              </w:rPr>
              <w:t>6.00</w:t>
            </w:r>
          </w:p>
        </w:tc>
        <w:tc>
          <w:tcPr>
            <w:tcW w:w="782" w:type="pct"/>
            <w:tcBorders>
              <w:top w:val="nil"/>
              <w:left w:val="nil"/>
              <w:bottom w:val="single" w:color="auto" w:sz="4" w:space="0"/>
              <w:right w:val="single" w:color="auto" w:sz="4" w:space="0"/>
            </w:tcBorders>
            <w:vAlign w:val="center"/>
          </w:tcPr>
          <w:p w14:paraId="330D6B93">
            <w:pPr>
              <w:pStyle w:val="72"/>
              <w:rPr>
                <w:rFonts w:hint="eastAsia" w:ascii="Times New Roman" w:hAnsi="Times New Roman" w:eastAsia="仿宋"/>
                <w:kern w:val="0"/>
                <w:lang w:eastAsia="zh-CN"/>
              </w:rPr>
            </w:pPr>
            <w:r>
              <w:rPr>
                <w:rFonts w:ascii="Times New Roman" w:hAnsi="Times New Roman"/>
              </w:rPr>
              <w:t>664.29</w:t>
            </w:r>
          </w:p>
        </w:tc>
        <w:tc>
          <w:tcPr>
            <w:tcW w:w="792" w:type="pct"/>
            <w:tcBorders>
              <w:top w:val="nil"/>
              <w:left w:val="nil"/>
              <w:bottom w:val="single" w:color="auto" w:sz="4" w:space="0"/>
              <w:right w:val="single" w:color="auto" w:sz="4" w:space="0"/>
            </w:tcBorders>
            <w:vAlign w:val="center"/>
          </w:tcPr>
          <w:p w14:paraId="24E4A2DF">
            <w:pPr>
              <w:pStyle w:val="72"/>
              <w:rPr>
                <w:rFonts w:hint="eastAsia" w:ascii="Times New Roman" w:hAnsi="Times New Roman" w:eastAsia="仿宋"/>
                <w:kern w:val="0"/>
                <w:lang w:eastAsia="zh-CN"/>
              </w:rPr>
            </w:pPr>
            <w:r>
              <w:rPr>
                <w:rFonts w:ascii="Times New Roman" w:hAnsi="Times New Roman"/>
              </w:rPr>
              <w:t>39.86</w:t>
            </w:r>
          </w:p>
        </w:tc>
      </w:tr>
      <w:tr w14:paraId="7C7414C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7CD1E69">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三</w:t>
            </w:r>
          </w:p>
        </w:tc>
        <w:tc>
          <w:tcPr>
            <w:tcW w:w="1132" w:type="pct"/>
            <w:tcBorders>
              <w:top w:val="nil"/>
              <w:left w:val="nil"/>
              <w:bottom w:val="single" w:color="auto" w:sz="4" w:space="0"/>
              <w:right w:val="single" w:color="auto" w:sz="4" w:space="0"/>
            </w:tcBorders>
            <w:vAlign w:val="center"/>
          </w:tcPr>
          <w:p w14:paraId="13149D68">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利润</w:t>
            </w:r>
          </w:p>
        </w:tc>
        <w:tc>
          <w:tcPr>
            <w:tcW w:w="802" w:type="pct"/>
            <w:tcBorders>
              <w:top w:val="nil"/>
              <w:left w:val="nil"/>
              <w:bottom w:val="single" w:color="auto" w:sz="4" w:space="0"/>
              <w:right w:val="single" w:color="auto" w:sz="4" w:space="0"/>
            </w:tcBorders>
            <w:vAlign w:val="center"/>
          </w:tcPr>
          <w:p w14:paraId="18E74A9E">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w:t>
            </w:r>
          </w:p>
        </w:tc>
        <w:tc>
          <w:tcPr>
            <w:tcW w:w="782" w:type="pct"/>
            <w:tcBorders>
              <w:top w:val="nil"/>
              <w:left w:val="nil"/>
              <w:bottom w:val="single" w:color="auto" w:sz="4" w:space="0"/>
              <w:right w:val="single" w:color="auto" w:sz="4" w:space="0"/>
            </w:tcBorders>
            <w:vAlign w:val="center"/>
          </w:tcPr>
          <w:p w14:paraId="7C264CD6">
            <w:pPr>
              <w:pStyle w:val="72"/>
              <w:rPr>
                <w:rFonts w:hint="eastAsia" w:ascii="Times New Roman" w:hAnsi="Times New Roman" w:eastAsia="仿宋"/>
                <w:kern w:val="0"/>
                <w:lang w:eastAsia="zh-CN"/>
              </w:rPr>
            </w:pPr>
            <w:r>
              <w:rPr>
                <w:rFonts w:ascii="Times New Roman" w:hAnsi="Times New Roman"/>
              </w:rPr>
              <w:t>3.00</w:t>
            </w:r>
          </w:p>
        </w:tc>
        <w:tc>
          <w:tcPr>
            <w:tcW w:w="782" w:type="pct"/>
            <w:tcBorders>
              <w:top w:val="nil"/>
              <w:left w:val="nil"/>
              <w:bottom w:val="single" w:color="auto" w:sz="4" w:space="0"/>
              <w:right w:val="single" w:color="auto" w:sz="4" w:space="0"/>
            </w:tcBorders>
            <w:vAlign w:val="center"/>
          </w:tcPr>
          <w:p w14:paraId="645EABD8">
            <w:pPr>
              <w:pStyle w:val="72"/>
              <w:rPr>
                <w:rFonts w:hint="eastAsia" w:ascii="Times New Roman" w:hAnsi="Times New Roman" w:eastAsia="仿宋"/>
                <w:kern w:val="0"/>
                <w:lang w:eastAsia="zh-CN"/>
              </w:rPr>
            </w:pPr>
            <w:r>
              <w:rPr>
                <w:rFonts w:ascii="Times New Roman" w:hAnsi="Times New Roman"/>
              </w:rPr>
              <w:t>704.15</w:t>
            </w:r>
          </w:p>
        </w:tc>
        <w:tc>
          <w:tcPr>
            <w:tcW w:w="792" w:type="pct"/>
            <w:tcBorders>
              <w:top w:val="nil"/>
              <w:left w:val="nil"/>
              <w:bottom w:val="single" w:color="auto" w:sz="4" w:space="0"/>
              <w:right w:val="single" w:color="auto" w:sz="4" w:space="0"/>
            </w:tcBorders>
            <w:vAlign w:val="center"/>
          </w:tcPr>
          <w:p w14:paraId="1EF37249">
            <w:pPr>
              <w:pStyle w:val="72"/>
              <w:rPr>
                <w:rFonts w:hint="eastAsia" w:ascii="Times New Roman" w:hAnsi="Times New Roman" w:eastAsia="仿宋"/>
                <w:kern w:val="0"/>
                <w:lang w:eastAsia="zh-CN"/>
              </w:rPr>
            </w:pPr>
            <w:r>
              <w:rPr>
                <w:rFonts w:ascii="Times New Roman" w:hAnsi="Times New Roman"/>
              </w:rPr>
              <w:t>21.12</w:t>
            </w:r>
          </w:p>
        </w:tc>
      </w:tr>
      <w:tr w14:paraId="2D3FBF3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C4F558B">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四</w:t>
            </w:r>
          </w:p>
        </w:tc>
        <w:tc>
          <w:tcPr>
            <w:tcW w:w="1132" w:type="pct"/>
            <w:tcBorders>
              <w:top w:val="nil"/>
              <w:left w:val="nil"/>
              <w:bottom w:val="single" w:color="auto" w:sz="4" w:space="0"/>
              <w:right w:val="single" w:color="auto" w:sz="4" w:space="0"/>
            </w:tcBorders>
            <w:vAlign w:val="center"/>
          </w:tcPr>
          <w:p w14:paraId="5A917136">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材料价差</w:t>
            </w:r>
          </w:p>
        </w:tc>
        <w:tc>
          <w:tcPr>
            <w:tcW w:w="802" w:type="pct"/>
            <w:tcBorders>
              <w:top w:val="nil"/>
              <w:left w:val="nil"/>
              <w:bottom w:val="single" w:color="auto" w:sz="4" w:space="0"/>
              <w:right w:val="single" w:color="auto" w:sz="4" w:space="0"/>
            </w:tcBorders>
            <w:vAlign w:val="center"/>
          </w:tcPr>
          <w:p w14:paraId="18B11BE8">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　</w:t>
            </w:r>
          </w:p>
        </w:tc>
        <w:tc>
          <w:tcPr>
            <w:tcW w:w="782" w:type="pct"/>
            <w:tcBorders>
              <w:top w:val="nil"/>
              <w:left w:val="nil"/>
              <w:bottom w:val="single" w:color="auto" w:sz="4" w:space="0"/>
              <w:right w:val="single" w:color="auto" w:sz="4" w:space="0"/>
            </w:tcBorders>
            <w:vAlign w:val="center"/>
          </w:tcPr>
          <w:p w14:paraId="5D884D59">
            <w:pPr>
              <w:pStyle w:val="72"/>
              <w:rPr>
                <w:rFonts w:ascii="Times New Roman" w:hAnsi="Times New Roman"/>
                <w:kern w:val="0"/>
              </w:rPr>
            </w:pPr>
            <w:r>
              <w:rPr>
                <w:rFonts w:ascii="Times New Roman" w:hAnsi="Times New Roman"/>
              </w:rPr>
              <w:t>　</w:t>
            </w:r>
          </w:p>
        </w:tc>
        <w:tc>
          <w:tcPr>
            <w:tcW w:w="782" w:type="pct"/>
            <w:tcBorders>
              <w:top w:val="nil"/>
              <w:left w:val="nil"/>
              <w:bottom w:val="single" w:color="auto" w:sz="4" w:space="0"/>
              <w:right w:val="single" w:color="auto" w:sz="4" w:space="0"/>
            </w:tcBorders>
            <w:vAlign w:val="center"/>
          </w:tcPr>
          <w:p w14:paraId="510C46C4">
            <w:pPr>
              <w:pStyle w:val="72"/>
              <w:rPr>
                <w:rFonts w:ascii="Times New Roman" w:hAnsi="Times New Roman"/>
                <w:kern w:val="0"/>
              </w:rPr>
            </w:pPr>
            <w:r>
              <w:rPr>
                <w:rFonts w:ascii="Times New Roman" w:hAnsi="Times New Roman"/>
              </w:rPr>
              <w:t>　</w:t>
            </w:r>
          </w:p>
        </w:tc>
        <w:tc>
          <w:tcPr>
            <w:tcW w:w="792" w:type="pct"/>
            <w:tcBorders>
              <w:top w:val="nil"/>
              <w:left w:val="nil"/>
              <w:bottom w:val="single" w:color="auto" w:sz="4" w:space="0"/>
              <w:right w:val="single" w:color="auto" w:sz="4" w:space="0"/>
            </w:tcBorders>
            <w:vAlign w:val="center"/>
          </w:tcPr>
          <w:p w14:paraId="5F03BB92">
            <w:pPr>
              <w:pStyle w:val="72"/>
              <w:rPr>
                <w:rFonts w:hint="eastAsia" w:ascii="Times New Roman" w:hAnsi="Times New Roman" w:eastAsia="仿宋"/>
                <w:kern w:val="0"/>
                <w:lang w:eastAsia="zh-CN"/>
              </w:rPr>
            </w:pPr>
            <w:r>
              <w:rPr>
                <w:rFonts w:ascii="Times New Roman" w:hAnsi="Times New Roman"/>
              </w:rPr>
              <w:t>510.00</w:t>
            </w:r>
          </w:p>
        </w:tc>
      </w:tr>
      <w:tr w14:paraId="3824FDF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198298E">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1132" w:type="pct"/>
            <w:tcBorders>
              <w:top w:val="nil"/>
              <w:left w:val="nil"/>
              <w:bottom w:val="single" w:color="auto" w:sz="4" w:space="0"/>
              <w:right w:val="single" w:color="auto" w:sz="4" w:space="0"/>
            </w:tcBorders>
            <w:vAlign w:val="center"/>
          </w:tcPr>
          <w:p w14:paraId="457EEE5F">
            <w:pPr>
              <w:widowControl/>
              <w:adjustRightInd/>
              <w:snapToGrid/>
              <w:spacing w:line="240" w:lineRule="auto"/>
              <w:ind w:firstLine="0" w:firstLineChars="0"/>
              <w:jc w:val="center"/>
              <w:rPr>
                <w:rFonts w:hint="eastAsia" w:eastAsia="仿宋"/>
                <w:kern w:val="0"/>
                <w:sz w:val="21"/>
                <w:szCs w:val="21"/>
                <w:lang w:eastAsia="zh-CN"/>
              </w:rPr>
            </w:pPr>
            <w:r>
              <w:rPr>
                <w:rFonts w:hint="eastAsia" w:eastAsia="仿宋"/>
                <w:kern w:val="0"/>
                <w:sz w:val="21"/>
                <w:szCs w:val="21"/>
                <w:lang w:eastAsia="zh-CN"/>
              </w:rPr>
              <w:t>落叶松</w:t>
            </w:r>
          </w:p>
        </w:tc>
        <w:tc>
          <w:tcPr>
            <w:tcW w:w="802" w:type="pct"/>
            <w:tcBorders>
              <w:top w:val="nil"/>
              <w:left w:val="nil"/>
              <w:bottom w:val="single" w:color="auto" w:sz="4" w:space="0"/>
              <w:right w:val="single" w:color="auto" w:sz="4" w:space="0"/>
            </w:tcBorders>
            <w:vAlign w:val="center"/>
          </w:tcPr>
          <w:p w14:paraId="318B9EC9">
            <w:pPr>
              <w:widowControl/>
              <w:adjustRightInd/>
              <w:snapToGrid/>
              <w:spacing w:line="240" w:lineRule="auto"/>
              <w:ind w:firstLine="0" w:firstLineChars="0"/>
              <w:jc w:val="center"/>
              <w:rPr>
                <w:rFonts w:eastAsia="仿宋"/>
                <w:kern w:val="0"/>
                <w:sz w:val="21"/>
                <w:szCs w:val="21"/>
              </w:rPr>
            </w:pPr>
            <w:r>
              <w:rPr>
                <w:rFonts w:eastAsia="仿宋"/>
                <w:kern w:val="0"/>
                <w:sz w:val="21"/>
                <w:szCs w:val="21"/>
              </w:rPr>
              <w:t>株</w:t>
            </w:r>
          </w:p>
        </w:tc>
        <w:tc>
          <w:tcPr>
            <w:tcW w:w="782" w:type="pct"/>
            <w:tcBorders>
              <w:top w:val="nil"/>
              <w:left w:val="nil"/>
              <w:bottom w:val="single" w:color="auto" w:sz="4" w:space="0"/>
              <w:right w:val="single" w:color="auto" w:sz="4" w:space="0"/>
            </w:tcBorders>
            <w:vAlign w:val="center"/>
          </w:tcPr>
          <w:p w14:paraId="54575604">
            <w:pPr>
              <w:pStyle w:val="72"/>
              <w:rPr>
                <w:rFonts w:hint="eastAsia" w:ascii="Times New Roman" w:hAnsi="Times New Roman" w:eastAsia="仿宋"/>
                <w:kern w:val="0"/>
                <w:lang w:eastAsia="zh-CN"/>
              </w:rPr>
            </w:pPr>
            <w:r>
              <w:rPr>
                <w:rFonts w:ascii="Times New Roman" w:hAnsi="Times New Roman"/>
              </w:rPr>
              <w:t>102.00</w:t>
            </w:r>
          </w:p>
        </w:tc>
        <w:tc>
          <w:tcPr>
            <w:tcW w:w="782" w:type="pct"/>
            <w:tcBorders>
              <w:top w:val="nil"/>
              <w:left w:val="nil"/>
              <w:bottom w:val="single" w:color="auto" w:sz="4" w:space="0"/>
              <w:right w:val="single" w:color="auto" w:sz="4" w:space="0"/>
            </w:tcBorders>
            <w:vAlign w:val="center"/>
          </w:tcPr>
          <w:p w14:paraId="358BBEDB">
            <w:pPr>
              <w:pStyle w:val="72"/>
              <w:rPr>
                <w:rFonts w:hint="eastAsia" w:ascii="Times New Roman" w:hAnsi="Times New Roman" w:eastAsia="仿宋"/>
                <w:kern w:val="0"/>
                <w:lang w:eastAsia="zh-CN"/>
              </w:rPr>
            </w:pPr>
            <w:r>
              <w:rPr>
                <w:rFonts w:ascii="Times New Roman" w:hAnsi="Times New Roman"/>
              </w:rPr>
              <w:t>5.00</w:t>
            </w:r>
          </w:p>
        </w:tc>
        <w:tc>
          <w:tcPr>
            <w:tcW w:w="792" w:type="pct"/>
            <w:tcBorders>
              <w:top w:val="nil"/>
              <w:left w:val="nil"/>
              <w:bottom w:val="single" w:color="auto" w:sz="4" w:space="0"/>
              <w:right w:val="single" w:color="auto" w:sz="4" w:space="0"/>
            </w:tcBorders>
            <w:vAlign w:val="center"/>
          </w:tcPr>
          <w:p w14:paraId="4D25A482">
            <w:pPr>
              <w:pStyle w:val="72"/>
              <w:rPr>
                <w:rFonts w:hint="eastAsia" w:ascii="Times New Roman" w:hAnsi="Times New Roman" w:eastAsia="仿宋"/>
                <w:kern w:val="0"/>
                <w:lang w:eastAsia="zh-CN"/>
              </w:rPr>
            </w:pPr>
            <w:r>
              <w:rPr>
                <w:rFonts w:ascii="Times New Roman" w:hAnsi="Times New Roman"/>
              </w:rPr>
              <w:t>510.00</w:t>
            </w:r>
          </w:p>
        </w:tc>
      </w:tr>
      <w:tr w14:paraId="6879005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E2FFEC3">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五</w:t>
            </w:r>
          </w:p>
        </w:tc>
        <w:tc>
          <w:tcPr>
            <w:tcW w:w="1132" w:type="pct"/>
            <w:tcBorders>
              <w:top w:val="nil"/>
              <w:left w:val="nil"/>
              <w:bottom w:val="single" w:color="auto" w:sz="4" w:space="0"/>
              <w:right w:val="single" w:color="auto" w:sz="4" w:space="0"/>
            </w:tcBorders>
            <w:vAlign w:val="center"/>
          </w:tcPr>
          <w:p w14:paraId="124D7FB8">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税金</w:t>
            </w:r>
          </w:p>
        </w:tc>
        <w:tc>
          <w:tcPr>
            <w:tcW w:w="802" w:type="pct"/>
            <w:tcBorders>
              <w:top w:val="nil"/>
              <w:left w:val="nil"/>
              <w:bottom w:val="single" w:color="auto" w:sz="4" w:space="0"/>
              <w:right w:val="single" w:color="auto" w:sz="4" w:space="0"/>
            </w:tcBorders>
            <w:vAlign w:val="center"/>
          </w:tcPr>
          <w:p w14:paraId="42297981">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w:t>
            </w:r>
          </w:p>
        </w:tc>
        <w:tc>
          <w:tcPr>
            <w:tcW w:w="782" w:type="pct"/>
            <w:tcBorders>
              <w:top w:val="nil"/>
              <w:left w:val="nil"/>
              <w:bottom w:val="single" w:color="auto" w:sz="4" w:space="0"/>
              <w:right w:val="single" w:color="auto" w:sz="4" w:space="0"/>
            </w:tcBorders>
            <w:vAlign w:val="center"/>
          </w:tcPr>
          <w:p w14:paraId="4C272487">
            <w:pPr>
              <w:pStyle w:val="72"/>
              <w:rPr>
                <w:rFonts w:hint="eastAsia" w:ascii="Times New Roman" w:hAnsi="Times New Roman" w:eastAsia="仿宋"/>
                <w:kern w:val="0"/>
                <w:lang w:eastAsia="zh-CN"/>
              </w:rPr>
            </w:pPr>
            <w:r>
              <w:rPr>
                <w:rFonts w:ascii="Times New Roman" w:hAnsi="Times New Roman"/>
              </w:rPr>
              <w:t>9.00</w:t>
            </w:r>
          </w:p>
        </w:tc>
        <w:tc>
          <w:tcPr>
            <w:tcW w:w="782" w:type="pct"/>
            <w:tcBorders>
              <w:top w:val="nil"/>
              <w:left w:val="nil"/>
              <w:bottom w:val="single" w:color="auto" w:sz="4" w:space="0"/>
              <w:right w:val="single" w:color="auto" w:sz="4" w:space="0"/>
            </w:tcBorders>
            <w:vAlign w:val="center"/>
          </w:tcPr>
          <w:p w14:paraId="14B120A5">
            <w:pPr>
              <w:pStyle w:val="72"/>
              <w:rPr>
                <w:rFonts w:hint="eastAsia" w:ascii="Times New Roman" w:hAnsi="Times New Roman" w:eastAsia="仿宋"/>
                <w:kern w:val="0"/>
                <w:lang w:eastAsia="zh-CN"/>
              </w:rPr>
            </w:pPr>
            <w:r>
              <w:rPr>
                <w:rFonts w:ascii="Times New Roman" w:hAnsi="Times New Roman"/>
              </w:rPr>
              <w:t>1235.27</w:t>
            </w:r>
          </w:p>
        </w:tc>
        <w:tc>
          <w:tcPr>
            <w:tcW w:w="792" w:type="pct"/>
            <w:tcBorders>
              <w:top w:val="nil"/>
              <w:left w:val="nil"/>
              <w:bottom w:val="single" w:color="auto" w:sz="4" w:space="0"/>
              <w:right w:val="single" w:color="auto" w:sz="4" w:space="0"/>
            </w:tcBorders>
            <w:vAlign w:val="center"/>
          </w:tcPr>
          <w:p w14:paraId="6A3E05FF">
            <w:pPr>
              <w:pStyle w:val="72"/>
              <w:rPr>
                <w:rFonts w:hint="eastAsia" w:ascii="Times New Roman" w:hAnsi="Times New Roman" w:eastAsia="仿宋"/>
                <w:kern w:val="0"/>
                <w:lang w:eastAsia="zh-CN"/>
              </w:rPr>
            </w:pPr>
            <w:r>
              <w:rPr>
                <w:rFonts w:ascii="Times New Roman" w:hAnsi="Times New Roman"/>
              </w:rPr>
              <w:t>111.17</w:t>
            </w:r>
          </w:p>
        </w:tc>
      </w:tr>
      <w:tr w14:paraId="4DA99EB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50F21B7">
            <w:pPr>
              <w:widowControl/>
              <w:adjustRightInd/>
              <w:snapToGrid/>
              <w:spacing w:line="240" w:lineRule="auto"/>
              <w:ind w:firstLine="0" w:firstLineChars="0"/>
              <w:jc w:val="center"/>
              <w:rPr>
                <w:rFonts w:eastAsia="仿宋"/>
                <w:b/>
                <w:bCs/>
                <w:kern w:val="0"/>
                <w:sz w:val="21"/>
                <w:szCs w:val="21"/>
              </w:rPr>
            </w:pPr>
            <w:r>
              <w:rPr>
                <w:rFonts w:eastAsia="仿宋"/>
                <w:b/>
                <w:bCs/>
                <w:kern w:val="0"/>
                <w:sz w:val="21"/>
                <w:szCs w:val="21"/>
              </w:rPr>
              <w:t>合计</w:t>
            </w:r>
          </w:p>
        </w:tc>
        <w:tc>
          <w:tcPr>
            <w:tcW w:w="1132" w:type="pct"/>
            <w:tcBorders>
              <w:top w:val="nil"/>
              <w:left w:val="nil"/>
              <w:bottom w:val="single" w:color="auto" w:sz="4" w:space="0"/>
              <w:right w:val="single" w:color="auto" w:sz="4" w:space="0"/>
            </w:tcBorders>
            <w:vAlign w:val="center"/>
          </w:tcPr>
          <w:p w14:paraId="308D129E">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802" w:type="pct"/>
            <w:tcBorders>
              <w:top w:val="nil"/>
              <w:left w:val="nil"/>
              <w:bottom w:val="single" w:color="auto" w:sz="4" w:space="0"/>
              <w:right w:val="single" w:color="auto" w:sz="4" w:space="0"/>
            </w:tcBorders>
            <w:vAlign w:val="center"/>
          </w:tcPr>
          <w:p w14:paraId="2F100686">
            <w:pPr>
              <w:widowControl/>
              <w:adjustRightInd/>
              <w:snapToGrid/>
              <w:spacing w:line="240" w:lineRule="auto"/>
              <w:ind w:firstLine="0" w:firstLineChars="0"/>
              <w:jc w:val="center"/>
              <w:rPr>
                <w:rFonts w:eastAsia="仿宋"/>
                <w:kern w:val="0"/>
                <w:sz w:val="21"/>
                <w:szCs w:val="21"/>
              </w:rPr>
            </w:pPr>
            <w:r>
              <w:rPr>
                <w:rFonts w:eastAsia="仿宋"/>
                <w:kern w:val="0"/>
                <w:sz w:val="21"/>
                <w:szCs w:val="21"/>
              </w:rPr>
              <w:t>　</w:t>
            </w:r>
          </w:p>
        </w:tc>
        <w:tc>
          <w:tcPr>
            <w:tcW w:w="782" w:type="pct"/>
            <w:tcBorders>
              <w:top w:val="nil"/>
              <w:left w:val="nil"/>
              <w:bottom w:val="single" w:color="auto" w:sz="4" w:space="0"/>
              <w:right w:val="single" w:color="auto" w:sz="4" w:space="0"/>
            </w:tcBorders>
            <w:vAlign w:val="center"/>
          </w:tcPr>
          <w:p w14:paraId="14D71554">
            <w:pPr>
              <w:pStyle w:val="72"/>
              <w:rPr>
                <w:rFonts w:ascii="Times New Roman" w:hAnsi="Times New Roman"/>
                <w:kern w:val="0"/>
              </w:rPr>
            </w:pPr>
            <w:r>
              <w:rPr>
                <w:rFonts w:ascii="Times New Roman" w:hAnsi="Times New Roman"/>
              </w:rPr>
              <w:t>　</w:t>
            </w:r>
          </w:p>
        </w:tc>
        <w:tc>
          <w:tcPr>
            <w:tcW w:w="782" w:type="pct"/>
            <w:tcBorders>
              <w:top w:val="nil"/>
              <w:left w:val="nil"/>
              <w:bottom w:val="single" w:color="auto" w:sz="4" w:space="0"/>
              <w:right w:val="single" w:color="auto" w:sz="4" w:space="0"/>
            </w:tcBorders>
            <w:vAlign w:val="center"/>
          </w:tcPr>
          <w:p w14:paraId="1A59F868">
            <w:pPr>
              <w:pStyle w:val="72"/>
              <w:rPr>
                <w:rFonts w:ascii="Times New Roman" w:hAnsi="Times New Roman"/>
                <w:kern w:val="0"/>
              </w:rPr>
            </w:pPr>
            <w:r>
              <w:rPr>
                <w:rFonts w:ascii="Times New Roman" w:hAnsi="Times New Roman"/>
              </w:rPr>
              <w:t>　</w:t>
            </w:r>
          </w:p>
        </w:tc>
        <w:tc>
          <w:tcPr>
            <w:tcW w:w="792" w:type="pct"/>
            <w:tcBorders>
              <w:top w:val="nil"/>
              <w:left w:val="nil"/>
              <w:bottom w:val="single" w:color="auto" w:sz="4" w:space="0"/>
              <w:right w:val="single" w:color="auto" w:sz="4" w:space="0"/>
            </w:tcBorders>
            <w:vAlign w:val="center"/>
          </w:tcPr>
          <w:p w14:paraId="089B6CCD">
            <w:pPr>
              <w:pStyle w:val="72"/>
              <w:rPr>
                <w:rFonts w:hint="eastAsia" w:ascii="Times New Roman" w:hAnsi="Times New Roman" w:eastAsia="仿宋"/>
                <w:kern w:val="0"/>
                <w:lang w:eastAsia="zh-CN"/>
              </w:rPr>
            </w:pPr>
            <w:r>
              <w:rPr>
                <w:rFonts w:ascii="Times New Roman" w:hAnsi="Times New Roman"/>
              </w:rPr>
              <w:t>1346.45</w:t>
            </w:r>
          </w:p>
        </w:tc>
      </w:tr>
    </w:tbl>
    <w:p w14:paraId="7F3B56DA">
      <w:pPr>
        <w:ind w:firstLine="0" w:firstLineChars="0"/>
        <w:jc w:val="center"/>
        <w:rPr>
          <w:b/>
          <w:sz w:val="21"/>
          <w:szCs w:val="21"/>
        </w:rPr>
      </w:pPr>
    </w:p>
    <w:p w14:paraId="227FF11E">
      <w:pPr>
        <w:ind w:firstLine="0" w:firstLineChars="0"/>
        <w:jc w:val="center"/>
        <w:rPr>
          <w:b/>
          <w:sz w:val="21"/>
          <w:szCs w:val="21"/>
        </w:rPr>
      </w:pPr>
    </w:p>
    <w:p w14:paraId="647FCE86">
      <w:pPr>
        <w:ind w:firstLine="0" w:firstLineChars="0"/>
        <w:jc w:val="center"/>
        <w:rPr>
          <w:b/>
          <w:sz w:val="21"/>
          <w:szCs w:val="21"/>
        </w:rPr>
      </w:pPr>
    </w:p>
    <w:p w14:paraId="50EADC31">
      <w:pPr>
        <w:ind w:firstLine="0" w:firstLineChars="0"/>
        <w:jc w:val="center"/>
        <w:rPr>
          <w:b/>
          <w:sz w:val="21"/>
          <w:szCs w:val="21"/>
        </w:rPr>
      </w:pPr>
    </w:p>
    <w:p w14:paraId="02DB9F83">
      <w:pPr>
        <w:ind w:firstLine="0" w:firstLineChars="0"/>
        <w:jc w:val="center"/>
        <w:rPr>
          <w:b/>
          <w:sz w:val="21"/>
          <w:szCs w:val="21"/>
        </w:rPr>
      </w:pPr>
    </w:p>
    <w:p w14:paraId="44C3A6EC">
      <w:pPr>
        <w:ind w:firstLine="0" w:firstLineChars="0"/>
        <w:jc w:val="center"/>
        <w:rPr>
          <w:b/>
          <w:sz w:val="21"/>
          <w:szCs w:val="21"/>
        </w:rPr>
      </w:pPr>
    </w:p>
    <w:p w14:paraId="6BA61976">
      <w:pPr>
        <w:ind w:firstLine="0" w:firstLineChars="0"/>
        <w:jc w:val="center"/>
        <w:rPr>
          <w:b/>
          <w:sz w:val="21"/>
          <w:szCs w:val="21"/>
        </w:rPr>
      </w:pPr>
    </w:p>
    <w:p w14:paraId="4EBD677E">
      <w:pPr>
        <w:ind w:firstLine="0" w:firstLineChars="0"/>
        <w:jc w:val="center"/>
        <w:rPr>
          <w:b/>
          <w:sz w:val="21"/>
          <w:szCs w:val="21"/>
        </w:rPr>
      </w:pPr>
    </w:p>
    <w:p w14:paraId="2BB84C03">
      <w:pPr>
        <w:ind w:firstLine="0" w:firstLineChars="0"/>
        <w:jc w:val="center"/>
        <w:rPr>
          <w:b/>
          <w:sz w:val="21"/>
          <w:szCs w:val="21"/>
        </w:rPr>
      </w:pPr>
    </w:p>
    <w:p w14:paraId="7C9ECC5A">
      <w:pPr>
        <w:ind w:firstLine="0" w:firstLineChars="0"/>
        <w:jc w:val="center"/>
        <w:rPr>
          <w:b/>
          <w:sz w:val="21"/>
          <w:szCs w:val="21"/>
        </w:rPr>
      </w:pPr>
    </w:p>
    <w:p w14:paraId="3965AA1C">
      <w:pPr>
        <w:pStyle w:val="41"/>
        <w:spacing w:after="0" w:line="240" w:lineRule="auto"/>
        <w:ind w:left="0" w:leftChars="0" w:firstLine="0" w:firstLineChars="0"/>
        <w:jc w:val="center"/>
        <w:rPr>
          <w:rFonts w:eastAsia="黑体"/>
          <w:bCs/>
          <w:sz w:val="24"/>
          <w:szCs w:val="24"/>
        </w:rPr>
      </w:pPr>
    </w:p>
    <w:p w14:paraId="4EAB3A92">
      <w:pPr>
        <w:pStyle w:val="41"/>
        <w:spacing w:after="0" w:line="240" w:lineRule="auto"/>
        <w:ind w:left="0" w:leftChars="0" w:firstLine="0" w:firstLineChars="0"/>
        <w:jc w:val="center"/>
        <w:rPr>
          <w:rFonts w:eastAsia="黑体"/>
          <w:bCs/>
          <w:sz w:val="24"/>
          <w:szCs w:val="24"/>
        </w:rPr>
      </w:pPr>
      <w:r>
        <w:rPr>
          <w:rFonts w:hint="eastAsia" w:eastAsia="黑体"/>
          <w:bCs/>
          <w:sz w:val="24"/>
          <w:szCs w:val="24"/>
          <w:lang w:val="en-US" w:eastAsia="zh-CN"/>
        </w:rPr>
        <w:t>7</w:t>
      </w:r>
      <w:r>
        <w:rPr>
          <w:rFonts w:eastAsia="黑体"/>
          <w:bCs/>
          <w:sz w:val="24"/>
          <w:szCs w:val="24"/>
        </w:rPr>
        <w:t>.</w:t>
      </w:r>
      <w:r>
        <w:rPr>
          <w:rFonts w:hint="eastAsia" w:eastAsia="黑体"/>
          <w:bCs/>
          <w:sz w:val="24"/>
          <w:szCs w:val="24"/>
        </w:rPr>
        <w:t>水泥浆砌砖建筑拆除</w:t>
      </w:r>
    </w:p>
    <w:tbl>
      <w:tblPr>
        <w:tblStyle w:val="42"/>
        <w:tblW w:w="9720" w:type="dxa"/>
        <w:tblInd w:w="113" w:type="dxa"/>
        <w:tblLayout w:type="autofit"/>
        <w:tblCellMar>
          <w:top w:w="0" w:type="dxa"/>
          <w:left w:w="108" w:type="dxa"/>
          <w:bottom w:w="0" w:type="dxa"/>
          <w:right w:w="108" w:type="dxa"/>
        </w:tblCellMar>
      </w:tblPr>
      <w:tblGrid>
        <w:gridCol w:w="1380"/>
        <w:gridCol w:w="2200"/>
        <w:gridCol w:w="1560"/>
        <w:gridCol w:w="1520"/>
        <w:gridCol w:w="1520"/>
        <w:gridCol w:w="1540"/>
      </w:tblGrid>
      <w:tr w14:paraId="114ED510">
        <w:tblPrEx>
          <w:tblCellMar>
            <w:top w:w="0" w:type="dxa"/>
            <w:left w:w="108" w:type="dxa"/>
            <w:bottom w:w="0" w:type="dxa"/>
            <w:right w:w="108" w:type="dxa"/>
          </w:tblCellMar>
        </w:tblPrEx>
        <w:trPr>
          <w:trHeight w:val="312" w:hRule="atLeast"/>
        </w:trPr>
        <w:tc>
          <w:tcPr>
            <w:tcW w:w="9720" w:type="dxa"/>
            <w:gridSpan w:val="6"/>
            <w:tcBorders>
              <w:top w:val="single" w:color="auto" w:sz="4" w:space="0"/>
              <w:left w:val="single" w:color="auto" w:sz="4" w:space="0"/>
              <w:bottom w:val="single" w:color="auto" w:sz="4" w:space="0"/>
              <w:right w:val="single" w:color="auto" w:sz="4" w:space="0"/>
            </w:tcBorders>
            <w:vAlign w:val="center"/>
          </w:tcPr>
          <w:p w14:paraId="19F2C3D0">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定额编号：30073定额单位：100m</w:t>
            </w:r>
            <w:r>
              <w:rPr>
                <w:rFonts w:hint="eastAsia" w:ascii="仿宋" w:hAnsi="仿宋" w:eastAsia="仿宋" w:cs="宋体"/>
                <w:kern w:val="0"/>
                <w:sz w:val="21"/>
                <w:szCs w:val="21"/>
                <w:vertAlign w:val="superscript"/>
              </w:rPr>
              <w:t>3</w:t>
            </w:r>
          </w:p>
        </w:tc>
      </w:tr>
      <w:tr w14:paraId="625C1B75">
        <w:tblPrEx>
          <w:tblCellMar>
            <w:top w:w="0" w:type="dxa"/>
            <w:left w:w="108" w:type="dxa"/>
            <w:bottom w:w="0" w:type="dxa"/>
            <w:right w:w="108" w:type="dxa"/>
          </w:tblCellMar>
        </w:tblPrEx>
        <w:trPr>
          <w:trHeight w:val="312" w:hRule="atLeast"/>
        </w:trPr>
        <w:tc>
          <w:tcPr>
            <w:tcW w:w="9720" w:type="dxa"/>
            <w:gridSpan w:val="6"/>
            <w:tcBorders>
              <w:top w:val="single" w:color="auto" w:sz="4" w:space="0"/>
              <w:left w:val="single" w:color="auto" w:sz="4" w:space="0"/>
              <w:bottom w:val="single" w:color="auto" w:sz="4" w:space="0"/>
              <w:right w:val="single" w:color="auto" w:sz="4" w:space="0"/>
            </w:tcBorders>
            <w:vAlign w:val="center"/>
          </w:tcPr>
          <w:p w14:paraId="185079C4">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施工方法：拆除、清理、堆放。运距30m。</w:t>
            </w:r>
          </w:p>
        </w:tc>
      </w:tr>
      <w:tr w14:paraId="638A02A0">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02964DBF">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序号</w:t>
            </w:r>
          </w:p>
        </w:tc>
        <w:tc>
          <w:tcPr>
            <w:tcW w:w="2200" w:type="dxa"/>
            <w:tcBorders>
              <w:top w:val="nil"/>
              <w:left w:val="nil"/>
              <w:bottom w:val="single" w:color="auto" w:sz="4" w:space="0"/>
              <w:right w:val="single" w:color="auto" w:sz="4" w:space="0"/>
            </w:tcBorders>
            <w:vAlign w:val="center"/>
          </w:tcPr>
          <w:p w14:paraId="5B313DA0">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项目名称</w:t>
            </w:r>
          </w:p>
        </w:tc>
        <w:tc>
          <w:tcPr>
            <w:tcW w:w="1560" w:type="dxa"/>
            <w:tcBorders>
              <w:top w:val="nil"/>
              <w:left w:val="nil"/>
              <w:bottom w:val="single" w:color="auto" w:sz="4" w:space="0"/>
              <w:right w:val="single" w:color="auto" w:sz="4" w:space="0"/>
            </w:tcBorders>
            <w:vAlign w:val="center"/>
          </w:tcPr>
          <w:p w14:paraId="0B160789">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单位</w:t>
            </w:r>
          </w:p>
        </w:tc>
        <w:tc>
          <w:tcPr>
            <w:tcW w:w="1520" w:type="dxa"/>
            <w:tcBorders>
              <w:top w:val="nil"/>
              <w:left w:val="nil"/>
              <w:bottom w:val="single" w:color="auto" w:sz="4" w:space="0"/>
              <w:right w:val="single" w:color="auto" w:sz="4" w:space="0"/>
            </w:tcBorders>
            <w:vAlign w:val="center"/>
          </w:tcPr>
          <w:p w14:paraId="672BC62B">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数量</w:t>
            </w:r>
          </w:p>
        </w:tc>
        <w:tc>
          <w:tcPr>
            <w:tcW w:w="1520" w:type="dxa"/>
            <w:tcBorders>
              <w:top w:val="nil"/>
              <w:left w:val="nil"/>
              <w:bottom w:val="single" w:color="auto" w:sz="4" w:space="0"/>
              <w:right w:val="single" w:color="auto" w:sz="4" w:space="0"/>
            </w:tcBorders>
            <w:vAlign w:val="center"/>
          </w:tcPr>
          <w:p w14:paraId="155E50B1">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单价</w:t>
            </w:r>
          </w:p>
        </w:tc>
        <w:tc>
          <w:tcPr>
            <w:tcW w:w="1540" w:type="dxa"/>
            <w:tcBorders>
              <w:top w:val="nil"/>
              <w:left w:val="nil"/>
              <w:bottom w:val="single" w:color="auto" w:sz="4" w:space="0"/>
              <w:right w:val="single" w:color="auto" w:sz="4" w:space="0"/>
            </w:tcBorders>
            <w:vAlign w:val="center"/>
          </w:tcPr>
          <w:p w14:paraId="5E4A4D72">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小计（元）</w:t>
            </w:r>
          </w:p>
        </w:tc>
      </w:tr>
      <w:tr w14:paraId="51FA0EAB">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4093A9C3">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一</w:t>
            </w:r>
          </w:p>
        </w:tc>
        <w:tc>
          <w:tcPr>
            <w:tcW w:w="2200" w:type="dxa"/>
            <w:tcBorders>
              <w:top w:val="nil"/>
              <w:left w:val="nil"/>
              <w:bottom w:val="single" w:color="auto" w:sz="4" w:space="0"/>
              <w:right w:val="single" w:color="auto" w:sz="4" w:space="0"/>
            </w:tcBorders>
            <w:vAlign w:val="center"/>
          </w:tcPr>
          <w:p w14:paraId="7BE47E6B">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直接费</w:t>
            </w:r>
          </w:p>
        </w:tc>
        <w:tc>
          <w:tcPr>
            <w:tcW w:w="1560" w:type="dxa"/>
            <w:tcBorders>
              <w:top w:val="nil"/>
              <w:left w:val="nil"/>
              <w:bottom w:val="single" w:color="auto" w:sz="4" w:space="0"/>
              <w:right w:val="single" w:color="auto" w:sz="4" w:space="0"/>
            </w:tcBorders>
            <w:vAlign w:val="center"/>
          </w:tcPr>
          <w:p w14:paraId="07D2D43F">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20" w:type="dxa"/>
            <w:tcBorders>
              <w:top w:val="nil"/>
              <w:left w:val="nil"/>
              <w:bottom w:val="single" w:color="auto" w:sz="4" w:space="0"/>
              <w:right w:val="single" w:color="auto" w:sz="4" w:space="0"/>
            </w:tcBorders>
            <w:vAlign w:val="center"/>
          </w:tcPr>
          <w:p w14:paraId="3E2534A7">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20" w:type="dxa"/>
            <w:tcBorders>
              <w:top w:val="nil"/>
              <w:left w:val="nil"/>
              <w:bottom w:val="single" w:color="auto" w:sz="4" w:space="0"/>
              <w:right w:val="single" w:color="auto" w:sz="4" w:space="0"/>
            </w:tcBorders>
            <w:vAlign w:val="center"/>
          </w:tcPr>
          <w:p w14:paraId="3461B440">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40" w:type="dxa"/>
            <w:tcBorders>
              <w:top w:val="nil"/>
              <w:left w:val="nil"/>
              <w:bottom w:val="single" w:color="auto" w:sz="4" w:space="0"/>
              <w:right w:val="single" w:color="auto" w:sz="4" w:space="0"/>
            </w:tcBorders>
            <w:vAlign w:val="center"/>
          </w:tcPr>
          <w:p w14:paraId="234CBCF7">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7779.98</w:t>
            </w:r>
          </w:p>
        </w:tc>
      </w:tr>
      <w:tr w14:paraId="316D072B">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0111A625">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（一）</w:t>
            </w:r>
          </w:p>
        </w:tc>
        <w:tc>
          <w:tcPr>
            <w:tcW w:w="2200" w:type="dxa"/>
            <w:tcBorders>
              <w:top w:val="nil"/>
              <w:left w:val="nil"/>
              <w:bottom w:val="single" w:color="auto" w:sz="4" w:space="0"/>
              <w:right w:val="single" w:color="auto" w:sz="4" w:space="0"/>
            </w:tcBorders>
            <w:vAlign w:val="center"/>
          </w:tcPr>
          <w:p w14:paraId="1D1F7BC3">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直接工程费</w:t>
            </w:r>
          </w:p>
        </w:tc>
        <w:tc>
          <w:tcPr>
            <w:tcW w:w="1560" w:type="dxa"/>
            <w:tcBorders>
              <w:top w:val="nil"/>
              <w:left w:val="nil"/>
              <w:bottom w:val="single" w:color="auto" w:sz="4" w:space="0"/>
              <w:right w:val="single" w:color="auto" w:sz="4" w:space="0"/>
            </w:tcBorders>
            <w:vAlign w:val="center"/>
          </w:tcPr>
          <w:p w14:paraId="5BDBA2A9">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20" w:type="dxa"/>
            <w:tcBorders>
              <w:top w:val="nil"/>
              <w:left w:val="nil"/>
              <w:bottom w:val="single" w:color="auto" w:sz="4" w:space="0"/>
              <w:right w:val="single" w:color="auto" w:sz="4" w:space="0"/>
            </w:tcBorders>
            <w:vAlign w:val="center"/>
          </w:tcPr>
          <w:p w14:paraId="13FC02EE">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20" w:type="dxa"/>
            <w:tcBorders>
              <w:top w:val="nil"/>
              <w:left w:val="nil"/>
              <w:bottom w:val="single" w:color="auto" w:sz="4" w:space="0"/>
              <w:right w:val="single" w:color="auto" w:sz="4" w:space="0"/>
            </w:tcBorders>
            <w:vAlign w:val="center"/>
          </w:tcPr>
          <w:p w14:paraId="460911DE">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40" w:type="dxa"/>
            <w:tcBorders>
              <w:top w:val="nil"/>
              <w:left w:val="nil"/>
              <w:bottom w:val="single" w:color="auto" w:sz="4" w:space="0"/>
              <w:right w:val="single" w:color="auto" w:sz="4" w:space="0"/>
            </w:tcBorders>
            <w:vAlign w:val="center"/>
          </w:tcPr>
          <w:p w14:paraId="64FF4E55">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7495.16</w:t>
            </w:r>
          </w:p>
        </w:tc>
      </w:tr>
      <w:tr w14:paraId="5989D25B">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3EB8D2DD">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1</w:t>
            </w:r>
          </w:p>
        </w:tc>
        <w:tc>
          <w:tcPr>
            <w:tcW w:w="2200" w:type="dxa"/>
            <w:tcBorders>
              <w:top w:val="nil"/>
              <w:left w:val="nil"/>
              <w:bottom w:val="single" w:color="auto" w:sz="4" w:space="0"/>
              <w:right w:val="single" w:color="auto" w:sz="4" w:space="0"/>
            </w:tcBorders>
            <w:vAlign w:val="center"/>
          </w:tcPr>
          <w:p w14:paraId="537E44BF">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人工费</w:t>
            </w:r>
          </w:p>
        </w:tc>
        <w:tc>
          <w:tcPr>
            <w:tcW w:w="1560" w:type="dxa"/>
            <w:tcBorders>
              <w:top w:val="nil"/>
              <w:left w:val="nil"/>
              <w:bottom w:val="single" w:color="auto" w:sz="4" w:space="0"/>
              <w:right w:val="single" w:color="auto" w:sz="4" w:space="0"/>
            </w:tcBorders>
            <w:vAlign w:val="center"/>
          </w:tcPr>
          <w:p w14:paraId="2E2032C6">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20" w:type="dxa"/>
            <w:tcBorders>
              <w:top w:val="nil"/>
              <w:left w:val="nil"/>
              <w:bottom w:val="single" w:color="auto" w:sz="4" w:space="0"/>
              <w:right w:val="single" w:color="auto" w:sz="4" w:space="0"/>
            </w:tcBorders>
            <w:vAlign w:val="center"/>
          </w:tcPr>
          <w:p w14:paraId="2448922D">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20" w:type="dxa"/>
            <w:tcBorders>
              <w:top w:val="nil"/>
              <w:left w:val="nil"/>
              <w:bottom w:val="single" w:color="auto" w:sz="4" w:space="0"/>
              <w:right w:val="single" w:color="auto" w:sz="4" w:space="0"/>
            </w:tcBorders>
            <w:vAlign w:val="center"/>
          </w:tcPr>
          <w:p w14:paraId="0F1C7D53">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40" w:type="dxa"/>
            <w:tcBorders>
              <w:top w:val="nil"/>
              <w:left w:val="nil"/>
              <w:bottom w:val="single" w:color="auto" w:sz="4" w:space="0"/>
              <w:right w:val="single" w:color="auto" w:sz="4" w:space="0"/>
            </w:tcBorders>
            <w:vAlign w:val="center"/>
          </w:tcPr>
          <w:p w14:paraId="53009CBD">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7495.16</w:t>
            </w:r>
          </w:p>
        </w:tc>
      </w:tr>
      <w:tr w14:paraId="71090C49">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757C2C8">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2200" w:type="dxa"/>
            <w:tcBorders>
              <w:top w:val="nil"/>
              <w:left w:val="nil"/>
              <w:bottom w:val="single" w:color="auto" w:sz="4" w:space="0"/>
              <w:right w:val="single" w:color="auto" w:sz="4" w:space="0"/>
            </w:tcBorders>
            <w:vAlign w:val="center"/>
          </w:tcPr>
          <w:p w14:paraId="1CD81E58">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甲类工</w:t>
            </w:r>
          </w:p>
        </w:tc>
        <w:tc>
          <w:tcPr>
            <w:tcW w:w="1560" w:type="dxa"/>
            <w:tcBorders>
              <w:top w:val="nil"/>
              <w:left w:val="nil"/>
              <w:bottom w:val="single" w:color="auto" w:sz="4" w:space="0"/>
              <w:right w:val="single" w:color="auto" w:sz="4" w:space="0"/>
            </w:tcBorders>
            <w:vAlign w:val="center"/>
          </w:tcPr>
          <w:p w14:paraId="2A10C57A">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工日</w:t>
            </w:r>
          </w:p>
        </w:tc>
        <w:tc>
          <w:tcPr>
            <w:tcW w:w="1520" w:type="dxa"/>
            <w:tcBorders>
              <w:top w:val="nil"/>
              <w:left w:val="nil"/>
              <w:bottom w:val="single" w:color="auto" w:sz="4" w:space="0"/>
              <w:right w:val="single" w:color="auto" w:sz="4" w:space="0"/>
            </w:tcBorders>
            <w:vAlign w:val="center"/>
          </w:tcPr>
          <w:p w14:paraId="607492F0">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9.30</w:t>
            </w:r>
          </w:p>
        </w:tc>
        <w:tc>
          <w:tcPr>
            <w:tcW w:w="1520" w:type="dxa"/>
            <w:tcBorders>
              <w:top w:val="nil"/>
              <w:left w:val="nil"/>
              <w:bottom w:val="single" w:color="auto" w:sz="4" w:space="0"/>
              <w:right w:val="single" w:color="auto" w:sz="4" w:space="0"/>
            </w:tcBorders>
            <w:vAlign w:val="center"/>
          </w:tcPr>
          <w:p w14:paraId="7335F52C">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51.04</w:t>
            </w:r>
          </w:p>
        </w:tc>
        <w:tc>
          <w:tcPr>
            <w:tcW w:w="1540" w:type="dxa"/>
            <w:tcBorders>
              <w:top w:val="nil"/>
              <w:left w:val="nil"/>
              <w:bottom w:val="single" w:color="auto" w:sz="4" w:space="0"/>
              <w:right w:val="single" w:color="auto" w:sz="4" w:space="0"/>
            </w:tcBorders>
            <w:vAlign w:val="center"/>
          </w:tcPr>
          <w:p w14:paraId="780BA014">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474.67</w:t>
            </w:r>
          </w:p>
        </w:tc>
      </w:tr>
      <w:tr w14:paraId="0CB80F40">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03293174">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2200" w:type="dxa"/>
            <w:tcBorders>
              <w:top w:val="nil"/>
              <w:left w:val="nil"/>
              <w:bottom w:val="single" w:color="auto" w:sz="4" w:space="0"/>
              <w:right w:val="single" w:color="auto" w:sz="4" w:space="0"/>
            </w:tcBorders>
            <w:vAlign w:val="center"/>
          </w:tcPr>
          <w:p w14:paraId="5E5AD607">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乙类工</w:t>
            </w:r>
          </w:p>
        </w:tc>
        <w:tc>
          <w:tcPr>
            <w:tcW w:w="1560" w:type="dxa"/>
            <w:tcBorders>
              <w:top w:val="nil"/>
              <w:left w:val="nil"/>
              <w:bottom w:val="single" w:color="auto" w:sz="4" w:space="0"/>
              <w:right w:val="single" w:color="auto" w:sz="4" w:space="0"/>
            </w:tcBorders>
            <w:vAlign w:val="center"/>
          </w:tcPr>
          <w:p w14:paraId="5DD1AECC">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工日</w:t>
            </w:r>
          </w:p>
        </w:tc>
        <w:tc>
          <w:tcPr>
            <w:tcW w:w="1520" w:type="dxa"/>
            <w:tcBorders>
              <w:top w:val="nil"/>
              <w:left w:val="nil"/>
              <w:bottom w:val="single" w:color="auto" w:sz="4" w:space="0"/>
              <w:right w:val="single" w:color="auto" w:sz="4" w:space="0"/>
            </w:tcBorders>
            <w:vAlign w:val="center"/>
          </w:tcPr>
          <w:p w14:paraId="502BBA4D">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176.60</w:t>
            </w:r>
          </w:p>
        </w:tc>
        <w:tc>
          <w:tcPr>
            <w:tcW w:w="1520" w:type="dxa"/>
            <w:tcBorders>
              <w:top w:val="nil"/>
              <w:left w:val="nil"/>
              <w:bottom w:val="single" w:color="auto" w:sz="4" w:space="0"/>
              <w:right w:val="single" w:color="auto" w:sz="4" w:space="0"/>
            </w:tcBorders>
            <w:vAlign w:val="center"/>
          </w:tcPr>
          <w:p w14:paraId="3896EEEB">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38.84</w:t>
            </w:r>
          </w:p>
        </w:tc>
        <w:tc>
          <w:tcPr>
            <w:tcW w:w="1540" w:type="dxa"/>
            <w:tcBorders>
              <w:top w:val="nil"/>
              <w:left w:val="nil"/>
              <w:bottom w:val="single" w:color="auto" w:sz="4" w:space="0"/>
              <w:right w:val="single" w:color="auto" w:sz="4" w:space="0"/>
            </w:tcBorders>
            <w:vAlign w:val="center"/>
          </w:tcPr>
          <w:p w14:paraId="11588A23">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6859.14</w:t>
            </w:r>
          </w:p>
        </w:tc>
      </w:tr>
      <w:tr w14:paraId="3900C964">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0C2DB603">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2200" w:type="dxa"/>
            <w:tcBorders>
              <w:top w:val="nil"/>
              <w:left w:val="nil"/>
              <w:bottom w:val="single" w:color="auto" w:sz="4" w:space="0"/>
              <w:right w:val="single" w:color="auto" w:sz="4" w:space="0"/>
            </w:tcBorders>
            <w:vAlign w:val="center"/>
          </w:tcPr>
          <w:p w14:paraId="50AC4790">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其他费用</w:t>
            </w:r>
          </w:p>
        </w:tc>
        <w:tc>
          <w:tcPr>
            <w:tcW w:w="1560" w:type="dxa"/>
            <w:tcBorders>
              <w:top w:val="nil"/>
              <w:left w:val="nil"/>
              <w:bottom w:val="single" w:color="auto" w:sz="4" w:space="0"/>
              <w:right w:val="single" w:color="auto" w:sz="4" w:space="0"/>
            </w:tcBorders>
            <w:vAlign w:val="center"/>
          </w:tcPr>
          <w:p w14:paraId="7C423B2C">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w:t>
            </w:r>
          </w:p>
        </w:tc>
        <w:tc>
          <w:tcPr>
            <w:tcW w:w="1520" w:type="dxa"/>
            <w:tcBorders>
              <w:top w:val="nil"/>
              <w:left w:val="nil"/>
              <w:bottom w:val="single" w:color="auto" w:sz="4" w:space="0"/>
              <w:right w:val="single" w:color="auto" w:sz="4" w:space="0"/>
            </w:tcBorders>
            <w:vAlign w:val="center"/>
          </w:tcPr>
          <w:p w14:paraId="13E4FB5A">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2.20</w:t>
            </w:r>
          </w:p>
        </w:tc>
        <w:tc>
          <w:tcPr>
            <w:tcW w:w="1520" w:type="dxa"/>
            <w:tcBorders>
              <w:top w:val="nil"/>
              <w:left w:val="nil"/>
              <w:bottom w:val="single" w:color="auto" w:sz="4" w:space="0"/>
              <w:right w:val="single" w:color="auto" w:sz="4" w:space="0"/>
            </w:tcBorders>
            <w:vAlign w:val="center"/>
          </w:tcPr>
          <w:p w14:paraId="528B629E">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7333.82</w:t>
            </w:r>
          </w:p>
        </w:tc>
        <w:tc>
          <w:tcPr>
            <w:tcW w:w="1540" w:type="dxa"/>
            <w:tcBorders>
              <w:top w:val="nil"/>
              <w:left w:val="nil"/>
              <w:bottom w:val="single" w:color="auto" w:sz="4" w:space="0"/>
              <w:right w:val="single" w:color="auto" w:sz="4" w:space="0"/>
            </w:tcBorders>
            <w:vAlign w:val="center"/>
          </w:tcPr>
          <w:p w14:paraId="485326B5">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161.34</w:t>
            </w:r>
          </w:p>
        </w:tc>
      </w:tr>
      <w:tr w14:paraId="7A6ABE8B">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6E3AE0C9">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2</w:t>
            </w:r>
          </w:p>
        </w:tc>
        <w:tc>
          <w:tcPr>
            <w:tcW w:w="2200" w:type="dxa"/>
            <w:tcBorders>
              <w:top w:val="nil"/>
              <w:left w:val="nil"/>
              <w:bottom w:val="single" w:color="auto" w:sz="4" w:space="0"/>
              <w:right w:val="single" w:color="auto" w:sz="4" w:space="0"/>
            </w:tcBorders>
            <w:vAlign w:val="center"/>
          </w:tcPr>
          <w:p w14:paraId="63CE6897">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材料费</w:t>
            </w:r>
          </w:p>
        </w:tc>
        <w:tc>
          <w:tcPr>
            <w:tcW w:w="1560" w:type="dxa"/>
            <w:tcBorders>
              <w:top w:val="nil"/>
              <w:left w:val="nil"/>
              <w:bottom w:val="single" w:color="auto" w:sz="4" w:space="0"/>
              <w:right w:val="single" w:color="auto" w:sz="4" w:space="0"/>
            </w:tcBorders>
            <w:vAlign w:val="center"/>
          </w:tcPr>
          <w:p w14:paraId="008F6684">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20" w:type="dxa"/>
            <w:tcBorders>
              <w:top w:val="nil"/>
              <w:left w:val="nil"/>
              <w:bottom w:val="single" w:color="auto" w:sz="4" w:space="0"/>
              <w:right w:val="single" w:color="auto" w:sz="4" w:space="0"/>
            </w:tcBorders>
            <w:vAlign w:val="center"/>
          </w:tcPr>
          <w:p w14:paraId="185C7A85">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20" w:type="dxa"/>
            <w:tcBorders>
              <w:top w:val="nil"/>
              <w:left w:val="nil"/>
              <w:bottom w:val="single" w:color="auto" w:sz="4" w:space="0"/>
              <w:right w:val="single" w:color="auto" w:sz="4" w:space="0"/>
            </w:tcBorders>
            <w:vAlign w:val="center"/>
          </w:tcPr>
          <w:p w14:paraId="2ED50C5F">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40" w:type="dxa"/>
            <w:tcBorders>
              <w:top w:val="nil"/>
              <w:left w:val="nil"/>
              <w:bottom w:val="single" w:color="auto" w:sz="4" w:space="0"/>
              <w:right w:val="single" w:color="auto" w:sz="4" w:space="0"/>
            </w:tcBorders>
            <w:vAlign w:val="center"/>
          </w:tcPr>
          <w:p w14:paraId="3E486580">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0.00</w:t>
            </w:r>
          </w:p>
        </w:tc>
      </w:tr>
      <w:tr w14:paraId="641F49D3">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6C1CD753">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3</w:t>
            </w:r>
          </w:p>
        </w:tc>
        <w:tc>
          <w:tcPr>
            <w:tcW w:w="2200" w:type="dxa"/>
            <w:tcBorders>
              <w:top w:val="nil"/>
              <w:left w:val="nil"/>
              <w:bottom w:val="single" w:color="auto" w:sz="4" w:space="0"/>
              <w:right w:val="single" w:color="auto" w:sz="4" w:space="0"/>
            </w:tcBorders>
            <w:vAlign w:val="center"/>
          </w:tcPr>
          <w:p w14:paraId="297D7CAC">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机械费</w:t>
            </w:r>
          </w:p>
        </w:tc>
        <w:tc>
          <w:tcPr>
            <w:tcW w:w="1560" w:type="dxa"/>
            <w:tcBorders>
              <w:top w:val="nil"/>
              <w:left w:val="nil"/>
              <w:bottom w:val="single" w:color="auto" w:sz="4" w:space="0"/>
              <w:right w:val="single" w:color="auto" w:sz="4" w:space="0"/>
            </w:tcBorders>
            <w:vAlign w:val="center"/>
          </w:tcPr>
          <w:p w14:paraId="4E248D27">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20" w:type="dxa"/>
            <w:tcBorders>
              <w:top w:val="nil"/>
              <w:left w:val="nil"/>
              <w:bottom w:val="single" w:color="auto" w:sz="4" w:space="0"/>
              <w:right w:val="single" w:color="auto" w:sz="4" w:space="0"/>
            </w:tcBorders>
            <w:vAlign w:val="center"/>
          </w:tcPr>
          <w:p w14:paraId="6B47F39F">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20" w:type="dxa"/>
            <w:tcBorders>
              <w:top w:val="nil"/>
              <w:left w:val="nil"/>
              <w:bottom w:val="single" w:color="auto" w:sz="4" w:space="0"/>
              <w:right w:val="single" w:color="auto" w:sz="4" w:space="0"/>
            </w:tcBorders>
            <w:vAlign w:val="center"/>
          </w:tcPr>
          <w:p w14:paraId="425A0E87">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40" w:type="dxa"/>
            <w:tcBorders>
              <w:top w:val="nil"/>
              <w:left w:val="nil"/>
              <w:bottom w:val="single" w:color="auto" w:sz="4" w:space="0"/>
              <w:right w:val="single" w:color="auto" w:sz="4" w:space="0"/>
            </w:tcBorders>
            <w:vAlign w:val="center"/>
          </w:tcPr>
          <w:p w14:paraId="13EC1CF3">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0.00</w:t>
            </w:r>
          </w:p>
        </w:tc>
      </w:tr>
      <w:tr w14:paraId="4CD3764F">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F6022A8">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（二）</w:t>
            </w:r>
          </w:p>
        </w:tc>
        <w:tc>
          <w:tcPr>
            <w:tcW w:w="2200" w:type="dxa"/>
            <w:tcBorders>
              <w:top w:val="nil"/>
              <w:left w:val="nil"/>
              <w:bottom w:val="single" w:color="auto" w:sz="4" w:space="0"/>
              <w:right w:val="single" w:color="auto" w:sz="4" w:space="0"/>
            </w:tcBorders>
            <w:vAlign w:val="center"/>
          </w:tcPr>
          <w:p w14:paraId="461E5C4D">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措施费</w:t>
            </w:r>
          </w:p>
        </w:tc>
        <w:tc>
          <w:tcPr>
            <w:tcW w:w="1560" w:type="dxa"/>
            <w:tcBorders>
              <w:top w:val="nil"/>
              <w:left w:val="nil"/>
              <w:bottom w:val="single" w:color="auto" w:sz="4" w:space="0"/>
              <w:right w:val="single" w:color="auto" w:sz="4" w:space="0"/>
            </w:tcBorders>
            <w:vAlign w:val="center"/>
          </w:tcPr>
          <w:p w14:paraId="15C7C493">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w:t>
            </w:r>
          </w:p>
        </w:tc>
        <w:tc>
          <w:tcPr>
            <w:tcW w:w="1520" w:type="dxa"/>
            <w:tcBorders>
              <w:top w:val="nil"/>
              <w:left w:val="nil"/>
              <w:bottom w:val="single" w:color="auto" w:sz="4" w:space="0"/>
              <w:right w:val="single" w:color="auto" w:sz="4" w:space="0"/>
            </w:tcBorders>
            <w:vAlign w:val="center"/>
          </w:tcPr>
          <w:p w14:paraId="2BCD03A3">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3.80</w:t>
            </w:r>
          </w:p>
        </w:tc>
        <w:tc>
          <w:tcPr>
            <w:tcW w:w="1520" w:type="dxa"/>
            <w:tcBorders>
              <w:top w:val="nil"/>
              <w:left w:val="nil"/>
              <w:bottom w:val="single" w:color="auto" w:sz="4" w:space="0"/>
              <w:right w:val="single" w:color="auto" w:sz="4" w:space="0"/>
            </w:tcBorders>
            <w:vAlign w:val="center"/>
          </w:tcPr>
          <w:p w14:paraId="73113B96">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7495.16</w:t>
            </w:r>
          </w:p>
        </w:tc>
        <w:tc>
          <w:tcPr>
            <w:tcW w:w="1540" w:type="dxa"/>
            <w:tcBorders>
              <w:top w:val="nil"/>
              <w:left w:val="nil"/>
              <w:bottom w:val="single" w:color="auto" w:sz="4" w:space="0"/>
              <w:right w:val="single" w:color="auto" w:sz="4" w:space="0"/>
            </w:tcBorders>
            <w:vAlign w:val="center"/>
          </w:tcPr>
          <w:p w14:paraId="7727CC3F">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284.82</w:t>
            </w:r>
          </w:p>
        </w:tc>
      </w:tr>
      <w:tr w14:paraId="02CF20B3">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676EA46A">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二</w:t>
            </w:r>
          </w:p>
        </w:tc>
        <w:tc>
          <w:tcPr>
            <w:tcW w:w="2200" w:type="dxa"/>
            <w:tcBorders>
              <w:top w:val="nil"/>
              <w:left w:val="nil"/>
              <w:bottom w:val="single" w:color="auto" w:sz="4" w:space="0"/>
              <w:right w:val="single" w:color="auto" w:sz="4" w:space="0"/>
            </w:tcBorders>
            <w:vAlign w:val="center"/>
          </w:tcPr>
          <w:p w14:paraId="1AA6700B">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间接费</w:t>
            </w:r>
          </w:p>
        </w:tc>
        <w:tc>
          <w:tcPr>
            <w:tcW w:w="1560" w:type="dxa"/>
            <w:tcBorders>
              <w:top w:val="nil"/>
              <w:left w:val="nil"/>
              <w:bottom w:val="single" w:color="auto" w:sz="4" w:space="0"/>
              <w:right w:val="single" w:color="auto" w:sz="4" w:space="0"/>
            </w:tcBorders>
            <w:vAlign w:val="center"/>
          </w:tcPr>
          <w:p w14:paraId="7E25214C">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w:t>
            </w:r>
          </w:p>
        </w:tc>
        <w:tc>
          <w:tcPr>
            <w:tcW w:w="1520" w:type="dxa"/>
            <w:tcBorders>
              <w:top w:val="nil"/>
              <w:left w:val="nil"/>
              <w:bottom w:val="single" w:color="auto" w:sz="4" w:space="0"/>
              <w:right w:val="single" w:color="auto" w:sz="4" w:space="0"/>
            </w:tcBorders>
            <w:vAlign w:val="center"/>
          </w:tcPr>
          <w:p w14:paraId="717B4F80">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6.00</w:t>
            </w:r>
          </w:p>
        </w:tc>
        <w:tc>
          <w:tcPr>
            <w:tcW w:w="1520" w:type="dxa"/>
            <w:tcBorders>
              <w:top w:val="nil"/>
              <w:left w:val="nil"/>
              <w:bottom w:val="single" w:color="auto" w:sz="4" w:space="0"/>
              <w:right w:val="single" w:color="auto" w:sz="4" w:space="0"/>
            </w:tcBorders>
            <w:vAlign w:val="center"/>
          </w:tcPr>
          <w:p w14:paraId="22A5DB1C">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7779.98</w:t>
            </w:r>
          </w:p>
        </w:tc>
        <w:tc>
          <w:tcPr>
            <w:tcW w:w="1540" w:type="dxa"/>
            <w:tcBorders>
              <w:top w:val="nil"/>
              <w:left w:val="nil"/>
              <w:bottom w:val="single" w:color="auto" w:sz="4" w:space="0"/>
              <w:right w:val="single" w:color="auto" w:sz="4" w:space="0"/>
            </w:tcBorders>
            <w:vAlign w:val="center"/>
          </w:tcPr>
          <w:p w14:paraId="4FD39384">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466.80</w:t>
            </w:r>
          </w:p>
        </w:tc>
      </w:tr>
      <w:tr w14:paraId="5FFF683E">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5F261C29">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三</w:t>
            </w:r>
          </w:p>
        </w:tc>
        <w:tc>
          <w:tcPr>
            <w:tcW w:w="2200" w:type="dxa"/>
            <w:tcBorders>
              <w:top w:val="nil"/>
              <w:left w:val="nil"/>
              <w:bottom w:val="single" w:color="auto" w:sz="4" w:space="0"/>
              <w:right w:val="single" w:color="auto" w:sz="4" w:space="0"/>
            </w:tcBorders>
            <w:vAlign w:val="center"/>
          </w:tcPr>
          <w:p w14:paraId="54134662">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利润</w:t>
            </w:r>
          </w:p>
        </w:tc>
        <w:tc>
          <w:tcPr>
            <w:tcW w:w="1560" w:type="dxa"/>
            <w:tcBorders>
              <w:top w:val="nil"/>
              <w:left w:val="nil"/>
              <w:bottom w:val="single" w:color="auto" w:sz="4" w:space="0"/>
              <w:right w:val="single" w:color="auto" w:sz="4" w:space="0"/>
            </w:tcBorders>
            <w:vAlign w:val="center"/>
          </w:tcPr>
          <w:p w14:paraId="02800741">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w:t>
            </w:r>
          </w:p>
        </w:tc>
        <w:tc>
          <w:tcPr>
            <w:tcW w:w="1520" w:type="dxa"/>
            <w:tcBorders>
              <w:top w:val="nil"/>
              <w:left w:val="nil"/>
              <w:bottom w:val="single" w:color="auto" w:sz="4" w:space="0"/>
              <w:right w:val="single" w:color="auto" w:sz="4" w:space="0"/>
            </w:tcBorders>
            <w:vAlign w:val="center"/>
          </w:tcPr>
          <w:p w14:paraId="04A30070">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3.00</w:t>
            </w:r>
          </w:p>
        </w:tc>
        <w:tc>
          <w:tcPr>
            <w:tcW w:w="1520" w:type="dxa"/>
            <w:tcBorders>
              <w:top w:val="nil"/>
              <w:left w:val="nil"/>
              <w:bottom w:val="single" w:color="auto" w:sz="4" w:space="0"/>
              <w:right w:val="single" w:color="auto" w:sz="4" w:space="0"/>
            </w:tcBorders>
            <w:vAlign w:val="center"/>
          </w:tcPr>
          <w:p w14:paraId="7C548887">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8246.77</w:t>
            </w:r>
          </w:p>
        </w:tc>
        <w:tc>
          <w:tcPr>
            <w:tcW w:w="1540" w:type="dxa"/>
            <w:tcBorders>
              <w:top w:val="nil"/>
              <w:left w:val="nil"/>
              <w:bottom w:val="single" w:color="auto" w:sz="4" w:space="0"/>
              <w:right w:val="single" w:color="auto" w:sz="4" w:space="0"/>
            </w:tcBorders>
            <w:vAlign w:val="center"/>
          </w:tcPr>
          <w:p w14:paraId="52068A95">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247.40</w:t>
            </w:r>
          </w:p>
        </w:tc>
      </w:tr>
      <w:tr w14:paraId="37661FD6">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644F04DD">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四</w:t>
            </w:r>
          </w:p>
        </w:tc>
        <w:tc>
          <w:tcPr>
            <w:tcW w:w="2200" w:type="dxa"/>
            <w:tcBorders>
              <w:top w:val="nil"/>
              <w:left w:val="nil"/>
              <w:bottom w:val="single" w:color="auto" w:sz="4" w:space="0"/>
              <w:right w:val="single" w:color="auto" w:sz="4" w:space="0"/>
            </w:tcBorders>
            <w:vAlign w:val="center"/>
          </w:tcPr>
          <w:p w14:paraId="467A732B">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材料价差</w:t>
            </w:r>
          </w:p>
        </w:tc>
        <w:tc>
          <w:tcPr>
            <w:tcW w:w="1560" w:type="dxa"/>
            <w:tcBorders>
              <w:top w:val="nil"/>
              <w:left w:val="nil"/>
              <w:bottom w:val="single" w:color="auto" w:sz="4" w:space="0"/>
              <w:right w:val="single" w:color="auto" w:sz="4" w:space="0"/>
            </w:tcBorders>
            <w:vAlign w:val="center"/>
          </w:tcPr>
          <w:p w14:paraId="62A10D23">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20" w:type="dxa"/>
            <w:tcBorders>
              <w:top w:val="nil"/>
              <w:left w:val="nil"/>
              <w:bottom w:val="single" w:color="auto" w:sz="4" w:space="0"/>
              <w:right w:val="single" w:color="auto" w:sz="4" w:space="0"/>
            </w:tcBorders>
            <w:vAlign w:val="center"/>
          </w:tcPr>
          <w:p w14:paraId="5781F3B8">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20" w:type="dxa"/>
            <w:tcBorders>
              <w:top w:val="nil"/>
              <w:left w:val="nil"/>
              <w:bottom w:val="single" w:color="auto" w:sz="4" w:space="0"/>
              <w:right w:val="single" w:color="auto" w:sz="4" w:space="0"/>
            </w:tcBorders>
            <w:vAlign w:val="center"/>
          </w:tcPr>
          <w:p w14:paraId="2F6FCB49">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　</w:t>
            </w:r>
          </w:p>
        </w:tc>
        <w:tc>
          <w:tcPr>
            <w:tcW w:w="1540" w:type="dxa"/>
            <w:tcBorders>
              <w:top w:val="nil"/>
              <w:left w:val="nil"/>
              <w:bottom w:val="single" w:color="auto" w:sz="4" w:space="0"/>
              <w:right w:val="single" w:color="auto" w:sz="4" w:space="0"/>
            </w:tcBorders>
            <w:vAlign w:val="center"/>
          </w:tcPr>
          <w:p w14:paraId="6ED68982">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0.00</w:t>
            </w:r>
          </w:p>
        </w:tc>
      </w:tr>
      <w:tr w14:paraId="3C929308">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63E025E3">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五</w:t>
            </w:r>
          </w:p>
        </w:tc>
        <w:tc>
          <w:tcPr>
            <w:tcW w:w="2200" w:type="dxa"/>
            <w:tcBorders>
              <w:top w:val="nil"/>
              <w:left w:val="nil"/>
              <w:bottom w:val="single" w:color="auto" w:sz="4" w:space="0"/>
              <w:right w:val="single" w:color="auto" w:sz="4" w:space="0"/>
            </w:tcBorders>
            <w:vAlign w:val="center"/>
          </w:tcPr>
          <w:p w14:paraId="291A6ACE">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税金</w:t>
            </w:r>
          </w:p>
        </w:tc>
        <w:tc>
          <w:tcPr>
            <w:tcW w:w="1560" w:type="dxa"/>
            <w:tcBorders>
              <w:top w:val="nil"/>
              <w:left w:val="nil"/>
              <w:bottom w:val="single" w:color="auto" w:sz="4" w:space="0"/>
              <w:right w:val="single" w:color="auto" w:sz="4" w:space="0"/>
            </w:tcBorders>
            <w:vAlign w:val="center"/>
          </w:tcPr>
          <w:p w14:paraId="7580258B">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w:t>
            </w:r>
          </w:p>
        </w:tc>
        <w:tc>
          <w:tcPr>
            <w:tcW w:w="1520" w:type="dxa"/>
            <w:tcBorders>
              <w:top w:val="nil"/>
              <w:left w:val="nil"/>
              <w:bottom w:val="single" w:color="auto" w:sz="4" w:space="0"/>
              <w:right w:val="single" w:color="auto" w:sz="4" w:space="0"/>
            </w:tcBorders>
            <w:vAlign w:val="center"/>
          </w:tcPr>
          <w:p w14:paraId="502D34FD">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9.00</w:t>
            </w:r>
          </w:p>
        </w:tc>
        <w:tc>
          <w:tcPr>
            <w:tcW w:w="1520" w:type="dxa"/>
            <w:tcBorders>
              <w:top w:val="nil"/>
              <w:left w:val="nil"/>
              <w:bottom w:val="single" w:color="auto" w:sz="4" w:space="0"/>
              <w:right w:val="single" w:color="auto" w:sz="4" w:space="0"/>
            </w:tcBorders>
            <w:vAlign w:val="center"/>
          </w:tcPr>
          <w:p w14:paraId="7156B289">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8494.18</w:t>
            </w:r>
          </w:p>
        </w:tc>
        <w:tc>
          <w:tcPr>
            <w:tcW w:w="1540" w:type="dxa"/>
            <w:tcBorders>
              <w:top w:val="nil"/>
              <w:left w:val="nil"/>
              <w:bottom w:val="single" w:color="auto" w:sz="4" w:space="0"/>
              <w:right w:val="single" w:color="auto" w:sz="4" w:space="0"/>
            </w:tcBorders>
            <w:vAlign w:val="center"/>
          </w:tcPr>
          <w:p w14:paraId="260C2FCD">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764.48</w:t>
            </w:r>
          </w:p>
        </w:tc>
      </w:tr>
      <w:tr w14:paraId="6E51059F">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5E1F5F4A">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合计</w:t>
            </w:r>
          </w:p>
        </w:tc>
        <w:tc>
          <w:tcPr>
            <w:tcW w:w="2200" w:type="dxa"/>
            <w:tcBorders>
              <w:top w:val="nil"/>
              <w:left w:val="nil"/>
              <w:bottom w:val="single" w:color="auto" w:sz="4" w:space="0"/>
              <w:right w:val="single" w:color="auto" w:sz="4" w:space="0"/>
            </w:tcBorders>
            <w:vAlign w:val="center"/>
          </w:tcPr>
          <w:p w14:paraId="74977B5D">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1560" w:type="dxa"/>
            <w:tcBorders>
              <w:top w:val="nil"/>
              <w:left w:val="nil"/>
              <w:bottom w:val="single" w:color="auto" w:sz="4" w:space="0"/>
              <w:right w:val="single" w:color="auto" w:sz="4" w:space="0"/>
            </w:tcBorders>
            <w:vAlign w:val="center"/>
          </w:tcPr>
          <w:p w14:paraId="726484AF">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1520" w:type="dxa"/>
            <w:tcBorders>
              <w:top w:val="nil"/>
              <w:left w:val="nil"/>
              <w:bottom w:val="single" w:color="auto" w:sz="4" w:space="0"/>
              <w:right w:val="single" w:color="auto" w:sz="4" w:space="0"/>
            </w:tcBorders>
            <w:vAlign w:val="center"/>
          </w:tcPr>
          <w:p w14:paraId="15432EFA">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1520" w:type="dxa"/>
            <w:tcBorders>
              <w:top w:val="nil"/>
              <w:left w:val="nil"/>
              <w:bottom w:val="single" w:color="auto" w:sz="4" w:space="0"/>
              <w:right w:val="single" w:color="auto" w:sz="4" w:space="0"/>
            </w:tcBorders>
            <w:vAlign w:val="center"/>
          </w:tcPr>
          <w:p w14:paraId="4D6DFAF8">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1540" w:type="dxa"/>
            <w:tcBorders>
              <w:top w:val="nil"/>
              <w:left w:val="nil"/>
              <w:bottom w:val="single" w:color="auto" w:sz="4" w:space="0"/>
              <w:right w:val="single" w:color="auto" w:sz="4" w:space="0"/>
            </w:tcBorders>
            <w:vAlign w:val="center"/>
          </w:tcPr>
          <w:p w14:paraId="0F41E73F">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cs="宋体"/>
                <w:b/>
                <w:bCs/>
                <w:kern w:val="0"/>
                <w:sz w:val="21"/>
                <w:szCs w:val="21"/>
              </w:rPr>
              <w:t>9258.65</w:t>
            </w:r>
          </w:p>
        </w:tc>
      </w:tr>
    </w:tbl>
    <w:p w14:paraId="0C419F3C">
      <w:pPr>
        <w:widowControl/>
        <w:adjustRightInd/>
        <w:snapToGrid/>
        <w:spacing w:line="240" w:lineRule="auto"/>
        <w:ind w:firstLine="0" w:firstLineChars="0"/>
        <w:jc w:val="center"/>
        <w:rPr>
          <w:b/>
          <w:sz w:val="21"/>
          <w:szCs w:val="21"/>
        </w:rPr>
      </w:pPr>
      <w:r>
        <w:rPr>
          <w:b/>
          <w:sz w:val="21"/>
          <w:szCs w:val="21"/>
        </w:rPr>
        <w:br w:type="page"/>
      </w:r>
    </w:p>
    <w:p w14:paraId="2145F94A">
      <w:pPr>
        <w:widowControl/>
        <w:adjustRightInd/>
        <w:snapToGrid/>
        <w:spacing w:line="240" w:lineRule="auto"/>
        <w:ind w:firstLine="0" w:firstLineChars="0"/>
        <w:jc w:val="center"/>
        <w:rPr>
          <w:rFonts w:eastAsia="黑体"/>
          <w:bCs/>
          <w:sz w:val="24"/>
        </w:rPr>
      </w:pPr>
      <w:r>
        <w:rPr>
          <w:rFonts w:hint="eastAsia" w:eastAsia="黑体"/>
          <w:bCs/>
          <w:sz w:val="24"/>
          <w:lang w:val="en-US" w:eastAsia="zh-CN"/>
        </w:rPr>
        <w:t>8</w:t>
      </w:r>
      <w:r>
        <w:rPr>
          <w:rFonts w:eastAsia="黑体"/>
          <w:bCs/>
          <w:sz w:val="24"/>
        </w:rPr>
        <w:t>.清理硬覆盖</w:t>
      </w:r>
    </w:p>
    <w:tbl>
      <w:tblPr>
        <w:tblStyle w:val="42"/>
        <w:tblW w:w="5006" w:type="pct"/>
        <w:tblInd w:w="0" w:type="dxa"/>
        <w:tblLayout w:type="autofit"/>
        <w:tblCellMar>
          <w:top w:w="0" w:type="dxa"/>
          <w:left w:w="108" w:type="dxa"/>
          <w:bottom w:w="0" w:type="dxa"/>
          <w:right w:w="108" w:type="dxa"/>
        </w:tblCellMar>
      </w:tblPr>
      <w:tblGrid>
        <w:gridCol w:w="1502"/>
        <w:gridCol w:w="1502"/>
        <w:gridCol w:w="1502"/>
        <w:gridCol w:w="1502"/>
        <w:gridCol w:w="1786"/>
        <w:gridCol w:w="1787"/>
      </w:tblGrid>
      <w:tr w14:paraId="3BFAE9C6">
        <w:tblPrEx>
          <w:tblCellMar>
            <w:top w:w="0" w:type="dxa"/>
            <w:left w:w="108" w:type="dxa"/>
            <w:bottom w:w="0" w:type="dxa"/>
            <w:right w:w="108" w:type="dxa"/>
          </w:tblCellMar>
        </w:tblPrEx>
        <w:trPr>
          <w:trHeight w:val="243"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36BAEBF5">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定额编号：40194定额单位：100m</w:t>
            </w:r>
            <w:r>
              <w:rPr>
                <w:rFonts w:hint="eastAsia" w:ascii="仿宋" w:hAnsi="仿宋" w:eastAsia="仿宋" w:cs="宋体"/>
                <w:kern w:val="0"/>
                <w:sz w:val="21"/>
                <w:szCs w:val="21"/>
                <w:vertAlign w:val="superscript"/>
              </w:rPr>
              <w:t>3</w:t>
            </w:r>
          </w:p>
        </w:tc>
      </w:tr>
      <w:tr w14:paraId="76CDD452">
        <w:tblPrEx>
          <w:tblCellMar>
            <w:top w:w="0" w:type="dxa"/>
            <w:left w:w="108" w:type="dxa"/>
            <w:bottom w:w="0" w:type="dxa"/>
            <w:right w:w="108" w:type="dxa"/>
          </w:tblCellMar>
        </w:tblPrEx>
        <w:trPr>
          <w:trHeight w:val="243"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3E72D9E">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施工方法：凿除混凝土、清渣。</w:t>
            </w:r>
          </w:p>
        </w:tc>
      </w:tr>
      <w:tr w14:paraId="2E30419E">
        <w:tblPrEx>
          <w:tblCellMar>
            <w:top w:w="0" w:type="dxa"/>
            <w:left w:w="108" w:type="dxa"/>
            <w:bottom w:w="0" w:type="dxa"/>
            <w:right w:w="108" w:type="dxa"/>
          </w:tblCellMar>
        </w:tblPrEx>
        <w:trPr>
          <w:trHeight w:val="449" w:hRule="atLeast"/>
        </w:trPr>
        <w:tc>
          <w:tcPr>
            <w:tcW w:w="784" w:type="pct"/>
            <w:tcBorders>
              <w:top w:val="nil"/>
              <w:left w:val="single" w:color="auto" w:sz="4" w:space="0"/>
              <w:bottom w:val="single" w:color="auto" w:sz="4" w:space="0"/>
              <w:right w:val="single" w:color="auto" w:sz="4" w:space="0"/>
            </w:tcBorders>
            <w:vAlign w:val="center"/>
          </w:tcPr>
          <w:p w14:paraId="51574A65">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序号</w:t>
            </w:r>
          </w:p>
        </w:tc>
        <w:tc>
          <w:tcPr>
            <w:tcW w:w="784" w:type="pct"/>
            <w:tcBorders>
              <w:top w:val="nil"/>
              <w:left w:val="nil"/>
              <w:bottom w:val="single" w:color="auto" w:sz="4" w:space="0"/>
              <w:right w:val="single" w:color="auto" w:sz="4" w:space="0"/>
            </w:tcBorders>
            <w:vAlign w:val="center"/>
          </w:tcPr>
          <w:p w14:paraId="1CCDE13B">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项目名称</w:t>
            </w:r>
          </w:p>
        </w:tc>
        <w:tc>
          <w:tcPr>
            <w:tcW w:w="784" w:type="pct"/>
            <w:tcBorders>
              <w:top w:val="nil"/>
              <w:left w:val="nil"/>
              <w:bottom w:val="single" w:color="auto" w:sz="4" w:space="0"/>
              <w:right w:val="single" w:color="auto" w:sz="4" w:space="0"/>
            </w:tcBorders>
            <w:vAlign w:val="center"/>
          </w:tcPr>
          <w:p w14:paraId="2146546D">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单位</w:t>
            </w:r>
          </w:p>
        </w:tc>
        <w:tc>
          <w:tcPr>
            <w:tcW w:w="784" w:type="pct"/>
            <w:tcBorders>
              <w:top w:val="nil"/>
              <w:left w:val="nil"/>
              <w:bottom w:val="single" w:color="auto" w:sz="4" w:space="0"/>
              <w:right w:val="single" w:color="auto" w:sz="4" w:space="0"/>
            </w:tcBorders>
            <w:vAlign w:val="center"/>
          </w:tcPr>
          <w:p w14:paraId="222191B9">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数量</w:t>
            </w:r>
          </w:p>
        </w:tc>
        <w:tc>
          <w:tcPr>
            <w:tcW w:w="932" w:type="pct"/>
            <w:tcBorders>
              <w:top w:val="nil"/>
              <w:left w:val="nil"/>
              <w:bottom w:val="single" w:color="auto" w:sz="4" w:space="0"/>
              <w:right w:val="single" w:color="auto" w:sz="4" w:space="0"/>
            </w:tcBorders>
            <w:vAlign w:val="center"/>
          </w:tcPr>
          <w:p w14:paraId="7CE01B8D">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单价</w:t>
            </w:r>
          </w:p>
        </w:tc>
        <w:tc>
          <w:tcPr>
            <w:tcW w:w="932" w:type="pct"/>
            <w:tcBorders>
              <w:top w:val="nil"/>
              <w:left w:val="nil"/>
              <w:bottom w:val="single" w:color="auto" w:sz="4" w:space="0"/>
              <w:right w:val="single" w:color="auto" w:sz="4" w:space="0"/>
            </w:tcBorders>
            <w:vAlign w:val="center"/>
          </w:tcPr>
          <w:p w14:paraId="3C8DFD03">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小计（元）</w:t>
            </w:r>
          </w:p>
        </w:tc>
      </w:tr>
      <w:tr w14:paraId="57166BEF">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0C5228F6">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一</w:t>
            </w:r>
          </w:p>
        </w:tc>
        <w:tc>
          <w:tcPr>
            <w:tcW w:w="784" w:type="pct"/>
            <w:tcBorders>
              <w:top w:val="nil"/>
              <w:left w:val="nil"/>
              <w:bottom w:val="single" w:color="auto" w:sz="4" w:space="0"/>
              <w:right w:val="single" w:color="auto" w:sz="4" w:space="0"/>
            </w:tcBorders>
            <w:vAlign w:val="center"/>
          </w:tcPr>
          <w:p w14:paraId="46FA21AF">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直接费</w:t>
            </w:r>
          </w:p>
        </w:tc>
        <w:tc>
          <w:tcPr>
            <w:tcW w:w="784" w:type="pct"/>
            <w:tcBorders>
              <w:top w:val="nil"/>
              <w:left w:val="nil"/>
              <w:bottom w:val="single" w:color="auto" w:sz="4" w:space="0"/>
              <w:right w:val="single" w:color="auto" w:sz="4" w:space="0"/>
            </w:tcBorders>
            <w:vAlign w:val="center"/>
          </w:tcPr>
          <w:p w14:paraId="04EB18E2">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784" w:type="pct"/>
            <w:tcBorders>
              <w:top w:val="nil"/>
              <w:left w:val="nil"/>
              <w:bottom w:val="single" w:color="auto" w:sz="4" w:space="0"/>
              <w:right w:val="single" w:color="auto" w:sz="4" w:space="0"/>
            </w:tcBorders>
            <w:vAlign w:val="center"/>
          </w:tcPr>
          <w:p w14:paraId="4A265591">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932" w:type="pct"/>
            <w:tcBorders>
              <w:top w:val="nil"/>
              <w:left w:val="nil"/>
              <w:bottom w:val="single" w:color="auto" w:sz="4" w:space="0"/>
              <w:right w:val="single" w:color="auto" w:sz="4" w:space="0"/>
            </w:tcBorders>
            <w:vAlign w:val="center"/>
          </w:tcPr>
          <w:p w14:paraId="3BAD6FBF">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932" w:type="pct"/>
            <w:tcBorders>
              <w:top w:val="nil"/>
              <w:left w:val="nil"/>
              <w:bottom w:val="single" w:color="auto" w:sz="4" w:space="0"/>
              <w:right w:val="single" w:color="auto" w:sz="4" w:space="0"/>
            </w:tcBorders>
            <w:vAlign w:val="center"/>
          </w:tcPr>
          <w:p w14:paraId="07A4C496">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13902.65</w:t>
            </w:r>
          </w:p>
        </w:tc>
      </w:tr>
      <w:tr w14:paraId="1D72E5BA">
        <w:tblPrEx>
          <w:tblCellMar>
            <w:top w:w="0" w:type="dxa"/>
            <w:left w:w="108" w:type="dxa"/>
            <w:bottom w:w="0" w:type="dxa"/>
            <w:right w:w="108" w:type="dxa"/>
          </w:tblCellMar>
        </w:tblPrEx>
        <w:trPr>
          <w:trHeight w:val="49" w:hRule="atLeast"/>
        </w:trPr>
        <w:tc>
          <w:tcPr>
            <w:tcW w:w="784" w:type="pct"/>
            <w:tcBorders>
              <w:top w:val="nil"/>
              <w:left w:val="single" w:color="auto" w:sz="4" w:space="0"/>
              <w:bottom w:val="single" w:color="auto" w:sz="4" w:space="0"/>
              <w:right w:val="single" w:color="auto" w:sz="4" w:space="0"/>
            </w:tcBorders>
            <w:vAlign w:val="center"/>
          </w:tcPr>
          <w:p w14:paraId="12378792">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（一）</w:t>
            </w:r>
          </w:p>
        </w:tc>
        <w:tc>
          <w:tcPr>
            <w:tcW w:w="784" w:type="pct"/>
            <w:tcBorders>
              <w:top w:val="nil"/>
              <w:left w:val="nil"/>
              <w:bottom w:val="single" w:color="auto" w:sz="4" w:space="0"/>
              <w:right w:val="single" w:color="auto" w:sz="4" w:space="0"/>
            </w:tcBorders>
            <w:vAlign w:val="center"/>
          </w:tcPr>
          <w:p w14:paraId="7758940C">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直接工程费</w:t>
            </w:r>
          </w:p>
        </w:tc>
        <w:tc>
          <w:tcPr>
            <w:tcW w:w="784" w:type="pct"/>
            <w:tcBorders>
              <w:top w:val="nil"/>
              <w:left w:val="nil"/>
              <w:bottom w:val="single" w:color="auto" w:sz="4" w:space="0"/>
              <w:right w:val="single" w:color="auto" w:sz="4" w:space="0"/>
            </w:tcBorders>
            <w:vAlign w:val="center"/>
          </w:tcPr>
          <w:p w14:paraId="1C34906A">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784" w:type="pct"/>
            <w:tcBorders>
              <w:top w:val="nil"/>
              <w:left w:val="nil"/>
              <w:bottom w:val="single" w:color="auto" w:sz="4" w:space="0"/>
              <w:right w:val="single" w:color="auto" w:sz="4" w:space="0"/>
            </w:tcBorders>
            <w:vAlign w:val="center"/>
          </w:tcPr>
          <w:p w14:paraId="2794F652">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932" w:type="pct"/>
            <w:tcBorders>
              <w:top w:val="nil"/>
              <w:left w:val="nil"/>
              <w:bottom w:val="single" w:color="auto" w:sz="4" w:space="0"/>
              <w:right w:val="single" w:color="auto" w:sz="4" w:space="0"/>
            </w:tcBorders>
            <w:vAlign w:val="center"/>
          </w:tcPr>
          <w:p w14:paraId="18BA6A07">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932" w:type="pct"/>
            <w:tcBorders>
              <w:top w:val="nil"/>
              <w:left w:val="nil"/>
              <w:bottom w:val="single" w:color="auto" w:sz="4" w:space="0"/>
              <w:right w:val="single" w:color="auto" w:sz="4" w:space="0"/>
            </w:tcBorders>
            <w:vAlign w:val="center"/>
          </w:tcPr>
          <w:p w14:paraId="428257E6">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13393.69</w:t>
            </w:r>
          </w:p>
        </w:tc>
      </w:tr>
      <w:tr w14:paraId="025D9E8A">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5BE3DBDF">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1</w:t>
            </w:r>
          </w:p>
        </w:tc>
        <w:tc>
          <w:tcPr>
            <w:tcW w:w="784" w:type="pct"/>
            <w:tcBorders>
              <w:top w:val="nil"/>
              <w:left w:val="nil"/>
              <w:bottom w:val="single" w:color="auto" w:sz="4" w:space="0"/>
              <w:right w:val="single" w:color="auto" w:sz="4" w:space="0"/>
            </w:tcBorders>
            <w:vAlign w:val="center"/>
          </w:tcPr>
          <w:p w14:paraId="4F76E8E8">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人工费</w:t>
            </w:r>
          </w:p>
        </w:tc>
        <w:tc>
          <w:tcPr>
            <w:tcW w:w="784" w:type="pct"/>
            <w:tcBorders>
              <w:top w:val="nil"/>
              <w:left w:val="nil"/>
              <w:bottom w:val="single" w:color="auto" w:sz="4" w:space="0"/>
              <w:right w:val="single" w:color="auto" w:sz="4" w:space="0"/>
            </w:tcBorders>
            <w:vAlign w:val="center"/>
          </w:tcPr>
          <w:p w14:paraId="1FD1DF87">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784" w:type="pct"/>
            <w:tcBorders>
              <w:top w:val="nil"/>
              <w:left w:val="nil"/>
              <w:bottom w:val="single" w:color="auto" w:sz="4" w:space="0"/>
              <w:right w:val="single" w:color="auto" w:sz="4" w:space="0"/>
            </w:tcBorders>
            <w:vAlign w:val="center"/>
          </w:tcPr>
          <w:p w14:paraId="51791050">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932" w:type="pct"/>
            <w:tcBorders>
              <w:top w:val="nil"/>
              <w:left w:val="nil"/>
              <w:bottom w:val="single" w:color="auto" w:sz="4" w:space="0"/>
              <w:right w:val="single" w:color="auto" w:sz="4" w:space="0"/>
            </w:tcBorders>
            <w:vAlign w:val="center"/>
          </w:tcPr>
          <w:p w14:paraId="2C73B7D6">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932" w:type="pct"/>
            <w:tcBorders>
              <w:top w:val="nil"/>
              <w:left w:val="nil"/>
              <w:bottom w:val="single" w:color="auto" w:sz="4" w:space="0"/>
              <w:right w:val="single" w:color="auto" w:sz="4" w:space="0"/>
            </w:tcBorders>
            <w:vAlign w:val="center"/>
          </w:tcPr>
          <w:p w14:paraId="6E60605C">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5767.74</w:t>
            </w:r>
          </w:p>
        </w:tc>
      </w:tr>
      <w:tr w14:paraId="6BE44516">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5C97C403">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784" w:type="pct"/>
            <w:tcBorders>
              <w:top w:val="nil"/>
              <w:left w:val="nil"/>
              <w:bottom w:val="single" w:color="auto" w:sz="4" w:space="0"/>
              <w:right w:val="single" w:color="auto" w:sz="4" w:space="0"/>
            </w:tcBorders>
            <w:vAlign w:val="center"/>
          </w:tcPr>
          <w:p w14:paraId="4547838E">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甲类工</w:t>
            </w:r>
          </w:p>
        </w:tc>
        <w:tc>
          <w:tcPr>
            <w:tcW w:w="784" w:type="pct"/>
            <w:tcBorders>
              <w:top w:val="nil"/>
              <w:left w:val="nil"/>
              <w:bottom w:val="single" w:color="auto" w:sz="4" w:space="0"/>
              <w:right w:val="single" w:color="auto" w:sz="4" w:space="0"/>
            </w:tcBorders>
            <w:vAlign w:val="center"/>
          </w:tcPr>
          <w:p w14:paraId="638EAE9C">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sz w:val="21"/>
                <w:szCs w:val="21"/>
              </w:rPr>
              <w:t>工日</w:t>
            </w:r>
          </w:p>
        </w:tc>
        <w:tc>
          <w:tcPr>
            <w:tcW w:w="784" w:type="pct"/>
            <w:tcBorders>
              <w:top w:val="nil"/>
              <w:left w:val="nil"/>
              <w:bottom w:val="single" w:color="auto" w:sz="4" w:space="0"/>
              <w:right w:val="single" w:color="auto" w:sz="4" w:space="0"/>
            </w:tcBorders>
            <w:vAlign w:val="center"/>
          </w:tcPr>
          <w:p w14:paraId="73CD7035">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0.00</w:t>
            </w:r>
          </w:p>
        </w:tc>
        <w:tc>
          <w:tcPr>
            <w:tcW w:w="932" w:type="pct"/>
            <w:tcBorders>
              <w:top w:val="nil"/>
              <w:left w:val="nil"/>
              <w:bottom w:val="single" w:color="auto" w:sz="4" w:space="0"/>
              <w:right w:val="single" w:color="auto" w:sz="4" w:space="0"/>
            </w:tcBorders>
            <w:vAlign w:val="center"/>
          </w:tcPr>
          <w:p w14:paraId="2B56A3C8">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51.04</w:t>
            </w:r>
          </w:p>
        </w:tc>
        <w:tc>
          <w:tcPr>
            <w:tcW w:w="932" w:type="pct"/>
            <w:tcBorders>
              <w:top w:val="nil"/>
              <w:left w:val="nil"/>
              <w:bottom w:val="single" w:color="auto" w:sz="4" w:space="0"/>
              <w:right w:val="single" w:color="auto" w:sz="4" w:space="0"/>
            </w:tcBorders>
            <w:vAlign w:val="center"/>
          </w:tcPr>
          <w:p w14:paraId="35D5F351">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0.00</w:t>
            </w:r>
          </w:p>
        </w:tc>
      </w:tr>
      <w:tr w14:paraId="2CCD740C">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2F3B54F4">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784" w:type="pct"/>
            <w:tcBorders>
              <w:top w:val="nil"/>
              <w:left w:val="nil"/>
              <w:bottom w:val="single" w:color="auto" w:sz="4" w:space="0"/>
              <w:right w:val="single" w:color="auto" w:sz="4" w:space="0"/>
            </w:tcBorders>
            <w:vAlign w:val="center"/>
          </w:tcPr>
          <w:p w14:paraId="1236E724">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乙类工</w:t>
            </w:r>
          </w:p>
        </w:tc>
        <w:tc>
          <w:tcPr>
            <w:tcW w:w="784" w:type="pct"/>
            <w:tcBorders>
              <w:top w:val="nil"/>
              <w:left w:val="nil"/>
              <w:bottom w:val="single" w:color="auto" w:sz="4" w:space="0"/>
              <w:right w:val="single" w:color="auto" w:sz="4" w:space="0"/>
            </w:tcBorders>
            <w:vAlign w:val="center"/>
          </w:tcPr>
          <w:p w14:paraId="5F4E0307">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sz w:val="21"/>
                <w:szCs w:val="21"/>
              </w:rPr>
              <w:t>工日</w:t>
            </w:r>
          </w:p>
        </w:tc>
        <w:tc>
          <w:tcPr>
            <w:tcW w:w="784" w:type="pct"/>
            <w:tcBorders>
              <w:top w:val="nil"/>
              <w:left w:val="nil"/>
              <w:bottom w:val="single" w:color="auto" w:sz="4" w:space="0"/>
              <w:right w:val="single" w:color="auto" w:sz="4" w:space="0"/>
            </w:tcBorders>
            <w:vAlign w:val="center"/>
          </w:tcPr>
          <w:p w14:paraId="4ED7112A">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135.00</w:t>
            </w:r>
          </w:p>
        </w:tc>
        <w:tc>
          <w:tcPr>
            <w:tcW w:w="932" w:type="pct"/>
            <w:tcBorders>
              <w:top w:val="nil"/>
              <w:left w:val="nil"/>
              <w:bottom w:val="single" w:color="auto" w:sz="4" w:space="0"/>
              <w:right w:val="single" w:color="auto" w:sz="4" w:space="0"/>
            </w:tcBorders>
            <w:vAlign w:val="center"/>
          </w:tcPr>
          <w:p w14:paraId="2BBA4822">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38.84</w:t>
            </w:r>
          </w:p>
        </w:tc>
        <w:tc>
          <w:tcPr>
            <w:tcW w:w="932" w:type="pct"/>
            <w:tcBorders>
              <w:top w:val="nil"/>
              <w:left w:val="nil"/>
              <w:bottom w:val="single" w:color="auto" w:sz="4" w:space="0"/>
              <w:right w:val="single" w:color="auto" w:sz="4" w:space="0"/>
            </w:tcBorders>
            <w:vAlign w:val="center"/>
          </w:tcPr>
          <w:p w14:paraId="246E0BF5">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5243.40</w:t>
            </w:r>
          </w:p>
        </w:tc>
      </w:tr>
      <w:tr w14:paraId="1A8E5101">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60E9B31E">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784" w:type="pct"/>
            <w:tcBorders>
              <w:top w:val="nil"/>
              <w:left w:val="nil"/>
              <w:bottom w:val="single" w:color="auto" w:sz="4" w:space="0"/>
              <w:right w:val="single" w:color="auto" w:sz="4" w:space="0"/>
            </w:tcBorders>
            <w:vAlign w:val="center"/>
          </w:tcPr>
          <w:p w14:paraId="00898009">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其他费用</w:t>
            </w:r>
          </w:p>
        </w:tc>
        <w:tc>
          <w:tcPr>
            <w:tcW w:w="784" w:type="pct"/>
            <w:tcBorders>
              <w:top w:val="nil"/>
              <w:left w:val="nil"/>
              <w:bottom w:val="single" w:color="auto" w:sz="4" w:space="0"/>
              <w:right w:val="single" w:color="auto" w:sz="4" w:space="0"/>
            </w:tcBorders>
            <w:vAlign w:val="center"/>
          </w:tcPr>
          <w:p w14:paraId="36018F98">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sz w:val="21"/>
                <w:szCs w:val="21"/>
              </w:rPr>
              <w:t>%</w:t>
            </w:r>
          </w:p>
        </w:tc>
        <w:tc>
          <w:tcPr>
            <w:tcW w:w="784" w:type="pct"/>
            <w:tcBorders>
              <w:top w:val="nil"/>
              <w:left w:val="nil"/>
              <w:bottom w:val="single" w:color="auto" w:sz="4" w:space="0"/>
              <w:right w:val="single" w:color="auto" w:sz="4" w:space="0"/>
            </w:tcBorders>
            <w:vAlign w:val="center"/>
          </w:tcPr>
          <w:p w14:paraId="74EE8824">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10.00</w:t>
            </w:r>
          </w:p>
        </w:tc>
        <w:tc>
          <w:tcPr>
            <w:tcW w:w="932" w:type="pct"/>
            <w:tcBorders>
              <w:top w:val="nil"/>
              <w:left w:val="nil"/>
              <w:bottom w:val="single" w:color="auto" w:sz="4" w:space="0"/>
              <w:right w:val="single" w:color="auto" w:sz="4" w:space="0"/>
            </w:tcBorders>
            <w:vAlign w:val="center"/>
          </w:tcPr>
          <w:p w14:paraId="7DE9D525">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5243.40</w:t>
            </w:r>
          </w:p>
        </w:tc>
        <w:tc>
          <w:tcPr>
            <w:tcW w:w="932" w:type="pct"/>
            <w:tcBorders>
              <w:top w:val="nil"/>
              <w:left w:val="nil"/>
              <w:bottom w:val="single" w:color="auto" w:sz="4" w:space="0"/>
              <w:right w:val="single" w:color="auto" w:sz="4" w:space="0"/>
            </w:tcBorders>
            <w:vAlign w:val="center"/>
          </w:tcPr>
          <w:p w14:paraId="0EA2E741">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524.34</w:t>
            </w:r>
          </w:p>
        </w:tc>
      </w:tr>
      <w:tr w14:paraId="4B7E9B6A">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60C6432A">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2</w:t>
            </w:r>
          </w:p>
        </w:tc>
        <w:tc>
          <w:tcPr>
            <w:tcW w:w="784" w:type="pct"/>
            <w:tcBorders>
              <w:top w:val="nil"/>
              <w:left w:val="nil"/>
              <w:bottom w:val="single" w:color="auto" w:sz="4" w:space="0"/>
              <w:right w:val="single" w:color="auto" w:sz="4" w:space="0"/>
            </w:tcBorders>
            <w:vAlign w:val="center"/>
          </w:tcPr>
          <w:p w14:paraId="310B9E1E">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材料费</w:t>
            </w:r>
          </w:p>
        </w:tc>
        <w:tc>
          <w:tcPr>
            <w:tcW w:w="784" w:type="pct"/>
            <w:tcBorders>
              <w:top w:val="nil"/>
              <w:left w:val="nil"/>
              <w:bottom w:val="single" w:color="auto" w:sz="4" w:space="0"/>
              <w:right w:val="single" w:color="auto" w:sz="4" w:space="0"/>
            </w:tcBorders>
            <w:vAlign w:val="center"/>
          </w:tcPr>
          <w:p w14:paraId="25BDA20B">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784" w:type="pct"/>
            <w:tcBorders>
              <w:top w:val="nil"/>
              <w:left w:val="nil"/>
              <w:bottom w:val="single" w:color="auto" w:sz="4" w:space="0"/>
              <w:right w:val="single" w:color="auto" w:sz="4" w:space="0"/>
            </w:tcBorders>
            <w:vAlign w:val="center"/>
          </w:tcPr>
          <w:p w14:paraId="76FE3BDC">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932" w:type="pct"/>
            <w:tcBorders>
              <w:top w:val="nil"/>
              <w:left w:val="nil"/>
              <w:bottom w:val="single" w:color="auto" w:sz="4" w:space="0"/>
              <w:right w:val="single" w:color="auto" w:sz="4" w:space="0"/>
            </w:tcBorders>
            <w:vAlign w:val="center"/>
          </w:tcPr>
          <w:p w14:paraId="124B6C26">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932" w:type="pct"/>
            <w:tcBorders>
              <w:top w:val="nil"/>
              <w:left w:val="nil"/>
              <w:bottom w:val="single" w:color="auto" w:sz="4" w:space="0"/>
              <w:right w:val="single" w:color="auto" w:sz="4" w:space="0"/>
            </w:tcBorders>
            <w:vAlign w:val="center"/>
          </w:tcPr>
          <w:p w14:paraId="72809FC7">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3854.95</w:t>
            </w:r>
          </w:p>
        </w:tc>
      </w:tr>
      <w:tr w14:paraId="51F47F35">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531D10BE">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784" w:type="pct"/>
            <w:tcBorders>
              <w:top w:val="nil"/>
              <w:left w:val="nil"/>
              <w:bottom w:val="single" w:color="auto" w:sz="4" w:space="0"/>
              <w:right w:val="single" w:color="auto" w:sz="4" w:space="0"/>
            </w:tcBorders>
            <w:vAlign w:val="center"/>
          </w:tcPr>
          <w:p w14:paraId="1D181DB2">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合金钻头</w:t>
            </w:r>
          </w:p>
        </w:tc>
        <w:tc>
          <w:tcPr>
            <w:tcW w:w="784" w:type="pct"/>
            <w:tcBorders>
              <w:top w:val="nil"/>
              <w:left w:val="nil"/>
              <w:bottom w:val="single" w:color="auto" w:sz="4" w:space="0"/>
              <w:right w:val="single" w:color="auto" w:sz="4" w:space="0"/>
            </w:tcBorders>
            <w:vAlign w:val="center"/>
          </w:tcPr>
          <w:p w14:paraId="4137F2E1">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sz w:val="21"/>
                <w:szCs w:val="21"/>
              </w:rPr>
              <w:t>个</w:t>
            </w:r>
          </w:p>
        </w:tc>
        <w:tc>
          <w:tcPr>
            <w:tcW w:w="784" w:type="pct"/>
            <w:tcBorders>
              <w:top w:val="nil"/>
              <w:left w:val="nil"/>
              <w:bottom w:val="single" w:color="auto" w:sz="4" w:space="0"/>
              <w:right w:val="single" w:color="auto" w:sz="4" w:space="0"/>
            </w:tcBorders>
            <w:vAlign w:val="center"/>
          </w:tcPr>
          <w:p w14:paraId="1A6D8AF1">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13.00</w:t>
            </w:r>
          </w:p>
        </w:tc>
        <w:tc>
          <w:tcPr>
            <w:tcW w:w="932" w:type="pct"/>
            <w:tcBorders>
              <w:top w:val="nil"/>
              <w:left w:val="nil"/>
              <w:bottom w:val="single" w:color="auto" w:sz="4" w:space="0"/>
              <w:right w:val="single" w:color="auto" w:sz="4" w:space="0"/>
            </w:tcBorders>
            <w:vAlign w:val="center"/>
          </w:tcPr>
          <w:p w14:paraId="7777F3EC">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130.00</w:t>
            </w:r>
          </w:p>
        </w:tc>
        <w:tc>
          <w:tcPr>
            <w:tcW w:w="932" w:type="pct"/>
            <w:tcBorders>
              <w:top w:val="nil"/>
              <w:left w:val="nil"/>
              <w:bottom w:val="single" w:color="auto" w:sz="4" w:space="0"/>
              <w:right w:val="single" w:color="auto" w:sz="4" w:space="0"/>
            </w:tcBorders>
            <w:vAlign w:val="center"/>
          </w:tcPr>
          <w:p w14:paraId="4FD5A3AA">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1690.00</w:t>
            </w:r>
          </w:p>
        </w:tc>
      </w:tr>
      <w:tr w14:paraId="343F6068">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2BC0F4EA">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784" w:type="pct"/>
            <w:tcBorders>
              <w:top w:val="nil"/>
              <w:left w:val="nil"/>
              <w:bottom w:val="single" w:color="auto" w:sz="4" w:space="0"/>
              <w:right w:val="single" w:color="auto" w:sz="4" w:space="0"/>
            </w:tcBorders>
            <w:vAlign w:val="center"/>
          </w:tcPr>
          <w:p w14:paraId="248074A0">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空心钢</w:t>
            </w:r>
          </w:p>
        </w:tc>
        <w:tc>
          <w:tcPr>
            <w:tcW w:w="784" w:type="pct"/>
            <w:tcBorders>
              <w:top w:val="nil"/>
              <w:left w:val="nil"/>
              <w:bottom w:val="single" w:color="auto" w:sz="4" w:space="0"/>
              <w:right w:val="single" w:color="auto" w:sz="4" w:space="0"/>
            </w:tcBorders>
            <w:vAlign w:val="center"/>
          </w:tcPr>
          <w:p w14:paraId="6F06D9C4">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sz w:val="21"/>
                <w:szCs w:val="21"/>
              </w:rPr>
              <w:t>kg</w:t>
            </w:r>
          </w:p>
        </w:tc>
        <w:tc>
          <w:tcPr>
            <w:tcW w:w="784" w:type="pct"/>
            <w:tcBorders>
              <w:top w:val="nil"/>
              <w:left w:val="nil"/>
              <w:bottom w:val="single" w:color="auto" w:sz="4" w:space="0"/>
              <w:right w:val="single" w:color="auto" w:sz="4" w:space="0"/>
            </w:tcBorders>
            <w:vAlign w:val="center"/>
          </w:tcPr>
          <w:p w14:paraId="74DD2485">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5.00</w:t>
            </w:r>
          </w:p>
        </w:tc>
        <w:tc>
          <w:tcPr>
            <w:tcW w:w="932" w:type="pct"/>
            <w:tcBorders>
              <w:top w:val="nil"/>
              <w:left w:val="nil"/>
              <w:bottom w:val="single" w:color="auto" w:sz="4" w:space="0"/>
              <w:right w:val="single" w:color="auto" w:sz="4" w:space="0"/>
            </w:tcBorders>
            <w:vAlign w:val="center"/>
          </w:tcPr>
          <w:p w14:paraId="62CEE6F1">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4.50</w:t>
            </w:r>
          </w:p>
        </w:tc>
        <w:tc>
          <w:tcPr>
            <w:tcW w:w="932" w:type="pct"/>
            <w:tcBorders>
              <w:top w:val="nil"/>
              <w:left w:val="nil"/>
              <w:bottom w:val="single" w:color="auto" w:sz="4" w:space="0"/>
              <w:right w:val="single" w:color="auto" w:sz="4" w:space="0"/>
            </w:tcBorders>
            <w:vAlign w:val="center"/>
          </w:tcPr>
          <w:p w14:paraId="367EA9A8">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22.50</w:t>
            </w:r>
          </w:p>
        </w:tc>
      </w:tr>
      <w:tr w14:paraId="7F8F7E76">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7E624F78">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784" w:type="pct"/>
            <w:tcBorders>
              <w:top w:val="nil"/>
              <w:left w:val="nil"/>
              <w:bottom w:val="single" w:color="auto" w:sz="4" w:space="0"/>
              <w:right w:val="single" w:color="auto" w:sz="4" w:space="0"/>
            </w:tcBorders>
            <w:vAlign w:val="center"/>
          </w:tcPr>
          <w:p w14:paraId="1C8F98B2">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炸药</w:t>
            </w:r>
          </w:p>
        </w:tc>
        <w:tc>
          <w:tcPr>
            <w:tcW w:w="784" w:type="pct"/>
            <w:tcBorders>
              <w:top w:val="nil"/>
              <w:left w:val="nil"/>
              <w:bottom w:val="single" w:color="auto" w:sz="4" w:space="0"/>
              <w:right w:val="single" w:color="auto" w:sz="4" w:space="0"/>
            </w:tcBorders>
            <w:vAlign w:val="center"/>
          </w:tcPr>
          <w:p w14:paraId="4BE19FEF">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sz w:val="21"/>
                <w:szCs w:val="21"/>
              </w:rPr>
              <w:t>kg</w:t>
            </w:r>
          </w:p>
        </w:tc>
        <w:tc>
          <w:tcPr>
            <w:tcW w:w="784" w:type="pct"/>
            <w:tcBorders>
              <w:top w:val="nil"/>
              <w:left w:val="nil"/>
              <w:bottom w:val="single" w:color="auto" w:sz="4" w:space="0"/>
              <w:right w:val="single" w:color="auto" w:sz="4" w:space="0"/>
            </w:tcBorders>
            <w:vAlign w:val="center"/>
          </w:tcPr>
          <w:p w14:paraId="29C1614D">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59.00</w:t>
            </w:r>
          </w:p>
        </w:tc>
        <w:tc>
          <w:tcPr>
            <w:tcW w:w="932" w:type="pct"/>
            <w:tcBorders>
              <w:top w:val="nil"/>
              <w:left w:val="nil"/>
              <w:bottom w:val="single" w:color="auto" w:sz="4" w:space="0"/>
              <w:right w:val="single" w:color="auto" w:sz="4" w:space="0"/>
            </w:tcBorders>
            <w:vAlign w:val="center"/>
          </w:tcPr>
          <w:p w14:paraId="7ABE99C4">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14.00</w:t>
            </w:r>
          </w:p>
        </w:tc>
        <w:tc>
          <w:tcPr>
            <w:tcW w:w="932" w:type="pct"/>
            <w:tcBorders>
              <w:top w:val="nil"/>
              <w:left w:val="nil"/>
              <w:bottom w:val="single" w:color="auto" w:sz="4" w:space="0"/>
              <w:right w:val="single" w:color="auto" w:sz="4" w:space="0"/>
            </w:tcBorders>
            <w:vAlign w:val="center"/>
          </w:tcPr>
          <w:p w14:paraId="7D1DE963">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826.00</w:t>
            </w:r>
          </w:p>
        </w:tc>
      </w:tr>
      <w:tr w14:paraId="28AAB281">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3EF36CAE">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784" w:type="pct"/>
            <w:tcBorders>
              <w:top w:val="nil"/>
              <w:left w:val="nil"/>
              <w:bottom w:val="single" w:color="auto" w:sz="4" w:space="0"/>
              <w:right w:val="single" w:color="auto" w:sz="4" w:space="0"/>
            </w:tcBorders>
            <w:vAlign w:val="center"/>
          </w:tcPr>
          <w:p w14:paraId="1B9D13C6">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电雷管</w:t>
            </w:r>
          </w:p>
        </w:tc>
        <w:tc>
          <w:tcPr>
            <w:tcW w:w="784" w:type="pct"/>
            <w:tcBorders>
              <w:top w:val="nil"/>
              <w:left w:val="nil"/>
              <w:bottom w:val="single" w:color="auto" w:sz="4" w:space="0"/>
              <w:right w:val="single" w:color="auto" w:sz="4" w:space="0"/>
            </w:tcBorders>
            <w:vAlign w:val="center"/>
          </w:tcPr>
          <w:p w14:paraId="740C4E1F">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sz w:val="21"/>
                <w:szCs w:val="21"/>
              </w:rPr>
              <w:t>个</w:t>
            </w:r>
          </w:p>
        </w:tc>
        <w:tc>
          <w:tcPr>
            <w:tcW w:w="784" w:type="pct"/>
            <w:tcBorders>
              <w:top w:val="nil"/>
              <w:left w:val="nil"/>
              <w:bottom w:val="single" w:color="auto" w:sz="4" w:space="0"/>
              <w:right w:val="single" w:color="auto" w:sz="4" w:space="0"/>
            </w:tcBorders>
            <w:vAlign w:val="center"/>
          </w:tcPr>
          <w:p w14:paraId="171DE823">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256.00</w:t>
            </w:r>
          </w:p>
        </w:tc>
        <w:tc>
          <w:tcPr>
            <w:tcW w:w="932" w:type="pct"/>
            <w:tcBorders>
              <w:top w:val="nil"/>
              <w:left w:val="nil"/>
              <w:bottom w:val="single" w:color="auto" w:sz="4" w:space="0"/>
              <w:right w:val="single" w:color="auto" w:sz="4" w:space="0"/>
            </w:tcBorders>
            <w:vAlign w:val="center"/>
          </w:tcPr>
          <w:p w14:paraId="715F3757">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2.00</w:t>
            </w:r>
          </w:p>
        </w:tc>
        <w:tc>
          <w:tcPr>
            <w:tcW w:w="932" w:type="pct"/>
            <w:tcBorders>
              <w:top w:val="nil"/>
              <w:left w:val="nil"/>
              <w:bottom w:val="single" w:color="auto" w:sz="4" w:space="0"/>
              <w:right w:val="single" w:color="auto" w:sz="4" w:space="0"/>
            </w:tcBorders>
            <w:vAlign w:val="center"/>
          </w:tcPr>
          <w:p w14:paraId="6CDB0062">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512.00</w:t>
            </w:r>
          </w:p>
        </w:tc>
      </w:tr>
      <w:tr w14:paraId="3C0CF6C9">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378EBEEE">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784" w:type="pct"/>
            <w:tcBorders>
              <w:top w:val="nil"/>
              <w:left w:val="nil"/>
              <w:bottom w:val="single" w:color="auto" w:sz="4" w:space="0"/>
              <w:right w:val="single" w:color="auto" w:sz="4" w:space="0"/>
            </w:tcBorders>
            <w:vAlign w:val="center"/>
          </w:tcPr>
          <w:p w14:paraId="7A3F6F8C">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导电线</w:t>
            </w:r>
          </w:p>
        </w:tc>
        <w:tc>
          <w:tcPr>
            <w:tcW w:w="784" w:type="pct"/>
            <w:tcBorders>
              <w:top w:val="nil"/>
              <w:left w:val="nil"/>
              <w:bottom w:val="single" w:color="auto" w:sz="4" w:space="0"/>
              <w:right w:val="single" w:color="auto" w:sz="4" w:space="0"/>
            </w:tcBorders>
            <w:vAlign w:val="center"/>
          </w:tcPr>
          <w:p w14:paraId="6EA74BD0">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sz w:val="21"/>
                <w:szCs w:val="21"/>
              </w:rPr>
              <w:t>m</w:t>
            </w:r>
          </w:p>
        </w:tc>
        <w:tc>
          <w:tcPr>
            <w:tcW w:w="784" w:type="pct"/>
            <w:tcBorders>
              <w:top w:val="nil"/>
              <w:left w:val="nil"/>
              <w:bottom w:val="single" w:color="auto" w:sz="4" w:space="0"/>
              <w:right w:val="single" w:color="auto" w:sz="4" w:space="0"/>
            </w:tcBorders>
            <w:vAlign w:val="center"/>
          </w:tcPr>
          <w:p w14:paraId="23145171">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454.00</w:t>
            </w:r>
          </w:p>
        </w:tc>
        <w:tc>
          <w:tcPr>
            <w:tcW w:w="932" w:type="pct"/>
            <w:tcBorders>
              <w:top w:val="nil"/>
              <w:left w:val="nil"/>
              <w:bottom w:val="single" w:color="auto" w:sz="4" w:space="0"/>
              <w:right w:val="single" w:color="auto" w:sz="4" w:space="0"/>
            </w:tcBorders>
            <w:vAlign w:val="center"/>
          </w:tcPr>
          <w:p w14:paraId="5D851EA9">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1.00</w:t>
            </w:r>
          </w:p>
        </w:tc>
        <w:tc>
          <w:tcPr>
            <w:tcW w:w="932" w:type="pct"/>
            <w:tcBorders>
              <w:top w:val="nil"/>
              <w:left w:val="nil"/>
              <w:bottom w:val="single" w:color="auto" w:sz="4" w:space="0"/>
              <w:right w:val="single" w:color="auto" w:sz="4" w:space="0"/>
            </w:tcBorders>
            <w:vAlign w:val="center"/>
          </w:tcPr>
          <w:p w14:paraId="56F62597">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454.00</w:t>
            </w:r>
          </w:p>
        </w:tc>
      </w:tr>
      <w:tr w14:paraId="03CB69A1">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58644A32">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784" w:type="pct"/>
            <w:tcBorders>
              <w:top w:val="nil"/>
              <w:left w:val="nil"/>
              <w:bottom w:val="single" w:color="auto" w:sz="4" w:space="0"/>
              <w:right w:val="single" w:color="auto" w:sz="4" w:space="0"/>
            </w:tcBorders>
            <w:vAlign w:val="center"/>
          </w:tcPr>
          <w:p w14:paraId="1A7F3D74">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其他费用</w:t>
            </w:r>
          </w:p>
        </w:tc>
        <w:tc>
          <w:tcPr>
            <w:tcW w:w="784" w:type="pct"/>
            <w:tcBorders>
              <w:top w:val="nil"/>
              <w:left w:val="nil"/>
              <w:bottom w:val="single" w:color="auto" w:sz="4" w:space="0"/>
              <w:right w:val="single" w:color="auto" w:sz="4" w:space="0"/>
            </w:tcBorders>
            <w:vAlign w:val="center"/>
          </w:tcPr>
          <w:p w14:paraId="1E654417">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sz w:val="21"/>
                <w:szCs w:val="21"/>
              </w:rPr>
              <w:t>%</w:t>
            </w:r>
          </w:p>
        </w:tc>
        <w:tc>
          <w:tcPr>
            <w:tcW w:w="784" w:type="pct"/>
            <w:tcBorders>
              <w:top w:val="nil"/>
              <w:left w:val="nil"/>
              <w:bottom w:val="single" w:color="auto" w:sz="4" w:space="0"/>
              <w:right w:val="single" w:color="auto" w:sz="4" w:space="0"/>
            </w:tcBorders>
            <w:vAlign w:val="center"/>
          </w:tcPr>
          <w:p w14:paraId="2DF1DBA2">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10.00</w:t>
            </w:r>
          </w:p>
        </w:tc>
        <w:tc>
          <w:tcPr>
            <w:tcW w:w="932" w:type="pct"/>
            <w:tcBorders>
              <w:top w:val="nil"/>
              <w:left w:val="nil"/>
              <w:bottom w:val="single" w:color="auto" w:sz="4" w:space="0"/>
              <w:right w:val="single" w:color="auto" w:sz="4" w:space="0"/>
            </w:tcBorders>
            <w:vAlign w:val="center"/>
          </w:tcPr>
          <w:p w14:paraId="32838EF3">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3504.50</w:t>
            </w:r>
          </w:p>
        </w:tc>
        <w:tc>
          <w:tcPr>
            <w:tcW w:w="932" w:type="pct"/>
            <w:tcBorders>
              <w:top w:val="nil"/>
              <w:left w:val="nil"/>
              <w:bottom w:val="single" w:color="auto" w:sz="4" w:space="0"/>
              <w:right w:val="single" w:color="auto" w:sz="4" w:space="0"/>
            </w:tcBorders>
            <w:vAlign w:val="center"/>
          </w:tcPr>
          <w:p w14:paraId="7C0FC37C">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350.45</w:t>
            </w:r>
          </w:p>
        </w:tc>
      </w:tr>
      <w:tr w14:paraId="102F7A8E">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2DA00973">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cs="宋体"/>
                <w:kern w:val="0"/>
                <w:sz w:val="21"/>
                <w:szCs w:val="21"/>
              </w:rPr>
              <w:t>3</w:t>
            </w:r>
          </w:p>
        </w:tc>
        <w:tc>
          <w:tcPr>
            <w:tcW w:w="784" w:type="pct"/>
            <w:tcBorders>
              <w:top w:val="nil"/>
              <w:left w:val="nil"/>
              <w:bottom w:val="single" w:color="auto" w:sz="4" w:space="0"/>
              <w:right w:val="single" w:color="auto" w:sz="4" w:space="0"/>
            </w:tcBorders>
            <w:vAlign w:val="center"/>
          </w:tcPr>
          <w:p w14:paraId="6F9750F3">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机械费</w:t>
            </w:r>
          </w:p>
        </w:tc>
        <w:tc>
          <w:tcPr>
            <w:tcW w:w="784" w:type="pct"/>
            <w:tcBorders>
              <w:top w:val="nil"/>
              <w:left w:val="nil"/>
              <w:bottom w:val="single" w:color="auto" w:sz="4" w:space="0"/>
              <w:right w:val="single" w:color="auto" w:sz="4" w:space="0"/>
            </w:tcBorders>
            <w:vAlign w:val="center"/>
          </w:tcPr>
          <w:p w14:paraId="1B0961C2">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784" w:type="pct"/>
            <w:tcBorders>
              <w:top w:val="nil"/>
              <w:left w:val="nil"/>
              <w:bottom w:val="single" w:color="auto" w:sz="4" w:space="0"/>
              <w:right w:val="single" w:color="auto" w:sz="4" w:space="0"/>
            </w:tcBorders>
            <w:vAlign w:val="center"/>
          </w:tcPr>
          <w:p w14:paraId="51F7FD1B">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932" w:type="pct"/>
            <w:tcBorders>
              <w:top w:val="nil"/>
              <w:left w:val="nil"/>
              <w:bottom w:val="single" w:color="auto" w:sz="4" w:space="0"/>
              <w:right w:val="single" w:color="auto" w:sz="4" w:space="0"/>
            </w:tcBorders>
            <w:vAlign w:val="center"/>
          </w:tcPr>
          <w:p w14:paraId="31B5E667">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932" w:type="pct"/>
            <w:tcBorders>
              <w:top w:val="nil"/>
              <w:left w:val="nil"/>
              <w:bottom w:val="single" w:color="auto" w:sz="4" w:space="0"/>
              <w:right w:val="single" w:color="auto" w:sz="4" w:space="0"/>
            </w:tcBorders>
            <w:vAlign w:val="center"/>
          </w:tcPr>
          <w:p w14:paraId="2A54BEFB">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3771.00</w:t>
            </w:r>
          </w:p>
        </w:tc>
      </w:tr>
      <w:tr w14:paraId="2164FE70">
        <w:tblPrEx>
          <w:tblCellMar>
            <w:top w:w="0" w:type="dxa"/>
            <w:left w:w="108" w:type="dxa"/>
            <w:bottom w:w="0" w:type="dxa"/>
            <w:right w:w="108" w:type="dxa"/>
          </w:tblCellMar>
        </w:tblPrEx>
        <w:trPr>
          <w:trHeight w:val="449" w:hRule="atLeast"/>
        </w:trPr>
        <w:tc>
          <w:tcPr>
            <w:tcW w:w="784" w:type="pct"/>
            <w:tcBorders>
              <w:top w:val="nil"/>
              <w:left w:val="single" w:color="auto" w:sz="4" w:space="0"/>
              <w:bottom w:val="single" w:color="auto" w:sz="4" w:space="0"/>
              <w:right w:val="single" w:color="auto" w:sz="4" w:space="0"/>
            </w:tcBorders>
            <w:vAlign w:val="center"/>
          </w:tcPr>
          <w:p w14:paraId="087D451F">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784" w:type="pct"/>
            <w:tcBorders>
              <w:top w:val="nil"/>
              <w:left w:val="nil"/>
              <w:bottom w:val="single" w:color="auto" w:sz="4" w:space="0"/>
              <w:right w:val="single" w:color="auto" w:sz="4" w:space="0"/>
            </w:tcBorders>
            <w:vAlign w:val="center"/>
          </w:tcPr>
          <w:p w14:paraId="48D17E31">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风钻（手持式）</w:t>
            </w:r>
          </w:p>
        </w:tc>
        <w:tc>
          <w:tcPr>
            <w:tcW w:w="784" w:type="pct"/>
            <w:tcBorders>
              <w:top w:val="nil"/>
              <w:left w:val="nil"/>
              <w:bottom w:val="single" w:color="auto" w:sz="4" w:space="0"/>
              <w:right w:val="single" w:color="auto" w:sz="4" w:space="0"/>
            </w:tcBorders>
            <w:vAlign w:val="center"/>
          </w:tcPr>
          <w:p w14:paraId="27E30607">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sz w:val="21"/>
                <w:szCs w:val="21"/>
              </w:rPr>
              <w:t>台班</w:t>
            </w:r>
          </w:p>
        </w:tc>
        <w:tc>
          <w:tcPr>
            <w:tcW w:w="784" w:type="pct"/>
            <w:tcBorders>
              <w:top w:val="nil"/>
              <w:left w:val="nil"/>
              <w:bottom w:val="single" w:color="auto" w:sz="4" w:space="0"/>
              <w:right w:val="single" w:color="auto" w:sz="4" w:space="0"/>
            </w:tcBorders>
            <w:vAlign w:val="center"/>
          </w:tcPr>
          <w:p w14:paraId="4B6B076B">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19.00</w:t>
            </w:r>
          </w:p>
        </w:tc>
        <w:tc>
          <w:tcPr>
            <w:tcW w:w="932" w:type="pct"/>
            <w:tcBorders>
              <w:top w:val="nil"/>
              <w:left w:val="nil"/>
              <w:bottom w:val="single" w:color="auto" w:sz="4" w:space="0"/>
              <w:right w:val="single" w:color="auto" w:sz="4" w:space="0"/>
            </w:tcBorders>
            <w:vAlign w:val="center"/>
          </w:tcPr>
          <w:p w14:paraId="64087BA5">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166.82</w:t>
            </w:r>
          </w:p>
        </w:tc>
        <w:tc>
          <w:tcPr>
            <w:tcW w:w="932" w:type="pct"/>
            <w:tcBorders>
              <w:top w:val="nil"/>
              <w:left w:val="nil"/>
              <w:bottom w:val="single" w:color="auto" w:sz="4" w:space="0"/>
              <w:right w:val="single" w:color="auto" w:sz="4" w:space="0"/>
            </w:tcBorders>
            <w:vAlign w:val="center"/>
          </w:tcPr>
          <w:p w14:paraId="347C58BC">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3169.63</w:t>
            </w:r>
          </w:p>
        </w:tc>
      </w:tr>
      <w:tr w14:paraId="1A6486F9">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3A81D5DF">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784" w:type="pct"/>
            <w:tcBorders>
              <w:top w:val="nil"/>
              <w:left w:val="nil"/>
              <w:bottom w:val="single" w:color="auto" w:sz="4" w:space="0"/>
              <w:right w:val="single" w:color="auto" w:sz="4" w:space="0"/>
            </w:tcBorders>
            <w:vAlign w:val="center"/>
          </w:tcPr>
          <w:p w14:paraId="21F694EB">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修钎设备</w:t>
            </w:r>
          </w:p>
        </w:tc>
        <w:tc>
          <w:tcPr>
            <w:tcW w:w="784" w:type="pct"/>
            <w:tcBorders>
              <w:top w:val="nil"/>
              <w:left w:val="nil"/>
              <w:bottom w:val="single" w:color="auto" w:sz="4" w:space="0"/>
              <w:right w:val="single" w:color="auto" w:sz="4" w:space="0"/>
            </w:tcBorders>
            <w:vAlign w:val="center"/>
          </w:tcPr>
          <w:p w14:paraId="0BBBCB19">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sz w:val="21"/>
                <w:szCs w:val="21"/>
              </w:rPr>
              <w:t>台班</w:t>
            </w:r>
          </w:p>
        </w:tc>
        <w:tc>
          <w:tcPr>
            <w:tcW w:w="784" w:type="pct"/>
            <w:tcBorders>
              <w:top w:val="nil"/>
              <w:left w:val="nil"/>
              <w:bottom w:val="single" w:color="auto" w:sz="4" w:space="0"/>
              <w:right w:val="single" w:color="auto" w:sz="4" w:space="0"/>
            </w:tcBorders>
            <w:vAlign w:val="center"/>
          </w:tcPr>
          <w:p w14:paraId="3E6B3BC0">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0.50</w:t>
            </w:r>
          </w:p>
        </w:tc>
        <w:tc>
          <w:tcPr>
            <w:tcW w:w="932" w:type="pct"/>
            <w:tcBorders>
              <w:top w:val="nil"/>
              <w:left w:val="nil"/>
              <w:bottom w:val="single" w:color="auto" w:sz="4" w:space="0"/>
              <w:right w:val="single" w:color="auto" w:sz="4" w:space="0"/>
            </w:tcBorders>
            <w:vAlign w:val="center"/>
          </w:tcPr>
          <w:p w14:paraId="32DFFB09">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517.11</w:t>
            </w:r>
          </w:p>
        </w:tc>
        <w:tc>
          <w:tcPr>
            <w:tcW w:w="932" w:type="pct"/>
            <w:tcBorders>
              <w:top w:val="nil"/>
              <w:left w:val="nil"/>
              <w:bottom w:val="single" w:color="auto" w:sz="4" w:space="0"/>
              <w:right w:val="single" w:color="auto" w:sz="4" w:space="0"/>
            </w:tcBorders>
            <w:vAlign w:val="center"/>
          </w:tcPr>
          <w:p w14:paraId="55AE4A48">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258.56</w:t>
            </w:r>
          </w:p>
        </w:tc>
      </w:tr>
      <w:tr w14:paraId="2FD4A453">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1D9AB7A1">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784" w:type="pct"/>
            <w:tcBorders>
              <w:top w:val="nil"/>
              <w:left w:val="nil"/>
              <w:bottom w:val="single" w:color="auto" w:sz="4" w:space="0"/>
              <w:right w:val="single" w:color="auto" w:sz="4" w:space="0"/>
            </w:tcBorders>
            <w:vAlign w:val="center"/>
          </w:tcPr>
          <w:p w14:paraId="538365AB">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其他费用</w:t>
            </w:r>
          </w:p>
        </w:tc>
        <w:tc>
          <w:tcPr>
            <w:tcW w:w="784" w:type="pct"/>
            <w:tcBorders>
              <w:top w:val="nil"/>
              <w:left w:val="nil"/>
              <w:bottom w:val="single" w:color="auto" w:sz="4" w:space="0"/>
              <w:right w:val="single" w:color="auto" w:sz="4" w:space="0"/>
            </w:tcBorders>
            <w:vAlign w:val="center"/>
          </w:tcPr>
          <w:p w14:paraId="72E02437">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sz w:val="21"/>
                <w:szCs w:val="21"/>
              </w:rPr>
              <w:t>%</w:t>
            </w:r>
          </w:p>
        </w:tc>
        <w:tc>
          <w:tcPr>
            <w:tcW w:w="784" w:type="pct"/>
            <w:tcBorders>
              <w:top w:val="nil"/>
              <w:left w:val="nil"/>
              <w:bottom w:val="single" w:color="auto" w:sz="4" w:space="0"/>
              <w:right w:val="single" w:color="auto" w:sz="4" w:space="0"/>
            </w:tcBorders>
            <w:vAlign w:val="center"/>
          </w:tcPr>
          <w:p w14:paraId="1BDA3CAE">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10.00</w:t>
            </w:r>
          </w:p>
        </w:tc>
        <w:tc>
          <w:tcPr>
            <w:tcW w:w="932" w:type="pct"/>
            <w:tcBorders>
              <w:top w:val="nil"/>
              <w:left w:val="nil"/>
              <w:bottom w:val="single" w:color="auto" w:sz="4" w:space="0"/>
              <w:right w:val="single" w:color="auto" w:sz="4" w:space="0"/>
            </w:tcBorders>
            <w:vAlign w:val="center"/>
          </w:tcPr>
          <w:p w14:paraId="1E56ABDD">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3428.18</w:t>
            </w:r>
          </w:p>
        </w:tc>
        <w:tc>
          <w:tcPr>
            <w:tcW w:w="932" w:type="pct"/>
            <w:tcBorders>
              <w:top w:val="nil"/>
              <w:left w:val="nil"/>
              <w:bottom w:val="single" w:color="auto" w:sz="4" w:space="0"/>
              <w:right w:val="single" w:color="auto" w:sz="4" w:space="0"/>
            </w:tcBorders>
            <w:vAlign w:val="center"/>
          </w:tcPr>
          <w:p w14:paraId="7E0C1027">
            <w:pPr>
              <w:widowControl/>
              <w:adjustRightInd/>
              <w:snapToGrid/>
              <w:spacing w:line="240" w:lineRule="auto"/>
              <w:ind w:firstLine="0" w:firstLineChars="0"/>
              <w:jc w:val="center"/>
              <w:rPr>
                <w:rFonts w:hint="eastAsia" w:ascii="仿宋" w:hAnsi="仿宋" w:eastAsia="仿宋" w:cs="宋体"/>
                <w:kern w:val="0"/>
                <w:sz w:val="21"/>
                <w:szCs w:val="21"/>
                <w:lang w:eastAsia="zh-CN"/>
              </w:rPr>
            </w:pPr>
            <w:r>
              <w:rPr>
                <w:rFonts w:hint="eastAsia" w:ascii="仿宋" w:hAnsi="仿宋" w:eastAsia="仿宋"/>
                <w:sz w:val="21"/>
                <w:szCs w:val="21"/>
              </w:rPr>
              <w:t>342.82</w:t>
            </w:r>
          </w:p>
        </w:tc>
      </w:tr>
      <w:tr w14:paraId="72A07460">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0BB0DD3F">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（二）</w:t>
            </w:r>
          </w:p>
        </w:tc>
        <w:tc>
          <w:tcPr>
            <w:tcW w:w="784" w:type="pct"/>
            <w:tcBorders>
              <w:top w:val="nil"/>
              <w:left w:val="nil"/>
              <w:bottom w:val="single" w:color="auto" w:sz="4" w:space="0"/>
              <w:right w:val="single" w:color="auto" w:sz="4" w:space="0"/>
            </w:tcBorders>
            <w:vAlign w:val="center"/>
          </w:tcPr>
          <w:p w14:paraId="1B246C3E">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措施费</w:t>
            </w:r>
          </w:p>
        </w:tc>
        <w:tc>
          <w:tcPr>
            <w:tcW w:w="784" w:type="pct"/>
            <w:tcBorders>
              <w:top w:val="nil"/>
              <w:left w:val="nil"/>
              <w:bottom w:val="single" w:color="auto" w:sz="4" w:space="0"/>
              <w:right w:val="single" w:color="auto" w:sz="4" w:space="0"/>
            </w:tcBorders>
            <w:vAlign w:val="center"/>
          </w:tcPr>
          <w:p w14:paraId="5F593C65">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w:t>
            </w:r>
          </w:p>
        </w:tc>
        <w:tc>
          <w:tcPr>
            <w:tcW w:w="784" w:type="pct"/>
            <w:tcBorders>
              <w:top w:val="nil"/>
              <w:left w:val="nil"/>
              <w:bottom w:val="single" w:color="auto" w:sz="4" w:space="0"/>
              <w:right w:val="single" w:color="auto" w:sz="4" w:space="0"/>
            </w:tcBorders>
            <w:vAlign w:val="center"/>
          </w:tcPr>
          <w:p w14:paraId="7D6EDF88">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3.80</w:t>
            </w:r>
          </w:p>
        </w:tc>
        <w:tc>
          <w:tcPr>
            <w:tcW w:w="932" w:type="pct"/>
            <w:tcBorders>
              <w:top w:val="nil"/>
              <w:left w:val="nil"/>
              <w:bottom w:val="single" w:color="auto" w:sz="4" w:space="0"/>
              <w:right w:val="single" w:color="auto" w:sz="4" w:space="0"/>
            </w:tcBorders>
            <w:vAlign w:val="center"/>
          </w:tcPr>
          <w:p w14:paraId="21825361">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13393.69</w:t>
            </w:r>
          </w:p>
        </w:tc>
        <w:tc>
          <w:tcPr>
            <w:tcW w:w="932" w:type="pct"/>
            <w:tcBorders>
              <w:top w:val="nil"/>
              <w:left w:val="nil"/>
              <w:bottom w:val="single" w:color="auto" w:sz="4" w:space="0"/>
              <w:right w:val="single" w:color="auto" w:sz="4" w:space="0"/>
            </w:tcBorders>
            <w:vAlign w:val="center"/>
          </w:tcPr>
          <w:p w14:paraId="1FC5642A">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508.96</w:t>
            </w:r>
          </w:p>
        </w:tc>
      </w:tr>
      <w:tr w14:paraId="61F484A4">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109D6DE8">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二</w:t>
            </w:r>
          </w:p>
        </w:tc>
        <w:tc>
          <w:tcPr>
            <w:tcW w:w="784" w:type="pct"/>
            <w:tcBorders>
              <w:top w:val="nil"/>
              <w:left w:val="nil"/>
              <w:bottom w:val="single" w:color="auto" w:sz="4" w:space="0"/>
              <w:right w:val="single" w:color="auto" w:sz="4" w:space="0"/>
            </w:tcBorders>
            <w:vAlign w:val="center"/>
          </w:tcPr>
          <w:p w14:paraId="028E0778">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间接费</w:t>
            </w:r>
          </w:p>
        </w:tc>
        <w:tc>
          <w:tcPr>
            <w:tcW w:w="784" w:type="pct"/>
            <w:tcBorders>
              <w:top w:val="nil"/>
              <w:left w:val="nil"/>
              <w:bottom w:val="single" w:color="auto" w:sz="4" w:space="0"/>
              <w:right w:val="single" w:color="auto" w:sz="4" w:space="0"/>
            </w:tcBorders>
            <w:vAlign w:val="center"/>
          </w:tcPr>
          <w:p w14:paraId="1DC14430">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w:t>
            </w:r>
          </w:p>
        </w:tc>
        <w:tc>
          <w:tcPr>
            <w:tcW w:w="784" w:type="pct"/>
            <w:tcBorders>
              <w:top w:val="nil"/>
              <w:left w:val="nil"/>
              <w:bottom w:val="single" w:color="auto" w:sz="4" w:space="0"/>
              <w:right w:val="single" w:color="auto" w:sz="4" w:space="0"/>
            </w:tcBorders>
            <w:vAlign w:val="center"/>
          </w:tcPr>
          <w:p w14:paraId="1A61A4C2">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7.20</w:t>
            </w:r>
          </w:p>
        </w:tc>
        <w:tc>
          <w:tcPr>
            <w:tcW w:w="932" w:type="pct"/>
            <w:tcBorders>
              <w:top w:val="nil"/>
              <w:left w:val="nil"/>
              <w:bottom w:val="single" w:color="auto" w:sz="4" w:space="0"/>
              <w:right w:val="single" w:color="auto" w:sz="4" w:space="0"/>
            </w:tcBorders>
            <w:vAlign w:val="center"/>
          </w:tcPr>
          <w:p w14:paraId="2EFA5D40">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13902.65</w:t>
            </w:r>
          </w:p>
        </w:tc>
        <w:tc>
          <w:tcPr>
            <w:tcW w:w="932" w:type="pct"/>
            <w:tcBorders>
              <w:top w:val="nil"/>
              <w:left w:val="nil"/>
              <w:bottom w:val="single" w:color="auto" w:sz="4" w:space="0"/>
              <w:right w:val="single" w:color="auto" w:sz="4" w:space="0"/>
            </w:tcBorders>
            <w:vAlign w:val="center"/>
          </w:tcPr>
          <w:p w14:paraId="55D8319F">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1000.99</w:t>
            </w:r>
          </w:p>
        </w:tc>
      </w:tr>
      <w:tr w14:paraId="1FFB2D0D">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7C916649">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三</w:t>
            </w:r>
          </w:p>
        </w:tc>
        <w:tc>
          <w:tcPr>
            <w:tcW w:w="784" w:type="pct"/>
            <w:tcBorders>
              <w:top w:val="nil"/>
              <w:left w:val="nil"/>
              <w:bottom w:val="single" w:color="auto" w:sz="4" w:space="0"/>
              <w:right w:val="single" w:color="auto" w:sz="4" w:space="0"/>
            </w:tcBorders>
            <w:vAlign w:val="center"/>
          </w:tcPr>
          <w:p w14:paraId="710DEF22">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利润</w:t>
            </w:r>
          </w:p>
        </w:tc>
        <w:tc>
          <w:tcPr>
            <w:tcW w:w="784" w:type="pct"/>
            <w:tcBorders>
              <w:top w:val="nil"/>
              <w:left w:val="nil"/>
              <w:bottom w:val="single" w:color="auto" w:sz="4" w:space="0"/>
              <w:right w:val="single" w:color="auto" w:sz="4" w:space="0"/>
            </w:tcBorders>
            <w:vAlign w:val="center"/>
          </w:tcPr>
          <w:p w14:paraId="3E9BEBDB">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w:t>
            </w:r>
          </w:p>
        </w:tc>
        <w:tc>
          <w:tcPr>
            <w:tcW w:w="784" w:type="pct"/>
            <w:tcBorders>
              <w:top w:val="nil"/>
              <w:left w:val="nil"/>
              <w:bottom w:val="single" w:color="auto" w:sz="4" w:space="0"/>
              <w:right w:val="single" w:color="auto" w:sz="4" w:space="0"/>
            </w:tcBorders>
            <w:vAlign w:val="center"/>
          </w:tcPr>
          <w:p w14:paraId="7EB3F7D0">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3.00</w:t>
            </w:r>
          </w:p>
        </w:tc>
        <w:tc>
          <w:tcPr>
            <w:tcW w:w="932" w:type="pct"/>
            <w:tcBorders>
              <w:top w:val="nil"/>
              <w:left w:val="nil"/>
              <w:bottom w:val="single" w:color="auto" w:sz="4" w:space="0"/>
              <w:right w:val="single" w:color="auto" w:sz="4" w:space="0"/>
            </w:tcBorders>
            <w:vAlign w:val="center"/>
          </w:tcPr>
          <w:p w14:paraId="5936DCCC">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14903.64</w:t>
            </w:r>
          </w:p>
        </w:tc>
        <w:tc>
          <w:tcPr>
            <w:tcW w:w="932" w:type="pct"/>
            <w:tcBorders>
              <w:top w:val="nil"/>
              <w:left w:val="nil"/>
              <w:bottom w:val="single" w:color="auto" w:sz="4" w:space="0"/>
              <w:right w:val="single" w:color="auto" w:sz="4" w:space="0"/>
            </w:tcBorders>
            <w:vAlign w:val="center"/>
          </w:tcPr>
          <w:p w14:paraId="28C1703A">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447.11</w:t>
            </w:r>
          </w:p>
        </w:tc>
      </w:tr>
      <w:tr w14:paraId="7C6A20FE">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01FC063F">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四</w:t>
            </w:r>
          </w:p>
        </w:tc>
        <w:tc>
          <w:tcPr>
            <w:tcW w:w="784" w:type="pct"/>
            <w:tcBorders>
              <w:top w:val="nil"/>
              <w:left w:val="nil"/>
              <w:bottom w:val="single" w:color="auto" w:sz="4" w:space="0"/>
              <w:right w:val="single" w:color="auto" w:sz="4" w:space="0"/>
            </w:tcBorders>
            <w:vAlign w:val="center"/>
          </w:tcPr>
          <w:p w14:paraId="3C884D0B">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材料价差</w:t>
            </w:r>
          </w:p>
        </w:tc>
        <w:tc>
          <w:tcPr>
            <w:tcW w:w="784" w:type="pct"/>
            <w:tcBorders>
              <w:top w:val="nil"/>
              <w:left w:val="nil"/>
              <w:bottom w:val="single" w:color="auto" w:sz="4" w:space="0"/>
              <w:right w:val="single" w:color="auto" w:sz="4" w:space="0"/>
            </w:tcBorders>
            <w:vAlign w:val="center"/>
          </w:tcPr>
          <w:p w14:paraId="540074A4">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784" w:type="pct"/>
            <w:tcBorders>
              <w:top w:val="nil"/>
              <w:left w:val="nil"/>
              <w:bottom w:val="single" w:color="auto" w:sz="4" w:space="0"/>
              <w:right w:val="single" w:color="auto" w:sz="4" w:space="0"/>
            </w:tcBorders>
            <w:vAlign w:val="center"/>
          </w:tcPr>
          <w:p w14:paraId="308799A9">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932" w:type="pct"/>
            <w:tcBorders>
              <w:top w:val="nil"/>
              <w:left w:val="nil"/>
              <w:bottom w:val="single" w:color="auto" w:sz="4" w:space="0"/>
              <w:right w:val="single" w:color="auto" w:sz="4" w:space="0"/>
            </w:tcBorders>
            <w:vAlign w:val="center"/>
          </w:tcPr>
          <w:p w14:paraId="5D1EB951">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　</w:t>
            </w:r>
          </w:p>
        </w:tc>
        <w:tc>
          <w:tcPr>
            <w:tcW w:w="932" w:type="pct"/>
            <w:tcBorders>
              <w:top w:val="nil"/>
              <w:left w:val="nil"/>
              <w:bottom w:val="single" w:color="auto" w:sz="4" w:space="0"/>
              <w:right w:val="single" w:color="auto" w:sz="4" w:space="0"/>
            </w:tcBorders>
            <w:vAlign w:val="center"/>
          </w:tcPr>
          <w:p w14:paraId="7EB838DB">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0.00</w:t>
            </w:r>
          </w:p>
        </w:tc>
      </w:tr>
      <w:tr w14:paraId="65072305">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0E809ECC">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五</w:t>
            </w:r>
          </w:p>
        </w:tc>
        <w:tc>
          <w:tcPr>
            <w:tcW w:w="784" w:type="pct"/>
            <w:tcBorders>
              <w:top w:val="nil"/>
              <w:left w:val="nil"/>
              <w:bottom w:val="single" w:color="auto" w:sz="4" w:space="0"/>
              <w:right w:val="single" w:color="auto" w:sz="4" w:space="0"/>
            </w:tcBorders>
            <w:vAlign w:val="center"/>
          </w:tcPr>
          <w:p w14:paraId="7758A896">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税金</w:t>
            </w:r>
          </w:p>
        </w:tc>
        <w:tc>
          <w:tcPr>
            <w:tcW w:w="784" w:type="pct"/>
            <w:tcBorders>
              <w:top w:val="nil"/>
              <w:left w:val="nil"/>
              <w:bottom w:val="single" w:color="auto" w:sz="4" w:space="0"/>
              <w:right w:val="single" w:color="auto" w:sz="4" w:space="0"/>
            </w:tcBorders>
            <w:vAlign w:val="center"/>
          </w:tcPr>
          <w:p w14:paraId="1F487057">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b/>
                <w:bCs/>
                <w:sz w:val="21"/>
                <w:szCs w:val="21"/>
              </w:rPr>
              <w:t>%</w:t>
            </w:r>
          </w:p>
        </w:tc>
        <w:tc>
          <w:tcPr>
            <w:tcW w:w="784" w:type="pct"/>
            <w:tcBorders>
              <w:top w:val="nil"/>
              <w:left w:val="nil"/>
              <w:bottom w:val="single" w:color="auto" w:sz="4" w:space="0"/>
              <w:right w:val="single" w:color="auto" w:sz="4" w:space="0"/>
            </w:tcBorders>
            <w:vAlign w:val="center"/>
          </w:tcPr>
          <w:p w14:paraId="390A782C">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9.00</w:t>
            </w:r>
          </w:p>
        </w:tc>
        <w:tc>
          <w:tcPr>
            <w:tcW w:w="932" w:type="pct"/>
            <w:tcBorders>
              <w:top w:val="nil"/>
              <w:left w:val="nil"/>
              <w:bottom w:val="single" w:color="auto" w:sz="4" w:space="0"/>
              <w:right w:val="single" w:color="auto" w:sz="4" w:space="0"/>
            </w:tcBorders>
            <w:vAlign w:val="center"/>
          </w:tcPr>
          <w:p w14:paraId="61B0FD29">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15350.75</w:t>
            </w:r>
          </w:p>
        </w:tc>
        <w:tc>
          <w:tcPr>
            <w:tcW w:w="932" w:type="pct"/>
            <w:tcBorders>
              <w:top w:val="nil"/>
              <w:left w:val="nil"/>
              <w:bottom w:val="single" w:color="auto" w:sz="4" w:space="0"/>
              <w:right w:val="single" w:color="auto" w:sz="4" w:space="0"/>
            </w:tcBorders>
            <w:vAlign w:val="center"/>
          </w:tcPr>
          <w:p w14:paraId="5DECEB2E">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1381.57</w:t>
            </w:r>
          </w:p>
        </w:tc>
      </w:tr>
      <w:tr w14:paraId="189C6C5D">
        <w:tblPrEx>
          <w:tblCellMar>
            <w:top w:w="0" w:type="dxa"/>
            <w:left w:w="108" w:type="dxa"/>
            <w:bottom w:w="0" w:type="dxa"/>
            <w:right w:w="108" w:type="dxa"/>
          </w:tblCellMar>
        </w:tblPrEx>
        <w:trPr>
          <w:trHeight w:val="243" w:hRule="atLeast"/>
        </w:trPr>
        <w:tc>
          <w:tcPr>
            <w:tcW w:w="784" w:type="pct"/>
            <w:tcBorders>
              <w:top w:val="nil"/>
              <w:left w:val="single" w:color="auto" w:sz="4" w:space="0"/>
              <w:bottom w:val="single" w:color="auto" w:sz="4" w:space="0"/>
              <w:right w:val="single" w:color="auto" w:sz="4" w:space="0"/>
            </w:tcBorders>
            <w:vAlign w:val="center"/>
          </w:tcPr>
          <w:p w14:paraId="5DD75274">
            <w:pPr>
              <w:widowControl/>
              <w:adjustRightInd/>
              <w:snapToGrid/>
              <w:spacing w:line="240" w:lineRule="auto"/>
              <w:ind w:firstLine="0" w:firstLineChars="0"/>
              <w:jc w:val="center"/>
              <w:rPr>
                <w:rFonts w:hint="eastAsia" w:ascii="仿宋" w:hAnsi="仿宋" w:eastAsia="仿宋" w:cs="宋体"/>
                <w:b/>
                <w:bCs/>
                <w:kern w:val="0"/>
                <w:sz w:val="21"/>
                <w:szCs w:val="21"/>
              </w:rPr>
            </w:pPr>
            <w:r>
              <w:rPr>
                <w:rFonts w:hint="eastAsia" w:ascii="仿宋" w:hAnsi="仿宋" w:eastAsia="仿宋" w:cs="宋体"/>
                <w:b/>
                <w:bCs/>
                <w:kern w:val="0"/>
                <w:sz w:val="21"/>
                <w:szCs w:val="21"/>
              </w:rPr>
              <w:t>合计</w:t>
            </w:r>
          </w:p>
        </w:tc>
        <w:tc>
          <w:tcPr>
            <w:tcW w:w="784" w:type="pct"/>
            <w:tcBorders>
              <w:top w:val="nil"/>
              <w:left w:val="nil"/>
              <w:bottom w:val="single" w:color="auto" w:sz="4" w:space="0"/>
              <w:right w:val="single" w:color="auto" w:sz="4" w:space="0"/>
            </w:tcBorders>
            <w:vAlign w:val="center"/>
          </w:tcPr>
          <w:p w14:paraId="28830B9A">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cs="宋体"/>
                <w:kern w:val="0"/>
                <w:sz w:val="21"/>
                <w:szCs w:val="21"/>
              </w:rPr>
              <w:t>　</w:t>
            </w:r>
          </w:p>
        </w:tc>
        <w:tc>
          <w:tcPr>
            <w:tcW w:w="784" w:type="pct"/>
            <w:tcBorders>
              <w:top w:val="nil"/>
              <w:left w:val="nil"/>
              <w:bottom w:val="single" w:color="auto" w:sz="4" w:space="0"/>
              <w:right w:val="single" w:color="auto" w:sz="4" w:space="0"/>
            </w:tcBorders>
            <w:vAlign w:val="center"/>
          </w:tcPr>
          <w:p w14:paraId="4660D628">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sz w:val="21"/>
                <w:szCs w:val="21"/>
              </w:rPr>
              <w:t>　</w:t>
            </w:r>
          </w:p>
        </w:tc>
        <w:tc>
          <w:tcPr>
            <w:tcW w:w="784" w:type="pct"/>
            <w:tcBorders>
              <w:top w:val="nil"/>
              <w:left w:val="nil"/>
              <w:bottom w:val="single" w:color="auto" w:sz="4" w:space="0"/>
              <w:right w:val="single" w:color="auto" w:sz="4" w:space="0"/>
            </w:tcBorders>
            <w:vAlign w:val="center"/>
          </w:tcPr>
          <w:p w14:paraId="0C0493C0">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sz w:val="21"/>
                <w:szCs w:val="21"/>
              </w:rPr>
              <w:t>　</w:t>
            </w:r>
          </w:p>
        </w:tc>
        <w:tc>
          <w:tcPr>
            <w:tcW w:w="932" w:type="pct"/>
            <w:tcBorders>
              <w:top w:val="nil"/>
              <w:left w:val="nil"/>
              <w:bottom w:val="single" w:color="auto" w:sz="4" w:space="0"/>
              <w:right w:val="single" w:color="auto" w:sz="4" w:space="0"/>
            </w:tcBorders>
            <w:vAlign w:val="center"/>
          </w:tcPr>
          <w:p w14:paraId="26A4F0B6">
            <w:pPr>
              <w:widowControl/>
              <w:adjustRightInd/>
              <w:snapToGrid/>
              <w:spacing w:line="240" w:lineRule="auto"/>
              <w:ind w:firstLine="0" w:firstLineChars="0"/>
              <w:jc w:val="center"/>
              <w:rPr>
                <w:rFonts w:hint="eastAsia" w:ascii="仿宋" w:hAnsi="仿宋" w:eastAsia="仿宋" w:cs="宋体"/>
                <w:kern w:val="0"/>
                <w:sz w:val="21"/>
                <w:szCs w:val="21"/>
              </w:rPr>
            </w:pPr>
            <w:r>
              <w:rPr>
                <w:rFonts w:hint="eastAsia" w:ascii="仿宋" w:hAnsi="仿宋" w:eastAsia="仿宋"/>
                <w:sz w:val="21"/>
                <w:szCs w:val="21"/>
              </w:rPr>
              <w:t>　</w:t>
            </w:r>
          </w:p>
        </w:tc>
        <w:tc>
          <w:tcPr>
            <w:tcW w:w="932" w:type="pct"/>
            <w:tcBorders>
              <w:top w:val="nil"/>
              <w:left w:val="nil"/>
              <w:bottom w:val="single" w:color="auto" w:sz="4" w:space="0"/>
              <w:right w:val="single" w:color="auto" w:sz="4" w:space="0"/>
            </w:tcBorders>
            <w:vAlign w:val="center"/>
          </w:tcPr>
          <w:p w14:paraId="20B3464B">
            <w:pPr>
              <w:widowControl/>
              <w:adjustRightInd/>
              <w:snapToGrid/>
              <w:spacing w:line="240" w:lineRule="auto"/>
              <w:ind w:firstLine="0" w:firstLineChars="0"/>
              <w:jc w:val="center"/>
              <w:rPr>
                <w:rFonts w:hint="eastAsia" w:ascii="仿宋" w:hAnsi="仿宋" w:eastAsia="仿宋" w:cs="宋体"/>
                <w:b/>
                <w:bCs/>
                <w:kern w:val="0"/>
                <w:sz w:val="21"/>
                <w:szCs w:val="21"/>
                <w:lang w:eastAsia="zh-CN"/>
              </w:rPr>
            </w:pPr>
            <w:r>
              <w:rPr>
                <w:rFonts w:hint="eastAsia" w:ascii="仿宋" w:hAnsi="仿宋" w:eastAsia="仿宋"/>
                <w:b/>
                <w:bCs/>
                <w:sz w:val="21"/>
                <w:szCs w:val="21"/>
              </w:rPr>
              <w:t>16732.32</w:t>
            </w:r>
          </w:p>
        </w:tc>
      </w:tr>
    </w:tbl>
    <w:p w14:paraId="2010B325">
      <w:pPr>
        <w:pStyle w:val="41"/>
        <w:spacing w:after="0" w:line="240" w:lineRule="auto"/>
        <w:ind w:left="0" w:leftChars="0" w:firstLine="0" w:firstLineChars="0"/>
        <w:jc w:val="center"/>
        <w:rPr>
          <w:rFonts w:eastAsia="黑体"/>
          <w:bCs/>
          <w:sz w:val="24"/>
          <w:szCs w:val="24"/>
        </w:rPr>
      </w:pPr>
    </w:p>
    <w:p w14:paraId="383BEC85">
      <w:pPr>
        <w:widowControl/>
        <w:adjustRightInd/>
        <w:snapToGrid/>
        <w:spacing w:line="240" w:lineRule="auto"/>
        <w:ind w:firstLine="0" w:firstLineChars="0"/>
        <w:rPr>
          <w:rFonts w:eastAsia="黑体"/>
          <w:bCs/>
          <w:sz w:val="24"/>
        </w:rPr>
      </w:pPr>
      <w:r>
        <w:rPr>
          <w:rFonts w:eastAsia="黑体"/>
          <w:bCs/>
          <w:sz w:val="24"/>
        </w:rPr>
        <w:br w:type="page"/>
      </w:r>
    </w:p>
    <w:p w14:paraId="5D69044A">
      <w:pPr>
        <w:pStyle w:val="41"/>
        <w:ind w:left="560" w:firstLine="422"/>
        <w:rPr>
          <w:b/>
          <w:sz w:val="21"/>
          <w:szCs w:val="21"/>
        </w:rPr>
        <w:sectPr>
          <w:pgSz w:w="11906" w:h="16838"/>
          <w:pgMar w:top="1134" w:right="1134" w:bottom="1134" w:left="1418" w:header="851" w:footer="992" w:gutter="0"/>
          <w:pgNumType w:fmt="decimal"/>
          <w:cols w:space="720" w:num="1"/>
          <w:docGrid w:type="linesAndChars" w:linePitch="312" w:charSpace="0"/>
        </w:sectPr>
      </w:pPr>
    </w:p>
    <w:p w14:paraId="20D679EE">
      <w:pPr>
        <w:pStyle w:val="4"/>
        <w:ind w:firstLine="602"/>
        <w:rPr>
          <w:rFonts w:ascii="Times New Roman" w:hAnsi="Times New Roman"/>
          <w:szCs w:val="30"/>
        </w:rPr>
      </w:pPr>
      <w:bookmarkStart w:id="226" w:name="_Toc14422162"/>
      <w:bookmarkStart w:id="227" w:name="_Toc517356187"/>
      <w:bookmarkStart w:id="228" w:name="_Toc31267"/>
      <w:bookmarkStart w:id="229" w:name="_Toc23072"/>
      <w:bookmarkStart w:id="230" w:name="_Toc219050299"/>
      <w:bookmarkStart w:id="231" w:name="_Toc215692460"/>
      <w:r>
        <w:rPr>
          <w:rFonts w:ascii="Times New Roman" w:hAnsi="Times New Roman"/>
          <w:szCs w:val="30"/>
        </w:rPr>
        <w:t>三、</w:t>
      </w:r>
      <w:bookmarkEnd w:id="226"/>
      <w:bookmarkEnd w:id="227"/>
      <w:bookmarkEnd w:id="228"/>
      <w:r>
        <w:rPr>
          <w:rFonts w:ascii="Times New Roman" w:hAnsi="Times New Roman"/>
          <w:szCs w:val="30"/>
        </w:rPr>
        <w:t>阶段工作任务与经费安排</w:t>
      </w:r>
      <w:bookmarkEnd w:id="229"/>
      <w:bookmarkEnd w:id="230"/>
      <w:bookmarkEnd w:id="231"/>
    </w:p>
    <w:p w14:paraId="5F107148">
      <w:pPr>
        <w:pStyle w:val="5"/>
        <w:ind w:firstLine="562"/>
      </w:pPr>
      <w:bookmarkStart w:id="232" w:name="_Toc14422163"/>
      <w:bookmarkStart w:id="233" w:name="_Toc17498"/>
      <w:bookmarkStart w:id="234" w:name="_Toc517356188"/>
      <w:r>
        <w:t>（一）</w:t>
      </w:r>
      <w:bookmarkEnd w:id="232"/>
      <w:bookmarkEnd w:id="233"/>
      <w:bookmarkEnd w:id="234"/>
      <w:r>
        <w:t>阶段工作任务</w:t>
      </w:r>
    </w:p>
    <w:p w14:paraId="14D6BE7C">
      <w:pPr>
        <w:ind w:firstLine="560"/>
        <w:rPr>
          <w:szCs w:val="28"/>
        </w:rPr>
      </w:pPr>
      <w:r>
        <w:rPr>
          <w:rFonts w:hint="eastAsia"/>
          <w:szCs w:val="28"/>
        </w:rPr>
        <w:t>矿山</w:t>
      </w:r>
      <w:r>
        <w:rPr>
          <w:rFonts w:hint="eastAsia"/>
          <w:szCs w:val="28"/>
          <w:lang w:val="en-US" w:eastAsia="zh-CN"/>
        </w:rPr>
        <w:t>可开采</w:t>
      </w:r>
      <w:r>
        <w:rPr>
          <w:rFonts w:hint="eastAsia"/>
          <w:szCs w:val="28"/>
        </w:rPr>
        <w:t>年限</w:t>
      </w:r>
      <w:r>
        <w:rPr>
          <w:rFonts w:hint="eastAsia"/>
          <w:szCs w:val="28"/>
          <w:lang w:val="en-US" w:eastAsia="zh-CN"/>
        </w:rPr>
        <w:t>8</w:t>
      </w:r>
      <w:r>
        <w:rPr>
          <w:rFonts w:hint="eastAsia"/>
          <w:szCs w:val="28"/>
        </w:rPr>
        <w:t>年，矿山自20</w:t>
      </w:r>
      <w:r>
        <w:rPr>
          <w:rFonts w:hint="eastAsia"/>
          <w:szCs w:val="28"/>
          <w:lang w:val="en-US" w:eastAsia="zh-CN"/>
        </w:rPr>
        <w:t>05</w:t>
      </w:r>
      <w:r>
        <w:rPr>
          <w:rFonts w:hint="eastAsia"/>
          <w:szCs w:val="28"/>
        </w:rPr>
        <w:t>年至今未恢复生产，</w:t>
      </w:r>
      <w:r>
        <w:rPr>
          <w:szCs w:val="28"/>
        </w:rPr>
        <w:t>根据《</w:t>
      </w:r>
      <w:r>
        <w:rPr>
          <w:rFonts w:hint="eastAsia"/>
          <w:szCs w:val="28"/>
        </w:rPr>
        <w:t>开发利用方案</w:t>
      </w:r>
      <w:r>
        <w:rPr>
          <w:szCs w:val="28"/>
        </w:rPr>
        <w:t>》，矿山剩余服务年限为</w:t>
      </w:r>
      <w:r>
        <w:rPr>
          <w:rFonts w:hint="eastAsia"/>
          <w:szCs w:val="28"/>
          <w:lang w:eastAsia="zh-CN"/>
        </w:rPr>
        <w:t>8年</w:t>
      </w:r>
      <w:r>
        <w:rPr>
          <w:szCs w:val="28"/>
        </w:rPr>
        <w:t>，加上1年生态修复工程实施期，3年后期管护期，按矿山实际生产情况对矿区生态修复分期部署，即2026年1月—</w:t>
      </w:r>
      <w:r>
        <w:rPr>
          <w:rFonts w:hint="eastAsia"/>
          <w:szCs w:val="28"/>
          <w:lang w:eastAsia="zh-CN"/>
        </w:rPr>
        <w:t>2038年1月</w:t>
      </w:r>
      <w:r>
        <w:rPr>
          <w:szCs w:val="28"/>
        </w:rPr>
        <w:t>。</w:t>
      </w:r>
    </w:p>
    <w:p w14:paraId="0D566109">
      <w:pPr>
        <w:ind w:firstLine="560"/>
        <w:rPr>
          <w:szCs w:val="28"/>
        </w:rPr>
      </w:pPr>
      <w:r>
        <w:rPr>
          <w:szCs w:val="28"/>
        </w:rPr>
        <w:t>1.</w:t>
      </w:r>
      <w:r>
        <w:rPr>
          <w:rFonts w:hint="eastAsia"/>
          <w:szCs w:val="28"/>
        </w:rPr>
        <w:t>生产期</w:t>
      </w:r>
      <w:r>
        <w:rPr>
          <w:szCs w:val="28"/>
        </w:rPr>
        <w:t>—</w:t>
      </w:r>
      <w:r>
        <w:rPr>
          <w:rFonts w:hint="eastAsia"/>
          <w:szCs w:val="28"/>
        </w:rPr>
        <w:t>采矿权有效期</w:t>
      </w:r>
      <w:r>
        <w:rPr>
          <w:szCs w:val="28"/>
        </w:rPr>
        <w:t>（</w:t>
      </w:r>
      <w:r>
        <w:rPr>
          <w:rFonts w:hint="eastAsia"/>
          <w:szCs w:val="28"/>
        </w:rPr>
        <w:t>2026年1月—</w:t>
      </w:r>
      <w:r>
        <w:rPr>
          <w:rFonts w:hint="eastAsia"/>
          <w:szCs w:val="28"/>
          <w:lang w:eastAsia="zh-CN"/>
        </w:rPr>
        <w:t>20</w:t>
      </w:r>
      <w:r>
        <w:rPr>
          <w:rFonts w:hint="eastAsia"/>
          <w:szCs w:val="28"/>
          <w:lang w:val="en-US" w:eastAsia="zh-CN"/>
        </w:rPr>
        <w:t>29</w:t>
      </w:r>
      <w:r>
        <w:rPr>
          <w:rFonts w:hint="eastAsia"/>
          <w:szCs w:val="28"/>
          <w:lang w:eastAsia="zh-CN"/>
        </w:rPr>
        <w:t>年1月</w:t>
      </w:r>
      <w:r>
        <w:rPr>
          <w:rFonts w:hint="eastAsia"/>
          <w:szCs w:val="28"/>
        </w:rPr>
        <w:t>，</w:t>
      </w:r>
      <w:r>
        <w:rPr>
          <w:rFonts w:hint="eastAsia"/>
          <w:szCs w:val="28"/>
          <w:lang w:val="en-US" w:eastAsia="zh-CN"/>
        </w:rPr>
        <w:t>3</w:t>
      </w:r>
      <w:r>
        <w:rPr>
          <w:rFonts w:hint="eastAsia"/>
          <w:szCs w:val="28"/>
        </w:rPr>
        <w:t>年</w:t>
      </w:r>
      <w:r>
        <w:rPr>
          <w:szCs w:val="28"/>
        </w:rPr>
        <w:t>）</w:t>
      </w:r>
    </w:p>
    <w:p w14:paraId="45D53C68">
      <w:pPr>
        <w:autoSpaceDE w:val="0"/>
        <w:autoSpaceDN w:val="0"/>
        <w:ind w:firstLine="560"/>
        <w:jc w:val="both"/>
        <w:rPr>
          <w:szCs w:val="28"/>
        </w:rPr>
      </w:pPr>
      <w:r>
        <w:rPr>
          <w:szCs w:val="28"/>
        </w:rPr>
        <w:t>2026年：</w:t>
      </w:r>
      <w:r>
        <w:rPr>
          <w:rFonts w:hint="eastAsia"/>
          <w:szCs w:val="28"/>
        </w:rPr>
        <w:t>对</w:t>
      </w:r>
      <w:r>
        <w:rPr>
          <w:rFonts w:hint="eastAsia"/>
          <w:szCs w:val="28"/>
          <w:lang w:val="en-US" w:eastAsia="zh-CN"/>
        </w:rPr>
        <w:t>拟破坏区域进行表土剥离，编织袋砌筑表土墙，对表土堆场进行撒播紫花苜蓿养护，封堵原来三处废弃平硐</w:t>
      </w:r>
      <w:r>
        <w:rPr>
          <w:rFonts w:hint="eastAsia"/>
          <w:szCs w:val="28"/>
        </w:rPr>
        <w:t>，矿山地质环境监测15次，土地资源生态监测2次，</w:t>
      </w:r>
      <w:r>
        <w:rPr>
          <w:rFonts w:hint="eastAsia"/>
          <w:szCs w:val="28"/>
          <w:lang w:eastAsia="zh-CN"/>
        </w:rPr>
        <w:t>矿山</w:t>
      </w:r>
      <w:r>
        <w:rPr>
          <w:rFonts w:hint="eastAsia"/>
          <w:szCs w:val="28"/>
        </w:rPr>
        <w:t>涌水水质监测2次，</w:t>
      </w:r>
      <w:r>
        <w:rPr>
          <w:rFonts w:hint="eastAsia"/>
          <w:szCs w:val="28"/>
          <w:lang w:eastAsia="zh-CN"/>
        </w:rPr>
        <w:t>矿山</w:t>
      </w:r>
      <w:r>
        <w:rPr>
          <w:rFonts w:hint="eastAsia"/>
          <w:szCs w:val="28"/>
        </w:rPr>
        <w:t>涌水水量监测12次。</w:t>
      </w:r>
    </w:p>
    <w:p w14:paraId="34FB8D58">
      <w:pPr>
        <w:autoSpaceDE w:val="0"/>
        <w:autoSpaceDN w:val="0"/>
        <w:ind w:firstLine="560"/>
        <w:jc w:val="both"/>
        <w:rPr>
          <w:szCs w:val="28"/>
        </w:rPr>
      </w:pPr>
      <w:r>
        <w:rPr>
          <w:szCs w:val="28"/>
        </w:rPr>
        <w:t>2027年：</w:t>
      </w:r>
      <w:r>
        <w:rPr>
          <w:rFonts w:hint="eastAsia"/>
          <w:szCs w:val="28"/>
        </w:rPr>
        <w:t>对</w:t>
      </w:r>
      <w:r>
        <w:rPr>
          <w:rFonts w:hint="eastAsia"/>
          <w:szCs w:val="28"/>
          <w:lang w:val="en-US" w:eastAsia="zh-CN"/>
        </w:rPr>
        <w:t>采空区的</w:t>
      </w:r>
      <w:r>
        <w:rPr>
          <w:rFonts w:hint="eastAsia"/>
          <w:szCs w:val="28"/>
          <w:lang w:eastAsia="zh-CN"/>
        </w:rPr>
        <w:t>地裂缝</w:t>
      </w:r>
      <w:r>
        <w:rPr>
          <w:rFonts w:hint="eastAsia"/>
          <w:szCs w:val="28"/>
          <w:lang w:val="en-US" w:eastAsia="zh-CN"/>
        </w:rPr>
        <w:t>进行地质灾害监测，</w:t>
      </w:r>
      <w:r>
        <w:rPr>
          <w:rFonts w:hint="eastAsia"/>
          <w:szCs w:val="28"/>
        </w:rPr>
        <w:t>地质灾害进行综合治理，矿山地质环境监测15次，土地资源生态监测2次，</w:t>
      </w:r>
      <w:r>
        <w:rPr>
          <w:rFonts w:hint="eastAsia"/>
          <w:szCs w:val="28"/>
          <w:lang w:eastAsia="zh-CN"/>
        </w:rPr>
        <w:t>矿山</w:t>
      </w:r>
      <w:r>
        <w:rPr>
          <w:rFonts w:hint="eastAsia"/>
          <w:szCs w:val="28"/>
        </w:rPr>
        <w:t>涌水水质监测2次，</w:t>
      </w:r>
      <w:r>
        <w:rPr>
          <w:rFonts w:hint="eastAsia"/>
          <w:szCs w:val="28"/>
          <w:lang w:eastAsia="zh-CN"/>
        </w:rPr>
        <w:t>矿山</w:t>
      </w:r>
      <w:r>
        <w:rPr>
          <w:rFonts w:hint="eastAsia"/>
          <w:szCs w:val="28"/>
        </w:rPr>
        <w:t>涌水水量监测12次。</w:t>
      </w:r>
    </w:p>
    <w:p w14:paraId="3548D64D">
      <w:pPr>
        <w:autoSpaceDE w:val="0"/>
        <w:autoSpaceDN w:val="0"/>
        <w:ind w:firstLine="560"/>
        <w:jc w:val="both"/>
        <w:rPr>
          <w:szCs w:val="28"/>
        </w:rPr>
      </w:pPr>
      <w:r>
        <w:rPr>
          <w:szCs w:val="28"/>
        </w:rPr>
        <w:t>2028年：</w:t>
      </w:r>
      <w:r>
        <w:rPr>
          <w:rFonts w:hint="eastAsia"/>
          <w:szCs w:val="28"/>
        </w:rPr>
        <w:t>对</w:t>
      </w:r>
      <w:r>
        <w:rPr>
          <w:rFonts w:hint="eastAsia"/>
          <w:szCs w:val="28"/>
          <w:lang w:val="en-US" w:eastAsia="zh-CN"/>
        </w:rPr>
        <w:t>采空区的</w:t>
      </w:r>
      <w:r>
        <w:rPr>
          <w:rFonts w:hint="eastAsia"/>
          <w:szCs w:val="28"/>
          <w:lang w:eastAsia="zh-CN"/>
        </w:rPr>
        <w:t>地裂缝</w:t>
      </w:r>
      <w:r>
        <w:rPr>
          <w:rFonts w:hint="eastAsia"/>
          <w:szCs w:val="28"/>
          <w:lang w:val="en-US" w:eastAsia="zh-CN"/>
        </w:rPr>
        <w:t>进行地质灾害监测，</w:t>
      </w:r>
      <w:r>
        <w:rPr>
          <w:rFonts w:hint="eastAsia"/>
          <w:szCs w:val="28"/>
        </w:rPr>
        <w:t>矿山地质环境监测15次，土地资源生态监测2次，</w:t>
      </w:r>
      <w:r>
        <w:rPr>
          <w:rFonts w:hint="eastAsia"/>
          <w:szCs w:val="28"/>
          <w:lang w:eastAsia="zh-CN"/>
        </w:rPr>
        <w:t>矿山</w:t>
      </w:r>
      <w:r>
        <w:rPr>
          <w:rFonts w:hint="eastAsia"/>
          <w:szCs w:val="28"/>
        </w:rPr>
        <w:t>涌水水质监测2次，</w:t>
      </w:r>
      <w:r>
        <w:rPr>
          <w:rFonts w:hint="eastAsia"/>
          <w:szCs w:val="28"/>
          <w:lang w:eastAsia="zh-CN"/>
        </w:rPr>
        <w:t>矿山</w:t>
      </w:r>
      <w:r>
        <w:rPr>
          <w:rFonts w:hint="eastAsia"/>
          <w:szCs w:val="28"/>
        </w:rPr>
        <w:t>涌水水量监测12次。</w:t>
      </w:r>
    </w:p>
    <w:p w14:paraId="6DB0F97B">
      <w:pPr>
        <w:ind w:firstLine="560"/>
        <w:rPr>
          <w:szCs w:val="28"/>
        </w:rPr>
      </w:pPr>
      <w:r>
        <w:rPr>
          <w:szCs w:val="28"/>
        </w:rPr>
        <w:t>2.中远期—</w:t>
      </w:r>
      <w:r>
        <w:rPr>
          <w:rFonts w:hint="eastAsia"/>
          <w:szCs w:val="28"/>
        </w:rPr>
        <w:t>采矿权延续期</w:t>
      </w:r>
      <w:r>
        <w:rPr>
          <w:szCs w:val="28"/>
        </w:rPr>
        <w:t>（</w:t>
      </w:r>
      <w:r>
        <w:rPr>
          <w:rFonts w:hint="eastAsia"/>
          <w:szCs w:val="28"/>
        </w:rPr>
        <w:t>2029年</w:t>
      </w:r>
      <w:r>
        <w:rPr>
          <w:rFonts w:hint="eastAsia"/>
          <w:szCs w:val="28"/>
          <w:lang w:val="en-US" w:eastAsia="zh-CN"/>
        </w:rPr>
        <w:t>1</w:t>
      </w:r>
      <w:r>
        <w:rPr>
          <w:rFonts w:hint="eastAsia"/>
          <w:szCs w:val="28"/>
        </w:rPr>
        <w:t>月—20</w:t>
      </w:r>
      <w:r>
        <w:rPr>
          <w:rFonts w:hint="eastAsia"/>
          <w:szCs w:val="28"/>
          <w:lang w:val="en-US" w:eastAsia="zh-CN"/>
        </w:rPr>
        <w:t>34</w:t>
      </w:r>
      <w:r>
        <w:rPr>
          <w:rFonts w:hint="eastAsia"/>
          <w:szCs w:val="28"/>
        </w:rPr>
        <w:t>年</w:t>
      </w:r>
      <w:r>
        <w:rPr>
          <w:rFonts w:hint="eastAsia"/>
          <w:szCs w:val="28"/>
          <w:lang w:val="en-US" w:eastAsia="zh-CN"/>
        </w:rPr>
        <w:t>1</w:t>
      </w:r>
      <w:r>
        <w:rPr>
          <w:rFonts w:hint="eastAsia"/>
          <w:szCs w:val="28"/>
        </w:rPr>
        <w:t>月,</w:t>
      </w:r>
      <w:r>
        <w:rPr>
          <w:rFonts w:hint="eastAsia"/>
          <w:szCs w:val="28"/>
          <w:lang w:val="en-US" w:eastAsia="zh-CN"/>
        </w:rPr>
        <w:t>5</w:t>
      </w:r>
      <w:r>
        <w:rPr>
          <w:rFonts w:hint="eastAsia"/>
          <w:szCs w:val="28"/>
        </w:rPr>
        <w:t>年</w:t>
      </w:r>
      <w:r>
        <w:rPr>
          <w:szCs w:val="28"/>
        </w:rPr>
        <w:t>）</w:t>
      </w:r>
    </w:p>
    <w:p w14:paraId="0B0312CB">
      <w:pPr>
        <w:autoSpaceDE w:val="0"/>
        <w:autoSpaceDN w:val="0"/>
        <w:ind w:firstLine="560"/>
        <w:jc w:val="both"/>
        <w:rPr>
          <w:szCs w:val="28"/>
        </w:rPr>
      </w:pPr>
      <w:r>
        <w:rPr>
          <w:rFonts w:hint="eastAsia"/>
          <w:szCs w:val="28"/>
        </w:rPr>
        <w:t>对</w:t>
      </w:r>
      <w:r>
        <w:rPr>
          <w:rFonts w:hint="eastAsia"/>
          <w:szCs w:val="28"/>
          <w:lang w:val="en-US" w:eastAsia="zh-CN"/>
        </w:rPr>
        <w:t>采空区的</w:t>
      </w:r>
      <w:r>
        <w:rPr>
          <w:rFonts w:hint="eastAsia"/>
          <w:szCs w:val="28"/>
          <w:lang w:eastAsia="zh-CN"/>
        </w:rPr>
        <w:t>地裂缝</w:t>
      </w:r>
      <w:r>
        <w:rPr>
          <w:rFonts w:hint="eastAsia"/>
          <w:szCs w:val="28"/>
          <w:lang w:val="en-US" w:eastAsia="zh-CN"/>
        </w:rPr>
        <w:t>进行地质灾害监测，</w:t>
      </w:r>
      <w:r>
        <w:rPr>
          <w:rFonts w:hint="eastAsia"/>
          <w:szCs w:val="28"/>
        </w:rPr>
        <w:t>矿山地质环境监测</w:t>
      </w:r>
      <w:r>
        <w:rPr>
          <w:rFonts w:hint="eastAsia"/>
          <w:szCs w:val="28"/>
          <w:lang w:val="en-US" w:eastAsia="zh-CN"/>
        </w:rPr>
        <w:t>75</w:t>
      </w:r>
      <w:r>
        <w:rPr>
          <w:rFonts w:hint="eastAsia"/>
          <w:szCs w:val="28"/>
        </w:rPr>
        <w:t>次，土地资源生态监测</w:t>
      </w:r>
      <w:r>
        <w:rPr>
          <w:rFonts w:hint="eastAsia"/>
          <w:szCs w:val="28"/>
          <w:lang w:val="en-US" w:eastAsia="zh-CN"/>
        </w:rPr>
        <w:t>10</w:t>
      </w:r>
      <w:r>
        <w:rPr>
          <w:rFonts w:hint="eastAsia"/>
          <w:szCs w:val="28"/>
        </w:rPr>
        <w:t>次，</w:t>
      </w:r>
      <w:r>
        <w:rPr>
          <w:rFonts w:hint="eastAsia"/>
          <w:szCs w:val="28"/>
          <w:lang w:eastAsia="zh-CN"/>
        </w:rPr>
        <w:t>矿山</w:t>
      </w:r>
      <w:r>
        <w:rPr>
          <w:rFonts w:hint="eastAsia"/>
          <w:szCs w:val="28"/>
        </w:rPr>
        <w:t>涌水水质监测</w:t>
      </w:r>
      <w:r>
        <w:rPr>
          <w:rFonts w:hint="eastAsia"/>
          <w:szCs w:val="28"/>
          <w:lang w:val="en-US" w:eastAsia="zh-CN"/>
        </w:rPr>
        <w:t>10</w:t>
      </w:r>
      <w:r>
        <w:rPr>
          <w:rFonts w:hint="eastAsia"/>
          <w:szCs w:val="28"/>
        </w:rPr>
        <w:t>次，</w:t>
      </w:r>
      <w:r>
        <w:rPr>
          <w:rFonts w:hint="eastAsia"/>
          <w:szCs w:val="28"/>
          <w:lang w:eastAsia="zh-CN"/>
        </w:rPr>
        <w:t>矿山</w:t>
      </w:r>
      <w:r>
        <w:rPr>
          <w:rFonts w:hint="eastAsia"/>
          <w:szCs w:val="28"/>
        </w:rPr>
        <w:t>涌水水量监测</w:t>
      </w:r>
      <w:r>
        <w:rPr>
          <w:rFonts w:hint="eastAsia"/>
          <w:szCs w:val="28"/>
          <w:lang w:val="en-US" w:eastAsia="zh-CN"/>
        </w:rPr>
        <w:t>60</w:t>
      </w:r>
      <w:r>
        <w:rPr>
          <w:rFonts w:hint="eastAsia"/>
          <w:szCs w:val="28"/>
        </w:rPr>
        <w:t>次。</w:t>
      </w:r>
    </w:p>
    <w:p w14:paraId="2BCAEED7">
      <w:pPr>
        <w:ind w:left="560" w:leftChars="200" w:firstLine="0" w:firstLineChars="0"/>
        <w:rPr>
          <w:rFonts w:hint="eastAsia" w:ascii="宋体" w:hAnsi="宋体" w:cs="宋体"/>
          <w:szCs w:val="28"/>
        </w:rPr>
      </w:pPr>
      <w:r>
        <w:rPr>
          <w:rFonts w:hint="eastAsia" w:ascii="宋体" w:hAnsi="宋体" w:cs="宋体"/>
          <w:szCs w:val="28"/>
        </w:rPr>
        <w:t>3.闭坑生态修复期（</w:t>
      </w:r>
      <w:r>
        <w:rPr>
          <w:rFonts w:hint="eastAsia"/>
          <w:szCs w:val="28"/>
          <w:lang w:eastAsia="zh-CN"/>
        </w:rPr>
        <w:t>2034年1月</w:t>
      </w:r>
      <w:r>
        <w:rPr>
          <w:rFonts w:hint="eastAsia"/>
          <w:szCs w:val="28"/>
        </w:rPr>
        <w:t>—</w:t>
      </w:r>
      <w:r>
        <w:rPr>
          <w:rFonts w:hint="eastAsia"/>
          <w:szCs w:val="28"/>
          <w:lang w:eastAsia="zh-CN"/>
        </w:rPr>
        <w:t>2035年1月</w:t>
      </w:r>
      <w:r>
        <w:rPr>
          <w:rFonts w:hint="eastAsia"/>
          <w:szCs w:val="28"/>
        </w:rPr>
        <w:t>,1年</w:t>
      </w:r>
      <w:r>
        <w:rPr>
          <w:rFonts w:hint="eastAsia" w:ascii="宋体" w:hAnsi="宋体" w:cs="宋体"/>
          <w:szCs w:val="28"/>
        </w:rPr>
        <w:t>）</w:t>
      </w:r>
    </w:p>
    <w:p w14:paraId="4C0521CB">
      <w:pPr>
        <w:autoSpaceDE w:val="0"/>
        <w:autoSpaceDN w:val="0"/>
        <w:ind w:firstLine="560"/>
        <w:jc w:val="both"/>
        <w:rPr>
          <w:szCs w:val="28"/>
        </w:rPr>
      </w:pPr>
      <w:r>
        <w:rPr>
          <w:rFonts w:hint="eastAsia" w:ascii="宋体" w:hAnsi="宋体" w:cs="宋体"/>
          <w:szCs w:val="28"/>
        </w:rPr>
        <w:t>做好闭矿矿区生态修复工作。对工业广场全区实施生态修复，涉及拆除建筑物工程、清除硬覆盖层工程、场地平整工程，完成后申请自然资源主管部门验收；继续</w:t>
      </w:r>
      <w:r>
        <w:rPr>
          <w:rFonts w:hint="eastAsia"/>
          <w:szCs w:val="28"/>
        </w:rPr>
        <w:t>对对</w:t>
      </w:r>
      <w:r>
        <w:rPr>
          <w:rFonts w:hint="eastAsia"/>
          <w:szCs w:val="28"/>
          <w:lang w:val="en-US" w:eastAsia="zh-CN"/>
        </w:rPr>
        <w:t>采空区的</w:t>
      </w:r>
      <w:r>
        <w:rPr>
          <w:rFonts w:hint="eastAsia"/>
          <w:szCs w:val="28"/>
          <w:lang w:eastAsia="zh-CN"/>
        </w:rPr>
        <w:t>地裂缝</w:t>
      </w:r>
      <w:r>
        <w:rPr>
          <w:rFonts w:hint="eastAsia"/>
          <w:szCs w:val="28"/>
          <w:lang w:val="en-US" w:eastAsia="zh-CN"/>
        </w:rPr>
        <w:t>进行地质灾害监测</w:t>
      </w:r>
      <w:r>
        <w:rPr>
          <w:rFonts w:hint="eastAsia"/>
          <w:szCs w:val="28"/>
        </w:rPr>
        <w:t>，矿山地质环境监测15次，土地资源生态监测2次。</w:t>
      </w:r>
    </w:p>
    <w:p w14:paraId="6BF3FC34">
      <w:pPr>
        <w:ind w:firstLine="560"/>
        <w:rPr>
          <w:rFonts w:hint="eastAsia" w:ascii="宋体" w:hAnsi="宋体" w:cs="宋体"/>
          <w:szCs w:val="28"/>
        </w:rPr>
      </w:pPr>
      <w:r>
        <w:rPr>
          <w:rFonts w:hint="eastAsia" w:ascii="宋体" w:hAnsi="宋体" w:cs="宋体"/>
          <w:szCs w:val="28"/>
        </w:rPr>
        <w:t>4.监测管护期（</w:t>
      </w:r>
      <w:r>
        <w:rPr>
          <w:rFonts w:hint="eastAsia"/>
          <w:szCs w:val="28"/>
          <w:lang w:eastAsia="zh-CN"/>
        </w:rPr>
        <w:t>2035年1月</w:t>
      </w:r>
      <w:r>
        <w:rPr>
          <w:rFonts w:hint="eastAsia"/>
          <w:szCs w:val="28"/>
        </w:rPr>
        <w:t>—</w:t>
      </w:r>
      <w:r>
        <w:rPr>
          <w:rFonts w:hint="eastAsia"/>
          <w:szCs w:val="28"/>
          <w:lang w:eastAsia="zh-CN"/>
        </w:rPr>
        <w:t>2038年1月</w:t>
      </w:r>
      <w:r>
        <w:rPr>
          <w:rFonts w:hint="eastAsia"/>
          <w:szCs w:val="28"/>
        </w:rPr>
        <w:t>,3年</w:t>
      </w:r>
      <w:r>
        <w:rPr>
          <w:rFonts w:hint="eastAsia" w:ascii="宋体" w:hAnsi="宋体" w:cs="宋体"/>
          <w:szCs w:val="28"/>
        </w:rPr>
        <w:t>）</w:t>
      </w:r>
    </w:p>
    <w:p w14:paraId="0A1F444A">
      <w:pPr>
        <w:ind w:firstLine="560"/>
        <w:rPr>
          <w:szCs w:val="28"/>
        </w:rPr>
      </w:pPr>
      <w:r>
        <w:rPr>
          <w:rFonts w:hint="eastAsia" w:ascii="宋体" w:hAnsi="宋体" w:cs="宋体"/>
          <w:szCs w:val="28"/>
        </w:rPr>
        <w:t>继续</w:t>
      </w:r>
      <w:r>
        <w:rPr>
          <w:rFonts w:hint="eastAsia"/>
          <w:szCs w:val="28"/>
        </w:rPr>
        <w:t>对</w:t>
      </w:r>
      <w:r>
        <w:rPr>
          <w:rFonts w:hint="eastAsia" w:ascii="宋体" w:hAnsi="宋体" w:cs="宋体"/>
          <w:szCs w:val="28"/>
        </w:rPr>
        <w:t>继续</w:t>
      </w:r>
      <w:r>
        <w:rPr>
          <w:rFonts w:hint="eastAsia"/>
          <w:szCs w:val="28"/>
        </w:rPr>
        <w:t>对对</w:t>
      </w:r>
      <w:r>
        <w:rPr>
          <w:rFonts w:hint="eastAsia"/>
          <w:szCs w:val="28"/>
          <w:lang w:val="en-US" w:eastAsia="zh-CN"/>
        </w:rPr>
        <w:t>采空区的</w:t>
      </w:r>
      <w:r>
        <w:rPr>
          <w:rFonts w:hint="eastAsia"/>
          <w:szCs w:val="28"/>
          <w:lang w:eastAsia="zh-CN"/>
        </w:rPr>
        <w:t>地裂缝</w:t>
      </w:r>
      <w:r>
        <w:rPr>
          <w:rFonts w:hint="eastAsia"/>
          <w:szCs w:val="28"/>
          <w:lang w:val="en-US" w:eastAsia="zh-CN"/>
        </w:rPr>
        <w:t>进行地质灾害监测</w:t>
      </w:r>
      <w:r>
        <w:rPr>
          <w:rFonts w:hint="eastAsia"/>
          <w:szCs w:val="28"/>
        </w:rPr>
        <w:t>，矿山地质环境监测45次，土地资源生态监测6次。</w:t>
      </w:r>
      <w:r>
        <w:rPr>
          <w:rFonts w:hint="eastAsia" w:ascii="宋体" w:hAnsi="宋体" w:cs="宋体"/>
          <w:szCs w:val="28"/>
        </w:rPr>
        <w:t>对</w:t>
      </w:r>
      <w:r>
        <w:rPr>
          <w:rFonts w:hint="eastAsia" w:ascii="宋体" w:hAnsi="宋体" w:cs="宋体"/>
          <w:szCs w:val="28"/>
          <w:lang w:eastAsia="zh-CN"/>
        </w:rPr>
        <w:t>地裂缝</w:t>
      </w:r>
      <w:r>
        <w:rPr>
          <w:rFonts w:hint="eastAsia" w:ascii="宋体" w:hAnsi="宋体" w:cs="宋体"/>
          <w:szCs w:val="28"/>
        </w:rPr>
        <w:t>治理林地进行监测和管护，管护期</w:t>
      </w:r>
      <w:r>
        <w:rPr>
          <w:rFonts w:hint="default" w:ascii="Times New Roman" w:hAnsi="Times New Roman" w:cs="Times New Roman"/>
          <w:szCs w:val="28"/>
        </w:rPr>
        <w:t>3</w:t>
      </w:r>
      <w:r>
        <w:rPr>
          <w:rFonts w:hint="eastAsia" w:ascii="宋体" w:hAnsi="宋体" w:cs="宋体"/>
          <w:szCs w:val="28"/>
        </w:rPr>
        <w:t>年。</w:t>
      </w:r>
    </w:p>
    <w:p w14:paraId="6C8B85D9">
      <w:pPr>
        <w:pStyle w:val="57"/>
        <w:rPr>
          <w:rFonts w:ascii="Times New Roman" w:hAnsi="Times New Roman"/>
        </w:rPr>
      </w:pPr>
      <w:r>
        <w:rPr>
          <w:rFonts w:ascii="Times New Roman" w:hAnsi="Times New Roman"/>
        </w:rPr>
        <w:t>表6-15</w:t>
      </w:r>
      <w:bookmarkStart w:id="235" w:name="OLE_LINK70"/>
      <w:r>
        <w:rPr>
          <w:rFonts w:ascii="Times New Roman" w:hAnsi="Times New Roman"/>
        </w:rPr>
        <w:t>生态修复工程各阶段工程部署信息表</w:t>
      </w:r>
      <w:bookmarkEnd w:id="235"/>
    </w:p>
    <w:tbl>
      <w:tblPr>
        <w:tblStyle w:val="42"/>
        <w:tblW w:w="9927" w:type="dxa"/>
        <w:jc w:val="center"/>
        <w:tblLayout w:type="fixed"/>
        <w:tblCellMar>
          <w:top w:w="0" w:type="dxa"/>
          <w:left w:w="108" w:type="dxa"/>
          <w:bottom w:w="0" w:type="dxa"/>
          <w:right w:w="108" w:type="dxa"/>
        </w:tblCellMar>
      </w:tblPr>
      <w:tblGrid>
        <w:gridCol w:w="854"/>
        <w:gridCol w:w="993"/>
        <w:gridCol w:w="992"/>
        <w:gridCol w:w="992"/>
        <w:gridCol w:w="911"/>
        <w:gridCol w:w="1215"/>
        <w:gridCol w:w="3970"/>
      </w:tblGrid>
      <w:tr w14:paraId="163402C9">
        <w:tblPrEx>
          <w:tblCellMar>
            <w:top w:w="0" w:type="dxa"/>
            <w:left w:w="108" w:type="dxa"/>
            <w:bottom w:w="0" w:type="dxa"/>
            <w:right w:w="108" w:type="dxa"/>
          </w:tblCellMar>
        </w:tblPrEx>
        <w:trPr>
          <w:tblHeader/>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14:paraId="3F9AD429">
            <w:pPr>
              <w:pStyle w:val="72"/>
              <w:rPr>
                <w:rFonts w:hint="default" w:ascii="Times New Roman" w:hAnsi="Times New Roman" w:cs="Times New Roman"/>
              </w:rPr>
            </w:pPr>
            <w:r>
              <w:rPr>
                <w:rFonts w:hint="default" w:ascii="Times New Roman" w:hAnsi="Times New Roman" w:cs="Times New Roman"/>
                <w:lang w:bidi="ar"/>
              </w:rPr>
              <w:t>阶段</w:t>
            </w:r>
          </w:p>
        </w:tc>
        <w:tc>
          <w:tcPr>
            <w:tcW w:w="993" w:type="dxa"/>
            <w:tcBorders>
              <w:top w:val="single" w:color="000000" w:sz="4" w:space="0"/>
              <w:left w:val="single" w:color="000000" w:sz="4" w:space="0"/>
              <w:bottom w:val="single" w:color="000000" w:sz="4" w:space="0"/>
              <w:right w:val="single" w:color="000000" w:sz="4" w:space="0"/>
            </w:tcBorders>
            <w:vAlign w:val="center"/>
          </w:tcPr>
          <w:p w14:paraId="31CA0C53">
            <w:pPr>
              <w:pStyle w:val="72"/>
              <w:rPr>
                <w:rFonts w:hint="default" w:ascii="Times New Roman" w:hAnsi="Times New Roman" w:cs="Times New Roman"/>
              </w:rPr>
            </w:pPr>
            <w:r>
              <w:rPr>
                <w:rFonts w:hint="default" w:ascii="Times New Roman" w:hAnsi="Times New Roman" w:cs="Times New Roman"/>
                <w:lang w:bidi="ar"/>
              </w:rPr>
              <w:t>生态修复分区</w:t>
            </w:r>
          </w:p>
        </w:tc>
        <w:tc>
          <w:tcPr>
            <w:tcW w:w="992" w:type="dxa"/>
            <w:tcBorders>
              <w:top w:val="single" w:color="000000" w:sz="4" w:space="0"/>
              <w:left w:val="single" w:color="000000" w:sz="4" w:space="0"/>
              <w:bottom w:val="single" w:color="000000" w:sz="4" w:space="0"/>
              <w:right w:val="single" w:color="000000" w:sz="4" w:space="0"/>
            </w:tcBorders>
            <w:vAlign w:val="center"/>
          </w:tcPr>
          <w:p w14:paraId="2F47A76B">
            <w:pPr>
              <w:pStyle w:val="72"/>
              <w:rPr>
                <w:rFonts w:hint="default" w:ascii="Times New Roman" w:hAnsi="Times New Roman" w:cs="Times New Roman"/>
              </w:rPr>
            </w:pPr>
            <w:r>
              <w:rPr>
                <w:rFonts w:hint="default" w:ascii="Times New Roman" w:hAnsi="Times New Roman" w:cs="Times New Roman"/>
                <w:lang w:bidi="ar"/>
              </w:rPr>
              <w:t>生态修复方向</w:t>
            </w:r>
          </w:p>
        </w:tc>
        <w:tc>
          <w:tcPr>
            <w:tcW w:w="992" w:type="dxa"/>
            <w:tcBorders>
              <w:top w:val="single" w:color="000000" w:sz="4" w:space="0"/>
              <w:left w:val="single" w:color="000000" w:sz="4" w:space="0"/>
              <w:bottom w:val="single" w:color="000000" w:sz="4" w:space="0"/>
              <w:right w:val="single" w:color="000000" w:sz="4" w:space="0"/>
            </w:tcBorders>
            <w:vAlign w:val="center"/>
          </w:tcPr>
          <w:p w14:paraId="6AEE707C">
            <w:pPr>
              <w:pStyle w:val="72"/>
              <w:rPr>
                <w:rFonts w:hint="default" w:ascii="Times New Roman" w:hAnsi="Times New Roman" w:cs="Times New Roman"/>
                <w:lang w:bidi="ar"/>
              </w:rPr>
            </w:pPr>
            <w:r>
              <w:rPr>
                <w:rFonts w:hint="default" w:ascii="Times New Roman" w:hAnsi="Times New Roman" w:cs="Times New Roman"/>
                <w:lang w:bidi="ar"/>
              </w:rPr>
              <w:t>生态修复面积</w:t>
            </w:r>
          </w:p>
          <w:p w14:paraId="585E433A">
            <w:pPr>
              <w:pStyle w:val="72"/>
              <w:rPr>
                <w:rFonts w:hint="default" w:ascii="Times New Roman" w:hAnsi="Times New Roman" w:cs="Times New Roman"/>
              </w:rPr>
            </w:pPr>
            <w:r>
              <w:rPr>
                <w:rFonts w:hint="default" w:ascii="Times New Roman" w:hAnsi="Times New Roman" w:cs="Times New Roman"/>
                <w:lang w:bidi="ar"/>
              </w:rPr>
              <w:t>(hm²)</w:t>
            </w:r>
          </w:p>
        </w:tc>
        <w:tc>
          <w:tcPr>
            <w:tcW w:w="911" w:type="dxa"/>
            <w:tcBorders>
              <w:top w:val="single" w:color="000000" w:sz="4" w:space="0"/>
              <w:left w:val="single" w:color="000000" w:sz="4" w:space="0"/>
              <w:bottom w:val="single" w:color="000000" w:sz="4" w:space="0"/>
              <w:right w:val="single" w:color="000000" w:sz="4" w:space="0"/>
            </w:tcBorders>
            <w:vAlign w:val="center"/>
          </w:tcPr>
          <w:p w14:paraId="3345DD6A">
            <w:pPr>
              <w:pStyle w:val="72"/>
              <w:rPr>
                <w:rFonts w:hint="default" w:ascii="Times New Roman" w:hAnsi="Times New Roman" w:cs="Times New Roman"/>
              </w:rPr>
            </w:pPr>
            <w:r>
              <w:rPr>
                <w:rFonts w:hint="default" w:ascii="Times New Roman" w:hAnsi="Times New Roman" w:cs="Times New Roman"/>
                <w:lang w:bidi="ar"/>
              </w:rPr>
              <w:t>生态修复阶段</w:t>
            </w:r>
          </w:p>
        </w:tc>
        <w:tc>
          <w:tcPr>
            <w:tcW w:w="1215" w:type="dxa"/>
            <w:tcBorders>
              <w:top w:val="single" w:color="000000" w:sz="4" w:space="0"/>
              <w:left w:val="single" w:color="000000" w:sz="4" w:space="0"/>
              <w:bottom w:val="single" w:color="000000" w:sz="4" w:space="0"/>
              <w:right w:val="single" w:color="000000" w:sz="4" w:space="0"/>
            </w:tcBorders>
            <w:vAlign w:val="center"/>
          </w:tcPr>
          <w:p w14:paraId="1A4C0114">
            <w:pPr>
              <w:pStyle w:val="72"/>
              <w:rPr>
                <w:rFonts w:hint="default" w:ascii="Times New Roman" w:hAnsi="Times New Roman" w:cs="Times New Roman"/>
                <w:lang w:bidi="ar"/>
              </w:rPr>
            </w:pPr>
            <w:r>
              <w:rPr>
                <w:rFonts w:hint="default" w:ascii="Times New Roman" w:hAnsi="Times New Roman" w:cs="Times New Roman"/>
                <w:lang w:bidi="ar"/>
              </w:rPr>
              <w:t>生态修复时间</w:t>
            </w:r>
          </w:p>
          <w:p w14:paraId="70D2205F">
            <w:pPr>
              <w:pStyle w:val="72"/>
              <w:rPr>
                <w:rFonts w:hint="default" w:ascii="Times New Roman" w:hAnsi="Times New Roman" w:cs="Times New Roman"/>
              </w:rPr>
            </w:pPr>
            <w:r>
              <w:rPr>
                <w:rFonts w:hint="default" w:ascii="Times New Roman" w:hAnsi="Times New Roman" w:cs="Times New Roman"/>
                <w:lang w:bidi="ar"/>
              </w:rPr>
              <w:t>（年度）</w:t>
            </w:r>
          </w:p>
        </w:tc>
        <w:tc>
          <w:tcPr>
            <w:tcW w:w="3970" w:type="dxa"/>
            <w:tcBorders>
              <w:top w:val="single" w:color="000000" w:sz="4" w:space="0"/>
              <w:left w:val="single" w:color="000000" w:sz="4" w:space="0"/>
              <w:bottom w:val="single" w:color="000000" w:sz="4" w:space="0"/>
              <w:right w:val="single" w:color="000000" w:sz="4" w:space="0"/>
            </w:tcBorders>
            <w:vAlign w:val="center"/>
          </w:tcPr>
          <w:p w14:paraId="4830E0FC">
            <w:pPr>
              <w:pStyle w:val="72"/>
              <w:rPr>
                <w:rFonts w:hint="default" w:ascii="Times New Roman" w:hAnsi="Times New Roman" w:cs="Times New Roman"/>
              </w:rPr>
            </w:pPr>
            <w:r>
              <w:rPr>
                <w:rFonts w:hint="default" w:ascii="Times New Roman" w:hAnsi="Times New Roman" w:cs="Times New Roman"/>
                <w:lang w:bidi="ar"/>
              </w:rPr>
              <w:t>工程量及内容</w:t>
            </w:r>
          </w:p>
        </w:tc>
      </w:tr>
      <w:tr w14:paraId="31144922">
        <w:tblPrEx>
          <w:tblCellMar>
            <w:top w:w="0" w:type="dxa"/>
            <w:left w:w="108" w:type="dxa"/>
            <w:bottom w:w="0" w:type="dxa"/>
            <w:right w:w="108" w:type="dxa"/>
          </w:tblCellMar>
        </w:tblPrEx>
        <w:trPr>
          <w:jc w:val="center"/>
        </w:trPr>
        <w:tc>
          <w:tcPr>
            <w:tcW w:w="854" w:type="dxa"/>
            <w:vMerge w:val="restart"/>
            <w:tcBorders>
              <w:top w:val="single" w:color="000000" w:sz="4" w:space="0"/>
              <w:left w:val="single" w:color="000000" w:sz="4" w:space="0"/>
              <w:bottom w:val="single" w:color="000000" w:sz="4" w:space="0"/>
              <w:right w:val="single" w:color="000000" w:sz="4" w:space="0"/>
            </w:tcBorders>
            <w:noWrap/>
            <w:vAlign w:val="center"/>
          </w:tcPr>
          <w:p w14:paraId="645B8753">
            <w:pPr>
              <w:pStyle w:val="72"/>
              <w:rPr>
                <w:rFonts w:hint="default" w:ascii="Times New Roman" w:hAnsi="Times New Roman" w:cs="Times New Roman"/>
              </w:rPr>
            </w:pPr>
            <w:r>
              <w:rPr>
                <w:rFonts w:hint="default" w:ascii="Times New Roman" w:hAnsi="Times New Roman" w:cs="Times New Roman"/>
                <w:lang w:bidi="ar"/>
              </w:rPr>
              <w:t>近三年</w:t>
            </w:r>
          </w:p>
        </w:tc>
        <w:tc>
          <w:tcPr>
            <w:tcW w:w="993" w:type="dxa"/>
            <w:tcBorders>
              <w:top w:val="single" w:color="000000" w:sz="4" w:space="0"/>
              <w:left w:val="single" w:color="000000" w:sz="4" w:space="0"/>
              <w:bottom w:val="single" w:color="000000" w:sz="4" w:space="0"/>
              <w:right w:val="single" w:color="000000" w:sz="4" w:space="0"/>
            </w:tcBorders>
            <w:vAlign w:val="center"/>
          </w:tcPr>
          <w:p w14:paraId="26635EBC">
            <w:pPr>
              <w:pStyle w:val="72"/>
              <w:rPr>
                <w:rFonts w:hint="default" w:ascii="Times New Roman" w:hAnsi="Times New Roman" w:cs="Times New Roman"/>
              </w:rPr>
            </w:pPr>
            <w:r>
              <w:rPr>
                <w:rFonts w:hint="default" w:ascii="Times New Roman" w:hAnsi="Times New Roman" w:cs="Times New Roman"/>
                <w:lang w:val="en-US" w:eastAsia="zh-CN"/>
              </w:rPr>
              <w:t>工业广场、490m平硐工业广场</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4D361522">
            <w:pPr>
              <w:pStyle w:val="72"/>
              <w:rPr>
                <w:rFonts w:hint="default" w:ascii="Times New Roman" w:hAnsi="Times New Roman" w:cs="Times New Roman"/>
              </w:rPr>
            </w:pPr>
            <w:r>
              <w:rPr>
                <w:rFonts w:hint="default" w:ascii="Times New Roman" w:hAnsi="Times New Roman" w:cs="Times New Roman"/>
              </w:rPr>
              <w:t>--</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2ED59417">
            <w:pPr>
              <w:pStyle w:val="72"/>
              <w:rPr>
                <w:rFonts w:hint="default" w:ascii="Times New Roman" w:hAnsi="Times New Roman" w:cs="Times New Roman"/>
              </w:rPr>
            </w:pPr>
            <w:r>
              <w:rPr>
                <w:rFonts w:hint="default" w:ascii="Times New Roman" w:hAnsi="Times New Roman" w:cs="Times New Roman"/>
              </w:rPr>
              <w:t>--</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529F0EEB">
            <w:pPr>
              <w:pStyle w:val="72"/>
              <w:rPr>
                <w:rFonts w:hint="default" w:ascii="Times New Roman" w:hAnsi="Times New Roman" w:cs="Times New Roman"/>
              </w:rPr>
            </w:pPr>
            <w:r>
              <w:rPr>
                <w:rFonts w:hint="default" w:ascii="Times New Roman" w:hAnsi="Times New Roman" w:cs="Times New Roman"/>
                <w:lang w:bidi="ar"/>
              </w:rPr>
              <w:t>生产期</w:t>
            </w:r>
          </w:p>
        </w:tc>
        <w:tc>
          <w:tcPr>
            <w:tcW w:w="1215" w:type="dxa"/>
            <w:tcBorders>
              <w:top w:val="single" w:color="000000" w:sz="4" w:space="0"/>
              <w:left w:val="single" w:color="000000" w:sz="4" w:space="0"/>
              <w:bottom w:val="single" w:color="000000" w:sz="4" w:space="0"/>
              <w:right w:val="single" w:color="000000" w:sz="4" w:space="0"/>
            </w:tcBorders>
            <w:noWrap/>
            <w:vAlign w:val="center"/>
          </w:tcPr>
          <w:p w14:paraId="3B0C4209">
            <w:pPr>
              <w:pStyle w:val="72"/>
              <w:rPr>
                <w:rFonts w:hint="default" w:ascii="Times New Roman" w:hAnsi="Times New Roman" w:cs="Times New Roman"/>
              </w:rPr>
            </w:pPr>
            <w:r>
              <w:rPr>
                <w:rFonts w:hint="default" w:ascii="Times New Roman" w:hAnsi="Times New Roman" w:cs="Times New Roman"/>
                <w:lang w:bidi="ar"/>
              </w:rPr>
              <w:t>2026</w:t>
            </w:r>
          </w:p>
        </w:tc>
        <w:tc>
          <w:tcPr>
            <w:tcW w:w="3970" w:type="dxa"/>
            <w:tcBorders>
              <w:top w:val="single" w:color="000000" w:sz="4" w:space="0"/>
              <w:left w:val="single" w:color="000000" w:sz="4" w:space="0"/>
              <w:bottom w:val="single" w:color="000000" w:sz="4" w:space="0"/>
              <w:right w:val="single" w:color="000000" w:sz="4" w:space="0"/>
            </w:tcBorders>
            <w:vAlign w:val="center"/>
          </w:tcPr>
          <w:p w14:paraId="604E25FD">
            <w:pPr>
              <w:pStyle w:val="72"/>
              <w:jc w:val="left"/>
              <w:rPr>
                <w:rFonts w:hint="default" w:ascii="Times New Roman" w:hAnsi="Times New Roman" w:cs="Times New Roman"/>
              </w:rPr>
            </w:pPr>
            <w:r>
              <w:rPr>
                <w:rFonts w:hint="default" w:ascii="Times New Roman" w:hAnsi="Times New Roman" w:cs="Times New Roman"/>
                <w:lang w:val="en-US" w:eastAsia="zh-CN" w:bidi="ar"/>
              </w:rPr>
              <w:t>表土剥离3504</w:t>
            </w:r>
            <w:r>
              <w:rPr>
                <w:rFonts w:hint="default" w:ascii="Times New Roman" w:hAnsi="Times New Roman" w:cs="Times New Roman"/>
              </w:rPr>
              <w:t>m³；</w:t>
            </w:r>
            <w:r>
              <w:rPr>
                <w:rFonts w:hint="default" w:ascii="Times New Roman" w:hAnsi="Times New Roman" w:cs="Times New Roman"/>
                <w:lang w:val="en-US" w:eastAsia="zh-CN"/>
              </w:rPr>
              <w:t>编织袋挡墙75</w:t>
            </w:r>
            <w:r>
              <w:rPr>
                <w:rFonts w:hint="default" w:ascii="Times New Roman" w:hAnsi="Times New Roman" w:cs="Times New Roman"/>
              </w:rPr>
              <w:t>m³；</w:t>
            </w:r>
            <w:r>
              <w:rPr>
                <w:rFonts w:hint="default" w:ascii="Times New Roman" w:hAnsi="Times New Roman" w:cs="Times New Roman"/>
                <w:lang w:val="en-US" w:eastAsia="zh-CN"/>
              </w:rPr>
              <w:t>表土堆场养护撒播紫花苜蓿0.3</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w:t>
            </w:r>
            <w:r>
              <w:rPr>
                <w:rFonts w:hint="default" w:ascii="Times New Roman" w:hAnsi="Times New Roman" w:cs="Times New Roman"/>
                <w:lang w:val="en-US" w:eastAsia="zh-CN"/>
              </w:rPr>
              <w:t>三处废弃平硐封堵浆砌石36</w:t>
            </w:r>
            <w:r>
              <w:rPr>
                <w:rFonts w:hint="default" w:ascii="Times New Roman" w:hAnsi="Times New Roman" w:cs="Times New Roman"/>
              </w:rPr>
              <w:t>m³；</w:t>
            </w:r>
            <w:r>
              <w:rPr>
                <w:rFonts w:hint="default" w:ascii="Times New Roman" w:hAnsi="Times New Roman" w:cs="Times New Roman"/>
                <w:lang w:val="en-US" w:eastAsia="zh-CN"/>
              </w:rPr>
              <w:t>平硐废石回填1800</w:t>
            </w:r>
            <w:r>
              <w:rPr>
                <w:rFonts w:hint="default" w:ascii="Times New Roman" w:hAnsi="Times New Roman" w:cs="Times New Roman"/>
              </w:rPr>
              <w:t>m³；</w:t>
            </w:r>
            <w:r>
              <w:rPr>
                <w:rFonts w:hint="default" w:ascii="Times New Roman" w:hAnsi="Times New Roman" w:cs="Times New Roman"/>
                <w:lang w:bidi="ar"/>
              </w:rPr>
              <w:t>矿山地质环境监测15次，土地资源生态监测2次，</w:t>
            </w:r>
            <w:r>
              <w:rPr>
                <w:rFonts w:hint="default" w:ascii="Times New Roman" w:hAnsi="Times New Roman" w:cs="Times New Roman"/>
              </w:rPr>
              <w:t>地下水水质监测2次，水量监测12次</w:t>
            </w:r>
            <w:r>
              <w:rPr>
                <w:rFonts w:hint="default" w:ascii="Times New Roman" w:hAnsi="Times New Roman" w:cs="Times New Roman"/>
                <w:lang w:bidi="ar"/>
              </w:rPr>
              <w:t>。</w:t>
            </w:r>
          </w:p>
        </w:tc>
      </w:tr>
      <w:tr w14:paraId="1A1C5D18">
        <w:tblPrEx>
          <w:tblCellMar>
            <w:top w:w="0" w:type="dxa"/>
            <w:left w:w="108" w:type="dxa"/>
            <w:bottom w:w="0" w:type="dxa"/>
            <w:right w:w="108" w:type="dxa"/>
          </w:tblCellMar>
        </w:tblPrEx>
        <w:trPr>
          <w:jc w:val="center"/>
        </w:trPr>
        <w:tc>
          <w:tcPr>
            <w:tcW w:w="854" w:type="dxa"/>
            <w:vMerge w:val="continue"/>
            <w:tcBorders>
              <w:top w:val="single" w:color="000000" w:sz="4" w:space="0"/>
              <w:left w:val="single" w:color="000000" w:sz="4" w:space="0"/>
              <w:bottom w:val="single" w:color="000000" w:sz="4" w:space="0"/>
              <w:right w:val="single" w:color="000000" w:sz="4" w:space="0"/>
            </w:tcBorders>
            <w:noWrap/>
            <w:vAlign w:val="center"/>
          </w:tcPr>
          <w:p w14:paraId="7246583E">
            <w:pPr>
              <w:pStyle w:val="72"/>
              <w:rPr>
                <w:rFonts w:hint="default" w:ascii="Times New Roman" w:hAnsi="Times New Roman" w:cs="Times New Roman"/>
              </w:rPr>
            </w:pP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0FB439E3">
            <w:pPr>
              <w:pStyle w:val="72"/>
              <w:rPr>
                <w:rFonts w:hint="default" w:ascii="Times New Roman" w:hAnsi="Times New Roman" w:cs="Times New Roman"/>
              </w:rPr>
            </w:pPr>
            <w:r>
              <w:rPr>
                <w:rFonts w:hint="default" w:ascii="Times New Roman" w:hAnsi="Times New Roman" w:cs="Times New Roman"/>
                <w:lang w:val="en-US" w:eastAsia="zh-CN"/>
              </w:rPr>
              <w:t>490m平硐工业广场</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101D7A95">
            <w:pPr>
              <w:pStyle w:val="72"/>
              <w:rPr>
                <w:rFonts w:hint="default" w:ascii="Times New Roman" w:hAnsi="Times New Roman" w:cs="Times New Roman"/>
              </w:rPr>
            </w:pPr>
            <w:r>
              <w:rPr>
                <w:rFonts w:hint="default" w:ascii="Times New Roman" w:hAnsi="Times New Roman" w:cs="Times New Roman"/>
              </w:rPr>
              <w:t>--</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55F453AF">
            <w:pPr>
              <w:pStyle w:val="72"/>
              <w:rPr>
                <w:rFonts w:hint="default" w:ascii="Times New Roman" w:hAnsi="Times New Roman" w:cs="Times New Roman"/>
              </w:rPr>
            </w:pPr>
            <w:r>
              <w:rPr>
                <w:rFonts w:hint="default" w:ascii="Times New Roman" w:hAnsi="Times New Roman" w:cs="Times New Roman"/>
              </w:rPr>
              <w:t>--</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193B4B33">
            <w:pPr>
              <w:pStyle w:val="72"/>
              <w:rPr>
                <w:rFonts w:hint="default" w:ascii="Times New Roman" w:hAnsi="Times New Roman" w:cs="Times New Roman"/>
              </w:rPr>
            </w:pPr>
            <w:r>
              <w:rPr>
                <w:rFonts w:hint="default" w:ascii="Times New Roman" w:hAnsi="Times New Roman" w:cs="Times New Roman"/>
                <w:lang w:bidi="ar"/>
              </w:rPr>
              <w:t>生产期</w:t>
            </w:r>
          </w:p>
        </w:tc>
        <w:tc>
          <w:tcPr>
            <w:tcW w:w="1215" w:type="dxa"/>
            <w:tcBorders>
              <w:top w:val="single" w:color="000000" w:sz="4" w:space="0"/>
              <w:left w:val="single" w:color="000000" w:sz="4" w:space="0"/>
              <w:bottom w:val="single" w:color="000000" w:sz="4" w:space="0"/>
              <w:right w:val="single" w:color="000000" w:sz="4" w:space="0"/>
            </w:tcBorders>
            <w:noWrap/>
            <w:vAlign w:val="center"/>
          </w:tcPr>
          <w:p w14:paraId="12C0A937">
            <w:pPr>
              <w:pStyle w:val="72"/>
              <w:rPr>
                <w:rFonts w:hint="default" w:ascii="Times New Roman" w:hAnsi="Times New Roman" w:cs="Times New Roman"/>
              </w:rPr>
            </w:pPr>
            <w:r>
              <w:rPr>
                <w:rFonts w:hint="default" w:ascii="Times New Roman" w:hAnsi="Times New Roman" w:cs="Times New Roman"/>
                <w:lang w:bidi="ar"/>
              </w:rPr>
              <w:t>2027</w:t>
            </w:r>
          </w:p>
        </w:tc>
        <w:tc>
          <w:tcPr>
            <w:tcW w:w="3970" w:type="dxa"/>
            <w:tcBorders>
              <w:top w:val="single" w:color="000000" w:sz="4" w:space="0"/>
              <w:left w:val="single" w:color="000000" w:sz="4" w:space="0"/>
              <w:bottom w:val="single" w:color="000000" w:sz="4" w:space="0"/>
              <w:right w:val="single" w:color="000000" w:sz="4" w:space="0"/>
            </w:tcBorders>
            <w:vAlign w:val="center"/>
          </w:tcPr>
          <w:p w14:paraId="0428539D">
            <w:pPr>
              <w:pStyle w:val="72"/>
              <w:jc w:val="left"/>
              <w:rPr>
                <w:rFonts w:hint="default" w:ascii="Times New Roman" w:hAnsi="Times New Roman" w:cs="Times New Roman"/>
              </w:rPr>
            </w:pPr>
            <w:r>
              <w:rPr>
                <w:rFonts w:hint="default" w:ascii="Times New Roman" w:hAnsi="Times New Roman" w:cs="Times New Roman"/>
                <w:lang w:val="en-US" w:eastAsia="zh-CN"/>
              </w:rPr>
              <w:t>表土堆场养护撒播紫花苜蓿0.3</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w:t>
            </w:r>
            <w:r>
              <w:rPr>
                <w:rFonts w:hint="default" w:ascii="Times New Roman" w:hAnsi="Times New Roman" w:cs="Times New Roman"/>
                <w:lang w:bidi="ar"/>
              </w:rPr>
              <w:t>矿山地质环境监测15次，土地资源生态监测2次，</w:t>
            </w:r>
            <w:r>
              <w:rPr>
                <w:rFonts w:hint="default" w:ascii="Times New Roman" w:hAnsi="Times New Roman" w:cs="Times New Roman"/>
              </w:rPr>
              <w:t>地下水水质监测2次，水量监测12次</w:t>
            </w:r>
            <w:r>
              <w:rPr>
                <w:rFonts w:hint="default" w:ascii="Times New Roman" w:hAnsi="Times New Roman" w:cs="Times New Roman"/>
                <w:lang w:bidi="ar"/>
              </w:rPr>
              <w:t>。</w:t>
            </w:r>
          </w:p>
        </w:tc>
      </w:tr>
      <w:tr w14:paraId="724CA9D0">
        <w:tblPrEx>
          <w:tblCellMar>
            <w:top w:w="0" w:type="dxa"/>
            <w:left w:w="108" w:type="dxa"/>
            <w:bottom w:w="0" w:type="dxa"/>
            <w:right w:w="108" w:type="dxa"/>
          </w:tblCellMar>
        </w:tblPrEx>
        <w:trPr>
          <w:jc w:val="center"/>
        </w:trPr>
        <w:tc>
          <w:tcPr>
            <w:tcW w:w="854" w:type="dxa"/>
            <w:vMerge w:val="continue"/>
            <w:tcBorders>
              <w:top w:val="single" w:color="000000" w:sz="4" w:space="0"/>
              <w:left w:val="single" w:color="000000" w:sz="4" w:space="0"/>
              <w:bottom w:val="single" w:color="000000" w:sz="4" w:space="0"/>
              <w:right w:val="single" w:color="000000" w:sz="4" w:space="0"/>
            </w:tcBorders>
            <w:noWrap/>
            <w:vAlign w:val="center"/>
          </w:tcPr>
          <w:p w14:paraId="4D2C17E4">
            <w:pPr>
              <w:pStyle w:val="72"/>
              <w:rPr>
                <w:rFonts w:hint="default" w:ascii="Times New Roman" w:hAnsi="Times New Roman" w:cs="Times New Roman"/>
              </w:rPr>
            </w:pP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2F9D6C2E">
            <w:pPr>
              <w:pStyle w:val="72"/>
              <w:rPr>
                <w:rFonts w:hint="default" w:ascii="Times New Roman" w:hAnsi="Times New Roman" w:cs="Times New Roman"/>
              </w:rPr>
            </w:pPr>
            <w:r>
              <w:rPr>
                <w:rFonts w:hint="default" w:ascii="Times New Roman" w:hAnsi="Times New Roman" w:cs="Times New Roman"/>
                <w:lang w:val="en-US" w:eastAsia="zh-CN"/>
              </w:rPr>
              <w:t>490m平硐工业广场</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454BFF32">
            <w:pPr>
              <w:pStyle w:val="72"/>
              <w:rPr>
                <w:rFonts w:hint="default" w:ascii="Times New Roman" w:hAnsi="Times New Roman" w:cs="Times New Roman"/>
              </w:rPr>
            </w:pPr>
            <w:r>
              <w:rPr>
                <w:rFonts w:hint="default" w:ascii="Times New Roman" w:hAnsi="Times New Roman" w:cs="Times New Roman"/>
              </w:rPr>
              <w:t>--</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0F89FCE1">
            <w:pPr>
              <w:pStyle w:val="72"/>
              <w:rPr>
                <w:rFonts w:hint="default" w:ascii="Times New Roman" w:hAnsi="Times New Roman" w:cs="Times New Roman"/>
              </w:rPr>
            </w:pPr>
            <w:r>
              <w:rPr>
                <w:rFonts w:hint="default" w:ascii="Times New Roman" w:hAnsi="Times New Roman" w:cs="Times New Roman"/>
              </w:rPr>
              <w:t>--</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3BB703CD">
            <w:pPr>
              <w:pStyle w:val="72"/>
              <w:rPr>
                <w:rFonts w:hint="default" w:ascii="Times New Roman" w:hAnsi="Times New Roman" w:cs="Times New Roman"/>
              </w:rPr>
            </w:pPr>
            <w:r>
              <w:rPr>
                <w:rFonts w:hint="default" w:ascii="Times New Roman" w:hAnsi="Times New Roman" w:cs="Times New Roman"/>
                <w:lang w:bidi="ar"/>
              </w:rPr>
              <w:t>生产期</w:t>
            </w:r>
          </w:p>
        </w:tc>
        <w:tc>
          <w:tcPr>
            <w:tcW w:w="1215" w:type="dxa"/>
            <w:tcBorders>
              <w:top w:val="single" w:color="000000" w:sz="4" w:space="0"/>
              <w:left w:val="single" w:color="000000" w:sz="4" w:space="0"/>
              <w:bottom w:val="single" w:color="000000" w:sz="4" w:space="0"/>
              <w:right w:val="single" w:color="000000" w:sz="4" w:space="0"/>
            </w:tcBorders>
            <w:noWrap/>
            <w:vAlign w:val="center"/>
          </w:tcPr>
          <w:p w14:paraId="7719B4EC">
            <w:pPr>
              <w:pStyle w:val="72"/>
              <w:rPr>
                <w:rFonts w:hint="default" w:ascii="Times New Roman" w:hAnsi="Times New Roman" w:cs="Times New Roman"/>
              </w:rPr>
            </w:pPr>
            <w:r>
              <w:rPr>
                <w:rFonts w:hint="default" w:ascii="Times New Roman" w:hAnsi="Times New Roman" w:cs="Times New Roman"/>
                <w:lang w:bidi="ar"/>
              </w:rPr>
              <w:t>2028</w:t>
            </w:r>
          </w:p>
        </w:tc>
        <w:tc>
          <w:tcPr>
            <w:tcW w:w="3970" w:type="dxa"/>
            <w:tcBorders>
              <w:top w:val="single" w:color="000000" w:sz="4" w:space="0"/>
              <w:left w:val="single" w:color="000000" w:sz="4" w:space="0"/>
              <w:bottom w:val="single" w:color="000000" w:sz="4" w:space="0"/>
              <w:right w:val="single" w:color="000000" w:sz="4" w:space="0"/>
            </w:tcBorders>
            <w:vAlign w:val="center"/>
          </w:tcPr>
          <w:p w14:paraId="303EBFB1">
            <w:pPr>
              <w:pStyle w:val="72"/>
              <w:jc w:val="left"/>
              <w:rPr>
                <w:rFonts w:hint="default" w:ascii="Times New Roman" w:hAnsi="Times New Roman" w:cs="Times New Roman"/>
              </w:rPr>
            </w:pPr>
            <w:r>
              <w:rPr>
                <w:rFonts w:hint="default" w:ascii="Times New Roman" w:hAnsi="Times New Roman" w:cs="Times New Roman"/>
                <w:lang w:val="en-US" w:eastAsia="zh-CN"/>
              </w:rPr>
              <w:t>表土堆场养护撒播紫花苜蓿0.3</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w:t>
            </w:r>
            <w:r>
              <w:rPr>
                <w:rFonts w:hint="default" w:ascii="Times New Roman" w:hAnsi="Times New Roman" w:cs="Times New Roman"/>
                <w:lang w:bidi="ar"/>
              </w:rPr>
              <w:t>矿山地质环境监测15次，土地资源生态监测2次，</w:t>
            </w:r>
            <w:r>
              <w:rPr>
                <w:rFonts w:hint="default" w:ascii="Times New Roman" w:hAnsi="Times New Roman" w:cs="Times New Roman"/>
              </w:rPr>
              <w:t>地下水水质监测2次，水量监测12次</w:t>
            </w:r>
            <w:r>
              <w:rPr>
                <w:rFonts w:hint="default" w:ascii="Times New Roman" w:hAnsi="Times New Roman" w:cs="Times New Roman"/>
                <w:lang w:bidi="ar"/>
              </w:rPr>
              <w:t>。</w:t>
            </w:r>
          </w:p>
        </w:tc>
      </w:tr>
      <w:tr w14:paraId="1DB37F9B">
        <w:tblPrEx>
          <w:tblCellMar>
            <w:top w:w="0" w:type="dxa"/>
            <w:left w:w="108" w:type="dxa"/>
            <w:bottom w:w="0" w:type="dxa"/>
            <w:right w:w="108" w:type="dxa"/>
          </w:tblCellMar>
        </w:tblPrEx>
        <w:trPr>
          <w:trHeight w:val="441" w:hRule="atLeast"/>
          <w:jc w:val="center"/>
        </w:trPr>
        <w:tc>
          <w:tcPr>
            <w:tcW w:w="854" w:type="dxa"/>
            <w:tcBorders>
              <w:top w:val="single" w:color="auto" w:sz="4" w:space="0"/>
              <w:left w:val="single" w:color="auto" w:sz="4" w:space="0"/>
              <w:right w:val="single" w:color="auto" w:sz="4" w:space="0"/>
            </w:tcBorders>
            <w:noWrap/>
            <w:vAlign w:val="center"/>
          </w:tcPr>
          <w:p w14:paraId="02E70598">
            <w:pPr>
              <w:pStyle w:val="72"/>
              <w:rPr>
                <w:rFonts w:hint="default" w:ascii="Times New Roman" w:hAnsi="Times New Roman" w:cs="Times New Roman"/>
                <w:szCs w:val="21"/>
              </w:rPr>
            </w:pPr>
            <w:r>
              <w:rPr>
                <w:rFonts w:hint="default" w:ascii="Times New Roman" w:hAnsi="Times New Roman" w:cs="Times New Roman"/>
                <w:szCs w:val="21"/>
              </w:rPr>
              <w:t>中远期</w:t>
            </w:r>
          </w:p>
        </w:tc>
        <w:tc>
          <w:tcPr>
            <w:tcW w:w="993" w:type="dxa"/>
            <w:tcBorders>
              <w:top w:val="single" w:color="auto" w:sz="4" w:space="0"/>
              <w:left w:val="single" w:color="auto" w:sz="4" w:space="0"/>
              <w:right w:val="single" w:color="auto" w:sz="4" w:space="0"/>
            </w:tcBorders>
            <w:noWrap/>
            <w:vAlign w:val="center"/>
          </w:tcPr>
          <w:p w14:paraId="73CE4253">
            <w:pPr>
              <w:pStyle w:val="72"/>
              <w:rPr>
                <w:rFonts w:hint="default" w:ascii="Times New Roman" w:hAnsi="Times New Roman" w:eastAsia="仿宋" w:cs="Times New Roman"/>
                <w:szCs w:val="21"/>
                <w:lang w:eastAsia="zh-CN" w:bidi="ar"/>
              </w:rPr>
            </w:pPr>
            <w:r>
              <w:rPr>
                <w:rFonts w:hint="default" w:ascii="Times New Roman" w:hAnsi="Times New Roman" w:cs="Times New Roman"/>
                <w:lang w:bidi="ar"/>
              </w:rPr>
              <w:t>全区</w:t>
            </w:r>
          </w:p>
        </w:tc>
        <w:tc>
          <w:tcPr>
            <w:tcW w:w="992" w:type="dxa"/>
            <w:tcBorders>
              <w:top w:val="single" w:color="auto" w:sz="4" w:space="0"/>
              <w:left w:val="single" w:color="auto" w:sz="4" w:space="0"/>
              <w:right w:val="single" w:color="auto" w:sz="4" w:space="0"/>
            </w:tcBorders>
            <w:noWrap/>
            <w:vAlign w:val="center"/>
          </w:tcPr>
          <w:p w14:paraId="4AD36D81">
            <w:pPr>
              <w:pStyle w:val="72"/>
              <w:ind w:firstLine="0" w:firstLineChars="0"/>
              <w:rPr>
                <w:rFonts w:hint="default" w:ascii="Times New Roman" w:hAnsi="Times New Roman" w:cs="Times New Roman"/>
                <w:szCs w:val="21"/>
                <w:lang w:bidi="ar"/>
              </w:rPr>
            </w:pPr>
            <w:r>
              <w:rPr>
                <w:rFonts w:hint="default" w:ascii="Times New Roman" w:hAnsi="Times New Roman" w:cs="Times New Roman"/>
              </w:rPr>
              <w:t>--</w:t>
            </w:r>
          </w:p>
        </w:tc>
        <w:tc>
          <w:tcPr>
            <w:tcW w:w="992" w:type="dxa"/>
            <w:tcBorders>
              <w:top w:val="single" w:color="auto" w:sz="4" w:space="0"/>
              <w:left w:val="single" w:color="auto" w:sz="4" w:space="0"/>
              <w:right w:val="single" w:color="auto" w:sz="4" w:space="0"/>
            </w:tcBorders>
            <w:noWrap/>
            <w:vAlign w:val="center"/>
          </w:tcPr>
          <w:p w14:paraId="2C1CC84E">
            <w:pPr>
              <w:pStyle w:val="72"/>
              <w:ind w:firstLine="0" w:firstLineChars="0"/>
              <w:rPr>
                <w:rFonts w:hint="default" w:ascii="Times New Roman" w:hAnsi="Times New Roman" w:eastAsia="仿宋" w:cs="Times New Roman"/>
                <w:szCs w:val="21"/>
                <w:lang w:eastAsia="zh-CN" w:bidi="ar"/>
              </w:rPr>
            </w:pPr>
            <w:r>
              <w:rPr>
                <w:rFonts w:hint="default" w:ascii="Times New Roman" w:hAnsi="Times New Roman" w:cs="Times New Roman"/>
              </w:rPr>
              <w:t>--</w:t>
            </w:r>
          </w:p>
        </w:tc>
        <w:tc>
          <w:tcPr>
            <w:tcW w:w="911" w:type="dxa"/>
            <w:tcBorders>
              <w:top w:val="single" w:color="auto" w:sz="4" w:space="0"/>
              <w:left w:val="single" w:color="auto" w:sz="4" w:space="0"/>
              <w:right w:val="single" w:color="auto" w:sz="4" w:space="0"/>
            </w:tcBorders>
            <w:noWrap/>
            <w:vAlign w:val="center"/>
          </w:tcPr>
          <w:p w14:paraId="673D1507">
            <w:pPr>
              <w:pStyle w:val="72"/>
              <w:rPr>
                <w:rFonts w:hint="default" w:ascii="Times New Roman" w:hAnsi="Times New Roman" w:cs="Times New Roman"/>
                <w:szCs w:val="21"/>
              </w:rPr>
            </w:pPr>
            <w:r>
              <w:rPr>
                <w:rFonts w:hint="default" w:ascii="Times New Roman" w:hAnsi="Times New Roman" w:cs="Times New Roman"/>
                <w:szCs w:val="21"/>
              </w:rPr>
              <w:t>生产期</w:t>
            </w:r>
          </w:p>
        </w:tc>
        <w:tc>
          <w:tcPr>
            <w:tcW w:w="1215" w:type="dxa"/>
            <w:tcBorders>
              <w:top w:val="single" w:color="auto" w:sz="4" w:space="0"/>
              <w:left w:val="single" w:color="auto" w:sz="4" w:space="0"/>
              <w:right w:val="single" w:color="auto" w:sz="4" w:space="0"/>
            </w:tcBorders>
            <w:noWrap/>
            <w:vAlign w:val="center"/>
          </w:tcPr>
          <w:p w14:paraId="2D5C8C54">
            <w:pPr>
              <w:pStyle w:val="72"/>
              <w:rPr>
                <w:rFonts w:hint="default" w:ascii="Times New Roman" w:hAnsi="Times New Roman" w:eastAsia="仿宋" w:cs="Times New Roman"/>
                <w:szCs w:val="21"/>
                <w:lang w:val="en-US" w:eastAsia="zh-CN"/>
              </w:rPr>
            </w:pPr>
            <w:r>
              <w:rPr>
                <w:rFonts w:hint="default" w:ascii="Times New Roman" w:hAnsi="Times New Roman" w:cs="Times New Roman"/>
                <w:szCs w:val="21"/>
              </w:rPr>
              <w:t>2029-20</w:t>
            </w:r>
            <w:r>
              <w:rPr>
                <w:rFonts w:hint="default" w:ascii="Times New Roman" w:hAnsi="Times New Roman" w:cs="Times New Roman"/>
                <w:szCs w:val="21"/>
                <w:lang w:val="en-US" w:eastAsia="zh-CN"/>
              </w:rPr>
              <w:t>34</w:t>
            </w:r>
          </w:p>
        </w:tc>
        <w:tc>
          <w:tcPr>
            <w:tcW w:w="3970" w:type="dxa"/>
            <w:tcBorders>
              <w:top w:val="single" w:color="auto" w:sz="4" w:space="0"/>
              <w:left w:val="single" w:color="auto" w:sz="4" w:space="0"/>
              <w:bottom w:val="single" w:color="auto" w:sz="4" w:space="0"/>
              <w:right w:val="single" w:color="auto" w:sz="4" w:space="0"/>
            </w:tcBorders>
            <w:vAlign w:val="center"/>
          </w:tcPr>
          <w:p w14:paraId="528043BD">
            <w:pPr>
              <w:pStyle w:val="72"/>
              <w:jc w:val="left"/>
              <w:rPr>
                <w:rFonts w:hint="default" w:ascii="Times New Roman" w:hAnsi="Times New Roman" w:cs="Times New Roman"/>
                <w:szCs w:val="21"/>
              </w:rPr>
            </w:pPr>
            <w:r>
              <w:rPr>
                <w:rFonts w:hint="default" w:ascii="Times New Roman" w:hAnsi="Times New Roman" w:cs="Times New Roman"/>
                <w:lang w:val="en-US" w:eastAsia="zh-CN"/>
              </w:rPr>
              <w:t>表土堆场养护撒播紫花苜蓿1.5</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；地</w:t>
            </w:r>
            <w:r>
              <w:rPr>
                <w:rFonts w:hint="default" w:ascii="Times New Roman" w:hAnsi="Times New Roman" w:cs="Times New Roman"/>
                <w:lang w:bidi="ar"/>
              </w:rPr>
              <w:t>矿山地质环境监测</w:t>
            </w:r>
            <w:r>
              <w:rPr>
                <w:rFonts w:hint="default" w:ascii="Times New Roman" w:hAnsi="Times New Roman" w:cs="Times New Roman"/>
                <w:lang w:val="en-US" w:eastAsia="zh-CN" w:bidi="ar"/>
              </w:rPr>
              <w:t>75</w:t>
            </w:r>
            <w:r>
              <w:rPr>
                <w:rFonts w:hint="default" w:ascii="Times New Roman" w:hAnsi="Times New Roman" w:cs="Times New Roman"/>
                <w:lang w:bidi="ar"/>
              </w:rPr>
              <w:t>次，土地资源生态监测</w:t>
            </w:r>
            <w:r>
              <w:rPr>
                <w:rFonts w:hint="default" w:ascii="Times New Roman" w:hAnsi="Times New Roman" w:cs="Times New Roman"/>
                <w:lang w:val="en-US" w:eastAsia="zh-CN" w:bidi="ar"/>
              </w:rPr>
              <w:t>10</w:t>
            </w:r>
            <w:r>
              <w:rPr>
                <w:rFonts w:hint="default" w:ascii="Times New Roman" w:hAnsi="Times New Roman" w:cs="Times New Roman"/>
                <w:lang w:bidi="ar"/>
              </w:rPr>
              <w:t>次，</w:t>
            </w:r>
            <w:r>
              <w:rPr>
                <w:rFonts w:hint="default" w:ascii="Times New Roman" w:hAnsi="Times New Roman" w:cs="Times New Roman"/>
              </w:rPr>
              <w:t>地下水水质监测</w:t>
            </w:r>
            <w:r>
              <w:rPr>
                <w:rFonts w:hint="default" w:ascii="Times New Roman" w:hAnsi="Times New Roman" w:cs="Times New Roman"/>
                <w:lang w:val="en-US" w:eastAsia="zh-CN"/>
              </w:rPr>
              <w:t>10</w:t>
            </w:r>
            <w:r>
              <w:rPr>
                <w:rFonts w:hint="default" w:ascii="Times New Roman" w:hAnsi="Times New Roman" w:cs="Times New Roman"/>
              </w:rPr>
              <w:t>次，水量监测</w:t>
            </w:r>
            <w:r>
              <w:rPr>
                <w:rFonts w:hint="default" w:ascii="Times New Roman" w:hAnsi="Times New Roman" w:cs="Times New Roman"/>
                <w:lang w:val="en-US" w:eastAsia="zh-CN"/>
              </w:rPr>
              <w:t>60</w:t>
            </w:r>
            <w:r>
              <w:rPr>
                <w:rFonts w:hint="default" w:ascii="Times New Roman" w:hAnsi="Times New Roman" w:cs="Times New Roman"/>
              </w:rPr>
              <w:t>次</w:t>
            </w:r>
            <w:r>
              <w:rPr>
                <w:rFonts w:hint="default" w:ascii="Times New Roman" w:hAnsi="Times New Roman" w:cs="Times New Roman"/>
                <w:lang w:bidi="ar"/>
              </w:rPr>
              <w:t>。</w:t>
            </w:r>
          </w:p>
        </w:tc>
      </w:tr>
      <w:tr w14:paraId="729CFC0B">
        <w:tblPrEx>
          <w:tblCellMar>
            <w:top w:w="0" w:type="dxa"/>
            <w:left w:w="108" w:type="dxa"/>
            <w:bottom w:w="0" w:type="dxa"/>
            <w:right w:w="108" w:type="dxa"/>
          </w:tblCellMar>
        </w:tblPrEx>
        <w:trPr>
          <w:trHeight w:val="1633" w:hRule="atLeast"/>
          <w:jc w:val="center"/>
        </w:trPr>
        <w:tc>
          <w:tcPr>
            <w:tcW w:w="854" w:type="dxa"/>
            <w:tcBorders>
              <w:top w:val="single" w:color="auto" w:sz="4" w:space="0"/>
              <w:left w:val="single" w:color="auto" w:sz="4" w:space="0"/>
              <w:right w:val="single" w:color="auto" w:sz="4" w:space="0"/>
            </w:tcBorders>
            <w:noWrap/>
            <w:vAlign w:val="center"/>
          </w:tcPr>
          <w:p w14:paraId="34129E38">
            <w:pPr>
              <w:pStyle w:val="72"/>
              <w:rPr>
                <w:rFonts w:hint="default" w:ascii="Times New Roman" w:hAnsi="Times New Roman" w:cs="Times New Roman"/>
                <w:szCs w:val="21"/>
              </w:rPr>
            </w:pPr>
            <w:r>
              <w:rPr>
                <w:rFonts w:hint="default" w:ascii="Times New Roman" w:hAnsi="Times New Roman" w:cs="Times New Roman"/>
                <w:szCs w:val="21"/>
              </w:rPr>
              <w:t>闭坑生态修复期</w:t>
            </w:r>
          </w:p>
        </w:tc>
        <w:tc>
          <w:tcPr>
            <w:tcW w:w="993" w:type="dxa"/>
            <w:tcBorders>
              <w:top w:val="single" w:color="auto" w:sz="4" w:space="0"/>
              <w:left w:val="single" w:color="auto" w:sz="4" w:space="0"/>
              <w:right w:val="single" w:color="auto" w:sz="4" w:space="0"/>
            </w:tcBorders>
            <w:noWrap/>
            <w:vAlign w:val="center"/>
          </w:tcPr>
          <w:p w14:paraId="494CA1DC">
            <w:pPr>
              <w:pStyle w:val="72"/>
              <w:rPr>
                <w:rFonts w:hint="default" w:ascii="Times New Roman" w:hAnsi="Times New Roman" w:cs="Times New Roman"/>
                <w:szCs w:val="21"/>
                <w:lang w:bidi="ar"/>
              </w:rPr>
            </w:pPr>
            <w:r>
              <w:rPr>
                <w:rFonts w:hint="default" w:ascii="Times New Roman" w:hAnsi="Times New Roman" w:cs="Times New Roman"/>
                <w:lang w:bidi="ar"/>
              </w:rPr>
              <w:t>全区</w:t>
            </w:r>
          </w:p>
        </w:tc>
        <w:tc>
          <w:tcPr>
            <w:tcW w:w="992" w:type="dxa"/>
            <w:tcBorders>
              <w:top w:val="single" w:color="auto" w:sz="4" w:space="0"/>
              <w:left w:val="single" w:color="auto" w:sz="4" w:space="0"/>
              <w:right w:val="single" w:color="auto" w:sz="4" w:space="0"/>
            </w:tcBorders>
            <w:noWrap/>
            <w:vAlign w:val="center"/>
          </w:tcPr>
          <w:p w14:paraId="1BEA54C2">
            <w:pPr>
              <w:pStyle w:val="72"/>
              <w:rPr>
                <w:rFonts w:hint="default" w:ascii="Times New Roman" w:hAnsi="Times New Roman" w:eastAsia="仿宋" w:cs="Times New Roman"/>
                <w:szCs w:val="21"/>
                <w:lang w:eastAsia="zh-CN" w:bidi="ar"/>
              </w:rPr>
            </w:pPr>
            <w:r>
              <w:rPr>
                <w:rFonts w:hint="default" w:ascii="Times New Roman" w:hAnsi="Times New Roman" w:cs="Times New Roman"/>
                <w:szCs w:val="21"/>
                <w:lang w:val="en-US" w:eastAsia="zh-CN" w:bidi="ar"/>
              </w:rPr>
              <w:t>乔木林地</w:t>
            </w:r>
          </w:p>
        </w:tc>
        <w:tc>
          <w:tcPr>
            <w:tcW w:w="992" w:type="dxa"/>
            <w:tcBorders>
              <w:top w:val="single" w:color="auto" w:sz="4" w:space="0"/>
              <w:left w:val="single" w:color="auto" w:sz="4" w:space="0"/>
              <w:bottom w:val="single" w:color="auto" w:sz="4" w:space="0"/>
              <w:right w:val="single" w:color="auto" w:sz="4" w:space="0"/>
            </w:tcBorders>
            <w:noWrap/>
            <w:vAlign w:val="center"/>
          </w:tcPr>
          <w:p w14:paraId="4B3E882E">
            <w:pPr>
              <w:pStyle w:val="72"/>
              <w:rPr>
                <w:rFonts w:hint="default" w:ascii="Times New Roman" w:hAnsi="Times New Roman" w:eastAsia="宋体" w:cs="Times New Roman"/>
                <w:szCs w:val="21"/>
                <w:lang w:val="en-US" w:eastAsia="zh-CN" w:bidi="ar"/>
              </w:rPr>
            </w:pPr>
            <w:r>
              <w:rPr>
                <w:rFonts w:hint="default" w:ascii="Times New Roman" w:hAnsi="Times New Roman" w:cs="Times New Roman"/>
                <w:szCs w:val="21"/>
                <w:lang w:val="en-US" w:eastAsia="zh-CN"/>
              </w:rPr>
              <w:t>1.5288</w:t>
            </w:r>
          </w:p>
        </w:tc>
        <w:tc>
          <w:tcPr>
            <w:tcW w:w="911" w:type="dxa"/>
            <w:tcBorders>
              <w:top w:val="single" w:color="auto" w:sz="4" w:space="0"/>
              <w:left w:val="single" w:color="auto" w:sz="4" w:space="0"/>
              <w:right w:val="single" w:color="auto" w:sz="4" w:space="0"/>
            </w:tcBorders>
            <w:noWrap/>
            <w:vAlign w:val="center"/>
          </w:tcPr>
          <w:p w14:paraId="4570723B">
            <w:pPr>
              <w:pStyle w:val="72"/>
              <w:rPr>
                <w:rFonts w:hint="default" w:ascii="Times New Roman" w:hAnsi="Times New Roman" w:cs="Times New Roman"/>
                <w:szCs w:val="21"/>
                <w:lang w:bidi="ar"/>
              </w:rPr>
            </w:pPr>
            <w:r>
              <w:rPr>
                <w:rFonts w:hint="default" w:ascii="Times New Roman" w:hAnsi="Times New Roman" w:cs="Times New Roman"/>
                <w:szCs w:val="21"/>
                <w:lang w:bidi="ar"/>
              </w:rPr>
              <w:t>闭矿期</w:t>
            </w:r>
          </w:p>
        </w:tc>
        <w:tc>
          <w:tcPr>
            <w:tcW w:w="1215" w:type="dxa"/>
            <w:tcBorders>
              <w:top w:val="single" w:color="auto" w:sz="4" w:space="0"/>
              <w:left w:val="single" w:color="auto" w:sz="4" w:space="0"/>
              <w:right w:val="single" w:color="auto" w:sz="4" w:space="0"/>
            </w:tcBorders>
            <w:noWrap/>
            <w:vAlign w:val="center"/>
          </w:tcPr>
          <w:p w14:paraId="05DB2DA2">
            <w:pPr>
              <w:pStyle w:val="72"/>
              <w:rPr>
                <w:rFonts w:hint="default" w:ascii="Times New Roman" w:hAnsi="Times New Roman" w:eastAsia="仿宋" w:cs="Times New Roman"/>
                <w:szCs w:val="21"/>
                <w:lang w:val="en-US" w:eastAsia="zh-CN"/>
              </w:rPr>
            </w:pPr>
            <w:r>
              <w:rPr>
                <w:rFonts w:hint="default" w:ascii="Times New Roman" w:hAnsi="Times New Roman" w:cs="Times New Roman"/>
                <w:szCs w:val="21"/>
                <w:lang w:val="en-US" w:eastAsia="zh-CN"/>
              </w:rPr>
              <w:t>2034-2035</w:t>
            </w:r>
          </w:p>
        </w:tc>
        <w:tc>
          <w:tcPr>
            <w:tcW w:w="3970" w:type="dxa"/>
            <w:tcBorders>
              <w:top w:val="single" w:color="auto" w:sz="4" w:space="0"/>
              <w:left w:val="single" w:color="auto" w:sz="4" w:space="0"/>
              <w:right w:val="single" w:color="auto" w:sz="4" w:space="0"/>
            </w:tcBorders>
            <w:vAlign w:val="center"/>
          </w:tcPr>
          <w:p w14:paraId="710B8E21">
            <w:pPr>
              <w:pStyle w:val="72"/>
              <w:jc w:val="left"/>
              <w:rPr>
                <w:rFonts w:hint="default" w:ascii="Times New Roman" w:hAnsi="Times New Roman" w:eastAsia="仿宋" w:cs="Times New Roman"/>
                <w:lang w:val="en-US" w:eastAsia="zh-CN"/>
              </w:rPr>
            </w:pPr>
            <w:r>
              <w:rPr>
                <w:rFonts w:hint="default" w:ascii="Times New Roman" w:hAnsi="Times New Roman" w:cs="Times New Roman"/>
                <w:lang w:val="en-US" w:eastAsia="zh-CN"/>
              </w:rPr>
              <w:t>地裂缝充填270</w:t>
            </w:r>
            <w:r>
              <w:rPr>
                <w:rFonts w:hint="default" w:ascii="Times New Roman" w:hAnsi="Times New Roman" w:cs="Times New Roman"/>
              </w:rPr>
              <w:t>m³；</w:t>
            </w:r>
            <w:r>
              <w:rPr>
                <w:rFonts w:hint="default" w:ascii="Times New Roman" w:hAnsi="Times New Roman" w:cs="Times New Roman"/>
                <w:lang w:val="en-US" w:eastAsia="zh-CN"/>
              </w:rPr>
              <w:t>三处废弃平硐封堵浆砌石52.94</w:t>
            </w:r>
            <w:r>
              <w:rPr>
                <w:rFonts w:hint="default" w:ascii="Times New Roman" w:hAnsi="Times New Roman" w:cs="Times New Roman"/>
              </w:rPr>
              <w:t>m³；</w:t>
            </w:r>
            <w:r>
              <w:rPr>
                <w:rFonts w:hint="default" w:ascii="Times New Roman" w:hAnsi="Times New Roman" w:cs="Times New Roman"/>
                <w:lang w:val="en-US" w:eastAsia="zh-CN"/>
              </w:rPr>
              <w:t>平硐废石回填1800</w:t>
            </w:r>
            <w:r>
              <w:rPr>
                <w:rFonts w:hint="default" w:ascii="Times New Roman" w:hAnsi="Times New Roman" w:cs="Times New Roman"/>
              </w:rPr>
              <w:t>m³；</w:t>
            </w:r>
            <w:r>
              <w:rPr>
                <w:rFonts w:hint="default" w:ascii="Times New Roman" w:hAnsi="Times New Roman" w:cs="Times New Roman"/>
                <w:lang w:val="en-US" w:eastAsia="zh-CN"/>
              </w:rPr>
              <w:t>场地平整2336</w:t>
            </w:r>
            <w:r>
              <w:rPr>
                <w:rFonts w:hint="default" w:ascii="Times New Roman" w:hAnsi="Times New Roman" w:cs="Times New Roman"/>
              </w:rPr>
              <w:t>m³；</w:t>
            </w:r>
            <w:r>
              <w:rPr>
                <w:rFonts w:hint="default" w:ascii="Times New Roman" w:hAnsi="Times New Roman" w:cs="Times New Roman"/>
                <w:lang w:val="en-US" w:eastAsia="zh-CN"/>
              </w:rPr>
              <w:t>购买表土1082.4</w:t>
            </w:r>
            <w:r>
              <w:rPr>
                <w:rFonts w:hint="default" w:ascii="Times New Roman" w:hAnsi="Times New Roman" w:cs="Times New Roman"/>
              </w:rPr>
              <w:t>m³；</w:t>
            </w:r>
            <w:r>
              <w:rPr>
                <w:rFonts w:hint="default" w:ascii="Times New Roman" w:hAnsi="Times New Roman" w:cs="Times New Roman"/>
                <w:lang w:val="en-US" w:eastAsia="zh-CN"/>
              </w:rPr>
              <w:t>表土回填4586.4</w:t>
            </w:r>
            <w:r>
              <w:rPr>
                <w:rFonts w:hint="default" w:ascii="Times New Roman" w:hAnsi="Times New Roman" w:cs="Times New Roman"/>
              </w:rPr>
              <w:t>m³；</w:t>
            </w:r>
            <w:r>
              <w:rPr>
                <w:rFonts w:hint="default" w:ascii="Times New Roman" w:hAnsi="Times New Roman" w:cs="Times New Roman"/>
                <w:lang w:val="en-US" w:eastAsia="zh-CN"/>
              </w:rPr>
              <w:t>栽植乔木3822株；</w:t>
            </w:r>
          </w:p>
          <w:p w14:paraId="44725E6B">
            <w:pPr>
              <w:pStyle w:val="72"/>
              <w:jc w:val="left"/>
              <w:rPr>
                <w:rFonts w:hint="default" w:ascii="Times New Roman" w:hAnsi="Times New Roman" w:cs="Times New Roman"/>
                <w:szCs w:val="21"/>
                <w:lang w:bidi="ar"/>
              </w:rPr>
            </w:pPr>
            <w:r>
              <w:rPr>
                <w:rFonts w:hint="default" w:ascii="Times New Roman" w:hAnsi="Times New Roman" w:cs="Times New Roman"/>
              </w:rPr>
              <w:t>建筑拆除</w:t>
            </w:r>
            <w:r>
              <w:rPr>
                <w:rFonts w:hint="default" w:ascii="Times New Roman" w:hAnsi="Times New Roman" w:cs="Times New Roman"/>
                <w:lang w:val="en-US" w:eastAsia="zh-CN"/>
              </w:rPr>
              <w:t>1692</w:t>
            </w:r>
            <w:r>
              <w:rPr>
                <w:rFonts w:hint="default" w:ascii="Times New Roman" w:hAnsi="Times New Roman" w:cs="Times New Roman"/>
              </w:rPr>
              <w:t>m³；硬覆盖清理</w:t>
            </w:r>
            <w:r>
              <w:rPr>
                <w:rFonts w:hint="default" w:ascii="Times New Roman" w:hAnsi="Times New Roman" w:cs="Times New Roman"/>
                <w:lang w:val="en-US" w:eastAsia="zh-CN"/>
              </w:rPr>
              <w:t>3057.6</w:t>
            </w:r>
            <w:r>
              <w:rPr>
                <w:rFonts w:hint="default" w:ascii="Times New Roman" w:hAnsi="Times New Roman" w:cs="Times New Roman"/>
              </w:rPr>
              <w:t>m³；</w:t>
            </w:r>
            <w:r>
              <w:rPr>
                <w:rFonts w:hint="default" w:ascii="Times New Roman" w:hAnsi="Times New Roman" w:cs="Times New Roman"/>
                <w:lang w:val="en-US" w:eastAsia="zh-CN"/>
              </w:rPr>
              <w:t>拆除建筑物及硬盖层回填</w:t>
            </w:r>
            <w:r>
              <w:rPr>
                <w:rFonts w:hint="eastAsia" w:ascii="Times New Roman" w:hAnsi="Times New Roman" w:cs="Times New Roman"/>
                <w:lang w:val="en-US" w:eastAsia="zh-CN"/>
              </w:rPr>
              <w:t>井下</w:t>
            </w:r>
            <w:r>
              <w:rPr>
                <w:rFonts w:hint="default" w:ascii="Times New Roman" w:hAnsi="Times New Roman" w:cs="Times New Roman"/>
                <w:lang w:val="en-US" w:eastAsia="zh-CN"/>
              </w:rPr>
              <w:t>4749.6</w:t>
            </w:r>
            <w:r>
              <w:rPr>
                <w:rFonts w:hint="default" w:ascii="Times New Roman" w:hAnsi="Times New Roman" w:cs="Times New Roman"/>
              </w:rPr>
              <w:t>m³；场地平整</w:t>
            </w:r>
            <w:r>
              <w:rPr>
                <w:rFonts w:hint="default" w:ascii="Times New Roman" w:hAnsi="Times New Roman" w:cs="Times New Roman"/>
                <w:lang w:eastAsia="zh-CN"/>
              </w:rPr>
              <w:t>3057.6</w:t>
            </w:r>
            <w:r>
              <w:rPr>
                <w:rFonts w:hint="default" w:ascii="Times New Roman" w:hAnsi="Times New Roman" w:cs="Times New Roman"/>
              </w:rPr>
              <w:t>m³。</w:t>
            </w:r>
            <w:r>
              <w:rPr>
                <w:rFonts w:hint="default" w:ascii="Times New Roman" w:hAnsi="Times New Roman" w:cs="Times New Roman"/>
                <w:lang w:bidi="ar"/>
              </w:rPr>
              <w:t>矿山地质环境监测15次，土地资源生态监测2次，</w:t>
            </w:r>
          </w:p>
        </w:tc>
      </w:tr>
      <w:tr w14:paraId="75D7F699">
        <w:tblPrEx>
          <w:tblCellMar>
            <w:top w:w="0" w:type="dxa"/>
            <w:left w:w="108" w:type="dxa"/>
            <w:bottom w:w="0" w:type="dxa"/>
            <w:right w:w="108" w:type="dxa"/>
          </w:tblCellMar>
        </w:tblPrEx>
        <w:trPr>
          <w:trHeight w:val="64" w:hRule="atLeast"/>
          <w:jc w:val="center"/>
        </w:trPr>
        <w:tc>
          <w:tcPr>
            <w:tcW w:w="854" w:type="dxa"/>
            <w:tcBorders>
              <w:top w:val="single" w:color="auto" w:sz="4" w:space="0"/>
              <w:left w:val="single" w:color="auto" w:sz="4" w:space="0"/>
              <w:bottom w:val="single" w:color="auto" w:sz="4" w:space="0"/>
              <w:right w:val="single" w:color="auto" w:sz="4" w:space="0"/>
            </w:tcBorders>
            <w:noWrap/>
            <w:vAlign w:val="center"/>
          </w:tcPr>
          <w:p w14:paraId="0B7E35A6">
            <w:pPr>
              <w:pStyle w:val="72"/>
              <w:rPr>
                <w:rFonts w:hint="default" w:ascii="Times New Roman" w:hAnsi="Times New Roman" w:cs="Times New Roman"/>
                <w:szCs w:val="21"/>
              </w:rPr>
            </w:pPr>
            <w:r>
              <w:rPr>
                <w:rFonts w:hint="default" w:ascii="Times New Roman" w:hAnsi="Times New Roman" w:cs="Times New Roman"/>
                <w:szCs w:val="21"/>
              </w:rPr>
              <w:t>监测管护期</w:t>
            </w:r>
          </w:p>
        </w:tc>
        <w:tc>
          <w:tcPr>
            <w:tcW w:w="993" w:type="dxa"/>
            <w:tcBorders>
              <w:top w:val="single" w:color="auto" w:sz="4" w:space="0"/>
              <w:left w:val="single" w:color="auto" w:sz="4" w:space="0"/>
              <w:bottom w:val="single" w:color="auto" w:sz="4" w:space="0"/>
              <w:right w:val="single" w:color="auto" w:sz="4" w:space="0"/>
            </w:tcBorders>
            <w:noWrap/>
            <w:vAlign w:val="center"/>
          </w:tcPr>
          <w:p w14:paraId="03DCDA54">
            <w:pPr>
              <w:pStyle w:val="72"/>
              <w:rPr>
                <w:rFonts w:hint="default" w:ascii="Times New Roman" w:hAnsi="Times New Roman" w:eastAsia="仿宋" w:cs="Times New Roman"/>
                <w:szCs w:val="21"/>
                <w:lang w:eastAsia="zh-CN" w:bidi="ar"/>
              </w:rPr>
            </w:pPr>
            <w:r>
              <w:rPr>
                <w:rFonts w:hint="default" w:ascii="Times New Roman" w:hAnsi="Times New Roman" w:cs="Times New Roman"/>
                <w:lang w:bidi="ar"/>
              </w:rPr>
              <w:t>全区</w:t>
            </w:r>
          </w:p>
        </w:tc>
        <w:tc>
          <w:tcPr>
            <w:tcW w:w="992" w:type="dxa"/>
            <w:tcBorders>
              <w:top w:val="single" w:color="auto" w:sz="4" w:space="0"/>
              <w:left w:val="single" w:color="auto" w:sz="4" w:space="0"/>
              <w:bottom w:val="single" w:color="auto" w:sz="4" w:space="0"/>
              <w:right w:val="single" w:color="auto" w:sz="4" w:space="0"/>
            </w:tcBorders>
            <w:noWrap/>
            <w:vAlign w:val="center"/>
          </w:tcPr>
          <w:p w14:paraId="4AB084C2">
            <w:pPr>
              <w:pStyle w:val="72"/>
              <w:rPr>
                <w:rFonts w:hint="default" w:ascii="Times New Roman" w:hAnsi="Times New Roman" w:cs="Times New Roman"/>
                <w:szCs w:val="21"/>
                <w:lang w:bidi="ar"/>
              </w:rPr>
            </w:pPr>
            <w:r>
              <w:rPr>
                <w:rFonts w:hint="default" w:ascii="Times New Roman" w:hAnsi="Times New Roman" w:cs="Times New Roman"/>
                <w:szCs w:val="21"/>
                <w:lang w:bidi="ar"/>
              </w:rPr>
              <w:t>乔木林地</w:t>
            </w:r>
          </w:p>
        </w:tc>
        <w:tc>
          <w:tcPr>
            <w:tcW w:w="992" w:type="dxa"/>
            <w:tcBorders>
              <w:top w:val="single" w:color="auto" w:sz="4" w:space="0"/>
              <w:left w:val="single" w:color="auto" w:sz="4" w:space="0"/>
              <w:bottom w:val="single" w:color="auto" w:sz="4" w:space="0"/>
              <w:right w:val="single" w:color="auto" w:sz="4" w:space="0"/>
            </w:tcBorders>
            <w:noWrap/>
            <w:vAlign w:val="center"/>
          </w:tcPr>
          <w:p w14:paraId="70E1E1D0">
            <w:pPr>
              <w:pStyle w:val="72"/>
              <w:rPr>
                <w:rFonts w:hint="default" w:ascii="Times New Roman" w:hAnsi="Times New Roman" w:eastAsia="仿宋" w:cs="Times New Roman"/>
                <w:szCs w:val="21"/>
                <w:lang w:eastAsia="zh-CN" w:bidi="ar"/>
              </w:rPr>
            </w:pPr>
            <w:r>
              <w:rPr>
                <w:rFonts w:hint="default" w:ascii="Times New Roman" w:hAnsi="Times New Roman" w:cs="Times New Roman"/>
                <w:szCs w:val="21"/>
                <w:lang w:eastAsia="zh-CN" w:bidi="ar"/>
              </w:rPr>
              <w:t>1.5288</w:t>
            </w:r>
          </w:p>
        </w:tc>
        <w:tc>
          <w:tcPr>
            <w:tcW w:w="911" w:type="dxa"/>
            <w:tcBorders>
              <w:top w:val="single" w:color="auto" w:sz="4" w:space="0"/>
              <w:left w:val="single" w:color="auto" w:sz="4" w:space="0"/>
              <w:bottom w:val="single" w:color="auto" w:sz="4" w:space="0"/>
              <w:right w:val="single" w:color="auto" w:sz="4" w:space="0"/>
            </w:tcBorders>
            <w:noWrap/>
            <w:vAlign w:val="center"/>
          </w:tcPr>
          <w:p w14:paraId="24A0D283">
            <w:pPr>
              <w:pStyle w:val="72"/>
              <w:rPr>
                <w:rFonts w:hint="default" w:ascii="Times New Roman" w:hAnsi="Times New Roman" w:cs="Times New Roman"/>
                <w:szCs w:val="21"/>
              </w:rPr>
            </w:pPr>
            <w:r>
              <w:rPr>
                <w:rFonts w:hint="default" w:ascii="Times New Roman" w:hAnsi="Times New Roman" w:cs="Times New Roman"/>
                <w:szCs w:val="21"/>
              </w:rPr>
              <w:t>监测管护期</w:t>
            </w:r>
          </w:p>
        </w:tc>
        <w:tc>
          <w:tcPr>
            <w:tcW w:w="1215" w:type="dxa"/>
            <w:tcBorders>
              <w:top w:val="single" w:color="auto" w:sz="4" w:space="0"/>
              <w:left w:val="single" w:color="auto" w:sz="4" w:space="0"/>
              <w:bottom w:val="single" w:color="auto" w:sz="4" w:space="0"/>
              <w:right w:val="single" w:color="auto" w:sz="4" w:space="0"/>
            </w:tcBorders>
            <w:noWrap/>
            <w:vAlign w:val="center"/>
          </w:tcPr>
          <w:p w14:paraId="7294E8FA">
            <w:pPr>
              <w:pStyle w:val="72"/>
              <w:rPr>
                <w:rFonts w:hint="default" w:ascii="Times New Roman" w:hAnsi="Times New Roman" w:eastAsia="仿宋" w:cs="Times New Roman"/>
                <w:szCs w:val="21"/>
                <w:lang w:val="en-US" w:eastAsia="zh-CN"/>
              </w:rPr>
            </w:pPr>
            <w:r>
              <w:rPr>
                <w:rFonts w:hint="default" w:ascii="Times New Roman" w:hAnsi="Times New Roman" w:cs="Times New Roman"/>
                <w:szCs w:val="21"/>
              </w:rPr>
              <w:t>20</w:t>
            </w:r>
            <w:r>
              <w:rPr>
                <w:rFonts w:hint="default" w:ascii="Times New Roman" w:hAnsi="Times New Roman" w:cs="Times New Roman"/>
                <w:szCs w:val="21"/>
                <w:lang w:val="en-US" w:eastAsia="zh-CN"/>
              </w:rPr>
              <w:t>35</w:t>
            </w:r>
            <w:r>
              <w:rPr>
                <w:rFonts w:hint="default" w:ascii="Times New Roman" w:hAnsi="Times New Roman" w:cs="Times New Roman"/>
                <w:szCs w:val="21"/>
              </w:rPr>
              <w:t>-20</w:t>
            </w:r>
            <w:r>
              <w:rPr>
                <w:rFonts w:hint="default" w:ascii="Times New Roman" w:hAnsi="Times New Roman" w:cs="Times New Roman"/>
                <w:szCs w:val="21"/>
                <w:lang w:val="en-US" w:eastAsia="zh-CN"/>
              </w:rPr>
              <w:t>38</w:t>
            </w:r>
          </w:p>
        </w:tc>
        <w:tc>
          <w:tcPr>
            <w:tcW w:w="3970" w:type="dxa"/>
            <w:tcBorders>
              <w:top w:val="single" w:color="auto" w:sz="4" w:space="0"/>
              <w:left w:val="single" w:color="auto" w:sz="4" w:space="0"/>
              <w:bottom w:val="single" w:color="auto" w:sz="4" w:space="0"/>
              <w:right w:val="single" w:color="auto" w:sz="4" w:space="0"/>
            </w:tcBorders>
            <w:vAlign w:val="center"/>
          </w:tcPr>
          <w:p w14:paraId="55BAAEFD">
            <w:pPr>
              <w:pStyle w:val="72"/>
              <w:jc w:val="left"/>
              <w:rPr>
                <w:rFonts w:hint="default" w:ascii="Times New Roman" w:hAnsi="Times New Roman" w:cs="Times New Roman"/>
                <w:szCs w:val="21"/>
              </w:rPr>
            </w:pPr>
            <w:r>
              <w:rPr>
                <w:rFonts w:hint="default" w:ascii="Times New Roman" w:hAnsi="Times New Roman" w:cs="Times New Roman"/>
                <w:lang w:bidi="ar"/>
              </w:rPr>
              <w:t>矿山地质环境监测45次，</w:t>
            </w:r>
            <w:r>
              <w:rPr>
                <w:rFonts w:hint="default" w:ascii="Times New Roman" w:hAnsi="Times New Roman" w:cs="Times New Roman"/>
                <w:szCs w:val="21"/>
              </w:rPr>
              <w:t>土地资源生态监测6次，林地管护3年，面积</w:t>
            </w:r>
            <w:r>
              <w:rPr>
                <w:rFonts w:hint="default" w:ascii="Times New Roman" w:hAnsi="Times New Roman" w:cs="Times New Roman"/>
                <w:szCs w:val="21"/>
                <w:lang w:eastAsia="zh-CN" w:bidi="ar"/>
              </w:rPr>
              <w:t>1.5288</w:t>
            </w:r>
            <w:r>
              <w:rPr>
                <w:rFonts w:hint="default" w:ascii="Times New Roman" w:hAnsi="Times New Roman" w:cs="Times New Roman"/>
                <w:szCs w:val="21"/>
              </w:rPr>
              <w:t>hm²。</w:t>
            </w:r>
          </w:p>
        </w:tc>
      </w:tr>
    </w:tbl>
    <w:p w14:paraId="3386D0BF">
      <w:pPr>
        <w:pStyle w:val="57"/>
        <w:jc w:val="both"/>
        <w:rPr>
          <w:rFonts w:ascii="Times New Roman" w:hAnsi="Times New Roman"/>
        </w:rPr>
      </w:pPr>
    </w:p>
    <w:p w14:paraId="4E7D0537">
      <w:pPr>
        <w:pStyle w:val="5"/>
        <w:ind w:firstLine="562"/>
      </w:pPr>
      <w:bookmarkStart w:id="236" w:name="_Toc24767"/>
      <w:bookmarkStart w:id="237" w:name="_Toc14422164"/>
      <w:bookmarkStart w:id="238" w:name="_Toc517356189"/>
      <w:r>
        <w:t>（二）近年</w:t>
      </w:r>
      <w:bookmarkEnd w:id="236"/>
      <w:bookmarkEnd w:id="237"/>
      <w:bookmarkEnd w:id="238"/>
      <w:r>
        <w:t>工作任务与经费进度安排</w:t>
      </w:r>
    </w:p>
    <w:p w14:paraId="2D3DF3E9">
      <w:pPr>
        <w:ind w:firstLine="560"/>
        <w:rPr>
          <w:szCs w:val="28"/>
        </w:rPr>
      </w:pPr>
      <w:r>
        <w:rPr>
          <w:szCs w:val="28"/>
        </w:rPr>
        <w:t>依据矿山地质环境治理与土地复垦原则，近期工作重点是对现状以及近期预测出现的地质环境问题进行治理，并建立矿山地质环境监测体系，具体工作如下：</w:t>
      </w:r>
    </w:p>
    <w:p w14:paraId="3CC2FED2">
      <w:pPr>
        <w:autoSpaceDE w:val="0"/>
        <w:autoSpaceDN w:val="0"/>
        <w:ind w:firstLine="560"/>
        <w:jc w:val="both"/>
        <w:rPr>
          <w:szCs w:val="28"/>
        </w:rPr>
      </w:pPr>
      <w:r>
        <w:rPr>
          <w:szCs w:val="28"/>
        </w:rPr>
        <w:t>第一年度：</w:t>
      </w:r>
      <w:r>
        <w:rPr>
          <w:rFonts w:hint="eastAsia"/>
          <w:szCs w:val="28"/>
          <w:lang w:val="en-US" w:eastAsia="zh-CN"/>
        </w:rPr>
        <w:t>对拟损毁土地进行表土剥离</w:t>
      </w:r>
      <w:r>
        <w:rPr>
          <w:rFonts w:hint="eastAsia"/>
          <w:szCs w:val="28"/>
        </w:rPr>
        <w:t>，</w:t>
      </w:r>
      <w:r>
        <w:rPr>
          <w:rFonts w:hint="eastAsia"/>
          <w:szCs w:val="28"/>
          <w:lang w:val="en-US" w:eastAsia="zh-CN"/>
        </w:rPr>
        <w:t>编织袋挡土墙，表土堆场养护撒播紫花苜蓿，对原来三处废弃平硐进行封堵；</w:t>
      </w:r>
      <w:r>
        <w:rPr>
          <w:rFonts w:hint="eastAsia"/>
          <w:szCs w:val="28"/>
        </w:rPr>
        <w:t>矿山地质环境监测15次，土地资源生态监测2次，</w:t>
      </w:r>
      <w:r>
        <w:rPr>
          <w:rFonts w:hint="eastAsia"/>
          <w:szCs w:val="28"/>
          <w:lang w:eastAsia="zh-CN"/>
        </w:rPr>
        <w:t>矿山</w:t>
      </w:r>
      <w:r>
        <w:rPr>
          <w:rFonts w:hint="eastAsia"/>
          <w:szCs w:val="28"/>
        </w:rPr>
        <w:t>涌水水质监测2次，</w:t>
      </w:r>
      <w:r>
        <w:rPr>
          <w:rFonts w:hint="eastAsia"/>
          <w:szCs w:val="28"/>
          <w:lang w:eastAsia="zh-CN"/>
        </w:rPr>
        <w:t>矿山</w:t>
      </w:r>
      <w:r>
        <w:rPr>
          <w:rFonts w:hint="eastAsia"/>
          <w:szCs w:val="28"/>
        </w:rPr>
        <w:t>涌水水量监测12次。</w:t>
      </w:r>
      <w:r>
        <w:rPr>
          <w:szCs w:val="28"/>
        </w:rPr>
        <w:t>需投入费用</w:t>
      </w:r>
      <w:r>
        <w:rPr>
          <w:rFonts w:hint="eastAsia"/>
          <w:szCs w:val="28"/>
          <w:lang w:val="en-US" w:eastAsia="zh-CN"/>
        </w:rPr>
        <w:t>8.44</w:t>
      </w:r>
      <w:r>
        <w:rPr>
          <w:szCs w:val="28"/>
        </w:rPr>
        <w:t>万元。</w:t>
      </w:r>
    </w:p>
    <w:p w14:paraId="1FB69B94">
      <w:pPr>
        <w:autoSpaceDE w:val="0"/>
        <w:autoSpaceDN w:val="0"/>
        <w:ind w:firstLine="560"/>
        <w:jc w:val="both"/>
        <w:rPr>
          <w:szCs w:val="28"/>
        </w:rPr>
      </w:pPr>
      <w:r>
        <w:rPr>
          <w:szCs w:val="28"/>
        </w:rPr>
        <w:t>第二年度：</w:t>
      </w:r>
      <w:r>
        <w:rPr>
          <w:rFonts w:hint="eastAsia"/>
          <w:szCs w:val="28"/>
        </w:rPr>
        <w:t>对</w:t>
      </w:r>
      <w:r>
        <w:rPr>
          <w:rFonts w:hint="eastAsia"/>
          <w:szCs w:val="28"/>
          <w:lang w:val="en-US" w:eastAsia="zh-CN"/>
        </w:rPr>
        <w:t>采空区地裂缝进行监测</w:t>
      </w:r>
      <w:r>
        <w:rPr>
          <w:rFonts w:hint="eastAsia"/>
          <w:szCs w:val="28"/>
        </w:rPr>
        <w:t>，矿山地质环境监测15次，土地资源生态监测2次，</w:t>
      </w:r>
      <w:r>
        <w:rPr>
          <w:rFonts w:hint="eastAsia"/>
          <w:szCs w:val="28"/>
          <w:lang w:eastAsia="zh-CN"/>
        </w:rPr>
        <w:t>矿山</w:t>
      </w:r>
      <w:r>
        <w:rPr>
          <w:rFonts w:hint="eastAsia"/>
          <w:szCs w:val="28"/>
        </w:rPr>
        <w:t>涌水水质监测2次，</w:t>
      </w:r>
      <w:r>
        <w:rPr>
          <w:rFonts w:hint="eastAsia"/>
          <w:szCs w:val="28"/>
          <w:lang w:eastAsia="zh-CN"/>
        </w:rPr>
        <w:t>矿山</w:t>
      </w:r>
      <w:r>
        <w:rPr>
          <w:rFonts w:hint="eastAsia"/>
          <w:szCs w:val="28"/>
        </w:rPr>
        <w:t>涌水水量监测12次。</w:t>
      </w:r>
      <w:r>
        <w:rPr>
          <w:szCs w:val="28"/>
        </w:rPr>
        <w:t>需投入费用</w:t>
      </w:r>
      <w:r>
        <w:rPr>
          <w:rFonts w:hint="eastAsia"/>
          <w:szCs w:val="28"/>
          <w:lang w:val="en-US" w:eastAsia="zh-CN"/>
        </w:rPr>
        <w:t>5.00</w:t>
      </w:r>
      <w:r>
        <w:rPr>
          <w:szCs w:val="28"/>
        </w:rPr>
        <w:t>万元。</w:t>
      </w:r>
    </w:p>
    <w:p w14:paraId="5386C616">
      <w:pPr>
        <w:autoSpaceDE w:val="0"/>
        <w:autoSpaceDN w:val="0"/>
        <w:ind w:firstLine="560"/>
        <w:jc w:val="both"/>
        <w:rPr>
          <w:szCs w:val="28"/>
        </w:rPr>
      </w:pPr>
      <w:r>
        <w:rPr>
          <w:szCs w:val="28"/>
        </w:rPr>
        <w:t>第三年度：</w:t>
      </w:r>
      <w:r>
        <w:rPr>
          <w:rFonts w:hint="eastAsia"/>
          <w:szCs w:val="28"/>
        </w:rPr>
        <w:t>对</w:t>
      </w:r>
      <w:r>
        <w:rPr>
          <w:rFonts w:hint="eastAsia"/>
          <w:szCs w:val="28"/>
          <w:lang w:val="en-US" w:eastAsia="zh-CN"/>
        </w:rPr>
        <w:t>采空区地裂缝进行监测</w:t>
      </w:r>
      <w:r>
        <w:rPr>
          <w:rFonts w:hint="eastAsia"/>
          <w:szCs w:val="28"/>
        </w:rPr>
        <w:t>，矿山地质环境监测15次，土地资源生态监测2次，</w:t>
      </w:r>
      <w:r>
        <w:rPr>
          <w:rFonts w:hint="eastAsia"/>
          <w:szCs w:val="28"/>
          <w:lang w:eastAsia="zh-CN"/>
        </w:rPr>
        <w:t>矿山</w:t>
      </w:r>
      <w:r>
        <w:rPr>
          <w:rFonts w:hint="eastAsia"/>
          <w:szCs w:val="28"/>
        </w:rPr>
        <w:t>涌水水质监测2次，</w:t>
      </w:r>
      <w:r>
        <w:rPr>
          <w:rFonts w:hint="eastAsia"/>
          <w:szCs w:val="28"/>
          <w:lang w:eastAsia="zh-CN"/>
        </w:rPr>
        <w:t>矿山</w:t>
      </w:r>
      <w:r>
        <w:rPr>
          <w:rFonts w:hint="eastAsia"/>
          <w:szCs w:val="28"/>
        </w:rPr>
        <w:t>涌水水量监测12次。</w:t>
      </w:r>
      <w:r>
        <w:rPr>
          <w:szCs w:val="28"/>
        </w:rPr>
        <w:t>需投入费用</w:t>
      </w:r>
      <w:r>
        <w:rPr>
          <w:rFonts w:hint="eastAsia"/>
          <w:szCs w:val="28"/>
          <w:lang w:val="en-US" w:eastAsia="zh-CN"/>
        </w:rPr>
        <w:t>5.00</w:t>
      </w:r>
      <w:r>
        <w:rPr>
          <w:szCs w:val="28"/>
        </w:rPr>
        <w:t>万元。</w:t>
      </w:r>
    </w:p>
    <w:p w14:paraId="59227B9D">
      <w:pPr>
        <w:pStyle w:val="57"/>
        <w:rPr>
          <w:rFonts w:hint="eastAsia"/>
        </w:rPr>
      </w:pPr>
      <w:r>
        <w:t>表6-16</w:t>
      </w:r>
      <w:bookmarkStart w:id="239" w:name="_Hlk219059782"/>
      <w:r>
        <w:t>前</w:t>
      </w:r>
      <w:r>
        <w:rPr>
          <w:rFonts w:hint="eastAsia"/>
        </w:rPr>
        <w:t>三</w:t>
      </w:r>
      <w:r>
        <w:t>年度矿区生态修复工作计划表</w:t>
      </w:r>
    </w:p>
    <w:tbl>
      <w:tblPr>
        <w:tblStyle w:val="42"/>
        <w:tblW w:w="4885" w:type="pct"/>
        <w:jc w:val="center"/>
        <w:tblLayout w:type="autofit"/>
        <w:tblCellMar>
          <w:top w:w="0" w:type="dxa"/>
          <w:left w:w="108" w:type="dxa"/>
          <w:bottom w:w="0" w:type="dxa"/>
          <w:right w:w="108" w:type="dxa"/>
        </w:tblCellMar>
      </w:tblPr>
      <w:tblGrid>
        <w:gridCol w:w="426"/>
        <w:gridCol w:w="1057"/>
        <w:gridCol w:w="2203"/>
        <w:gridCol w:w="1133"/>
        <w:gridCol w:w="1023"/>
        <w:gridCol w:w="1161"/>
        <w:gridCol w:w="656"/>
        <w:gridCol w:w="845"/>
        <w:gridCol w:w="846"/>
      </w:tblGrid>
      <w:tr w14:paraId="58FBC87D">
        <w:tblPrEx>
          <w:tblCellMar>
            <w:top w:w="0" w:type="dxa"/>
            <w:left w:w="108" w:type="dxa"/>
            <w:bottom w:w="0" w:type="dxa"/>
            <w:right w:w="108" w:type="dxa"/>
          </w:tblCellMar>
        </w:tblPrEx>
        <w:trPr>
          <w:trHeight w:val="183" w:hRule="atLeast"/>
          <w:tblHeader/>
          <w:jc w:val="center"/>
        </w:trPr>
        <w:tc>
          <w:tcPr>
            <w:tcW w:w="228" w:type="pct"/>
            <w:vMerge w:val="restart"/>
            <w:tcBorders>
              <w:top w:val="single" w:color="000000" w:sz="4" w:space="0"/>
              <w:left w:val="single" w:color="000000" w:sz="4" w:space="0"/>
              <w:bottom w:val="single" w:color="000000" w:sz="4" w:space="0"/>
              <w:right w:val="single" w:color="000000" w:sz="4" w:space="0"/>
            </w:tcBorders>
            <w:vAlign w:val="center"/>
          </w:tcPr>
          <w:p w14:paraId="1AED18C1">
            <w:pPr>
              <w:pStyle w:val="72"/>
              <w:rPr>
                <w:rFonts w:hint="eastAsia"/>
              </w:rPr>
            </w:pPr>
            <w:r>
              <w:rPr>
                <w:rFonts w:hint="eastAsia"/>
              </w:rPr>
              <w:t>序号</w:t>
            </w:r>
          </w:p>
        </w:tc>
        <w:tc>
          <w:tcPr>
            <w:tcW w:w="565" w:type="pct"/>
            <w:vMerge w:val="restart"/>
            <w:tcBorders>
              <w:top w:val="single" w:color="000000" w:sz="4" w:space="0"/>
              <w:left w:val="single" w:color="000000" w:sz="4" w:space="0"/>
              <w:bottom w:val="single" w:color="000000" w:sz="4" w:space="0"/>
              <w:right w:val="single" w:color="000000" w:sz="4" w:space="0"/>
            </w:tcBorders>
            <w:vAlign w:val="center"/>
          </w:tcPr>
          <w:p w14:paraId="14DB76B0">
            <w:pPr>
              <w:pStyle w:val="72"/>
              <w:rPr>
                <w:rFonts w:hint="eastAsia"/>
              </w:rPr>
            </w:pPr>
            <w:r>
              <w:rPr>
                <w:rFonts w:hint="eastAsia"/>
              </w:rPr>
              <w:t>修复阶段</w:t>
            </w:r>
          </w:p>
        </w:tc>
        <w:tc>
          <w:tcPr>
            <w:tcW w:w="1178" w:type="pct"/>
            <w:vMerge w:val="restart"/>
            <w:tcBorders>
              <w:top w:val="single" w:color="000000" w:sz="4" w:space="0"/>
              <w:left w:val="single" w:color="000000" w:sz="4" w:space="0"/>
              <w:bottom w:val="single" w:color="000000" w:sz="4" w:space="0"/>
              <w:right w:val="single" w:color="000000" w:sz="4" w:space="0"/>
            </w:tcBorders>
            <w:vAlign w:val="center"/>
          </w:tcPr>
          <w:p w14:paraId="4264F7DB">
            <w:pPr>
              <w:pStyle w:val="72"/>
              <w:rPr>
                <w:rFonts w:hint="eastAsia"/>
              </w:rPr>
            </w:pPr>
            <w:r>
              <w:rPr>
                <w:rFonts w:hint="eastAsia"/>
              </w:rPr>
              <w:t>主要工程措施</w:t>
            </w:r>
          </w:p>
        </w:tc>
        <w:tc>
          <w:tcPr>
            <w:tcW w:w="606" w:type="pct"/>
            <w:vMerge w:val="restart"/>
            <w:tcBorders>
              <w:top w:val="single" w:color="000000" w:sz="4" w:space="0"/>
              <w:left w:val="single" w:color="000000" w:sz="4" w:space="0"/>
              <w:bottom w:val="single" w:color="000000" w:sz="4" w:space="0"/>
              <w:right w:val="single" w:color="000000" w:sz="4" w:space="0"/>
            </w:tcBorders>
            <w:vAlign w:val="center"/>
          </w:tcPr>
          <w:p w14:paraId="3685760F">
            <w:pPr>
              <w:pStyle w:val="72"/>
              <w:rPr>
                <w:rFonts w:hint="eastAsia"/>
              </w:rPr>
            </w:pPr>
            <w:r>
              <w:rPr>
                <w:rFonts w:hint="eastAsia"/>
              </w:rPr>
              <w:t>所属生态修复区块</w:t>
            </w:r>
          </w:p>
        </w:tc>
        <w:tc>
          <w:tcPr>
            <w:tcW w:w="547" w:type="pct"/>
            <w:vMerge w:val="restart"/>
            <w:tcBorders>
              <w:top w:val="single" w:color="000000" w:sz="4" w:space="0"/>
              <w:left w:val="single" w:color="000000" w:sz="4" w:space="0"/>
              <w:bottom w:val="single" w:color="000000" w:sz="4" w:space="0"/>
              <w:right w:val="single" w:color="000000" w:sz="4" w:space="0"/>
            </w:tcBorders>
            <w:vAlign w:val="center"/>
          </w:tcPr>
          <w:p w14:paraId="390EEDB3">
            <w:pPr>
              <w:pStyle w:val="72"/>
              <w:rPr>
                <w:rFonts w:hint="eastAsia"/>
              </w:rPr>
            </w:pPr>
            <w:r>
              <w:rPr>
                <w:rFonts w:hint="eastAsia"/>
              </w:rPr>
              <w:t>是否为临时用地</w:t>
            </w:r>
          </w:p>
        </w:tc>
        <w:tc>
          <w:tcPr>
            <w:tcW w:w="621" w:type="pct"/>
            <w:vMerge w:val="restart"/>
            <w:tcBorders>
              <w:top w:val="single" w:color="000000" w:sz="4" w:space="0"/>
              <w:left w:val="single" w:color="000000" w:sz="4" w:space="0"/>
              <w:bottom w:val="single" w:color="000000" w:sz="4" w:space="0"/>
              <w:right w:val="single" w:color="000000" w:sz="4" w:space="0"/>
            </w:tcBorders>
            <w:vAlign w:val="center"/>
          </w:tcPr>
          <w:p w14:paraId="0CC1B41D">
            <w:pPr>
              <w:pStyle w:val="72"/>
              <w:rPr>
                <w:rFonts w:hint="eastAsia"/>
              </w:rPr>
            </w:pPr>
            <w:r>
              <w:rPr>
                <w:rFonts w:hint="eastAsia"/>
              </w:rPr>
              <w:t>工程量</w:t>
            </w:r>
          </w:p>
        </w:tc>
        <w:tc>
          <w:tcPr>
            <w:tcW w:w="351" w:type="pct"/>
            <w:vMerge w:val="restart"/>
            <w:tcBorders>
              <w:top w:val="single" w:color="000000" w:sz="4" w:space="0"/>
              <w:left w:val="single" w:color="000000" w:sz="4" w:space="0"/>
              <w:bottom w:val="single" w:color="000000" w:sz="4" w:space="0"/>
              <w:right w:val="single" w:color="000000" w:sz="4" w:space="0"/>
            </w:tcBorders>
            <w:vAlign w:val="center"/>
          </w:tcPr>
          <w:p w14:paraId="7E2765F8">
            <w:pPr>
              <w:pStyle w:val="72"/>
              <w:rPr>
                <w:rFonts w:hint="eastAsia"/>
              </w:rPr>
            </w:pPr>
            <w:r>
              <w:rPr>
                <w:rFonts w:hint="eastAsia"/>
              </w:rPr>
              <w:t>目标地类</w:t>
            </w:r>
          </w:p>
        </w:tc>
        <w:tc>
          <w:tcPr>
            <w:tcW w:w="452" w:type="pct"/>
            <w:tcBorders>
              <w:top w:val="single" w:color="000000" w:sz="4" w:space="0"/>
              <w:left w:val="single" w:color="000000" w:sz="4" w:space="0"/>
              <w:bottom w:val="single" w:color="000000" w:sz="4" w:space="0"/>
              <w:right w:val="single" w:color="000000" w:sz="4" w:space="0"/>
            </w:tcBorders>
            <w:vAlign w:val="center"/>
          </w:tcPr>
          <w:p w14:paraId="487FC617">
            <w:pPr>
              <w:pStyle w:val="72"/>
              <w:rPr>
                <w:rFonts w:hint="eastAsia"/>
              </w:rPr>
            </w:pPr>
            <w:r>
              <w:rPr>
                <w:rFonts w:hint="eastAsia"/>
              </w:rPr>
              <w:t>面积</w:t>
            </w:r>
          </w:p>
        </w:tc>
        <w:tc>
          <w:tcPr>
            <w:tcW w:w="452" w:type="pct"/>
            <w:tcBorders>
              <w:top w:val="single" w:color="000000" w:sz="4" w:space="0"/>
              <w:left w:val="single" w:color="000000" w:sz="4" w:space="0"/>
              <w:bottom w:val="single" w:color="000000" w:sz="4" w:space="0"/>
              <w:right w:val="single" w:color="000000" w:sz="4" w:space="0"/>
            </w:tcBorders>
            <w:vAlign w:val="center"/>
          </w:tcPr>
          <w:p w14:paraId="68DF48E1">
            <w:pPr>
              <w:pStyle w:val="72"/>
              <w:rPr>
                <w:rFonts w:hint="eastAsia"/>
              </w:rPr>
            </w:pPr>
            <w:r>
              <w:rPr>
                <w:rFonts w:hint="eastAsia"/>
              </w:rPr>
              <w:t>费用</w:t>
            </w:r>
          </w:p>
        </w:tc>
      </w:tr>
      <w:tr w14:paraId="41D414C3">
        <w:tblPrEx>
          <w:tblCellMar>
            <w:top w:w="0" w:type="dxa"/>
            <w:left w:w="108" w:type="dxa"/>
            <w:bottom w:w="0" w:type="dxa"/>
            <w:right w:w="108" w:type="dxa"/>
          </w:tblCellMar>
        </w:tblPrEx>
        <w:trPr>
          <w:trHeight w:val="64" w:hRule="atLeast"/>
          <w:tblHeader/>
          <w:jc w:val="center"/>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14:paraId="4E473AB3">
            <w:pPr>
              <w:pStyle w:val="72"/>
              <w:rPr>
                <w:rFonts w:hint="eastAsia"/>
              </w:rPr>
            </w:pPr>
          </w:p>
        </w:tc>
        <w:tc>
          <w:tcPr>
            <w:tcW w:w="565" w:type="pct"/>
            <w:vMerge w:val="continue"/>
            <w:tcBorders>
              <w:top w:val="single" w:color="000000" w:sz="4" w:space="0"/>
              <w:left w:val="single" w:color="000000" w:sz="4" w:space="0"/>
              <w:bottom w:val="single" w:color="000000" w:sz="4" w:space="0"/>
              <w:right w:val="single" w:color="000000" w:sz="4" w:space="0"/>
            </w:tcBorders>
            <w:vAlign w:val="center"/>
          </w:tcPr>
          <w:p w14:paraId="1DA3D652">
            <w:pPr>
              <w:pStyle w:val="72"/>
              <w:rPr>
                <w:rFonts w:hint="eastAsia"/>
              </w:rPr>
            </w:pPr>
          </w:p>
        </w:tc>
        <w:tc>
          <w:tcPr>
            <w:tcW w:w="1178" w:type="pct"/>
            <w:vMerge w:val="continue"/>
            <w:tcBorders>
              <w:top w:val="single" w:color="000000" w:sz="4" w:space="0"/>
              <w:left w:val="single" w:color="000000" w:sz="4" w:space="0"/>
              <w:bottom w:val="single" w:color="000000" w:sz="4" w:space="0"/>
              <w:right w:val="single" w:color="000000" w:sz="4" w:space="0"/>
            </w:tcBorders>
            <w:vAlign w:val="center"/>
          </w:tcPr>
          <w:p w14:paraId="3161D3D8">
            <w:pPr>
              <w:pStyle w:val="72"/>
              <w:rPr>
                <w:rFonts w:hint="eastAsia"/>
              </w:rPr>
            </w:pP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1108C6F6">
            <w:pPr>
              <w:pStyle w:val="72"/>
              <w:rPr>
                <w:rFonts w:hint="eastAsia"/>
              </w:rPr>
            </w:pPr>
          </w:p>
        </w:tc>
        <w:tc>
          <w:tcPr>
            <w:tcW w:w="547" w:type="pct"/>
            <w:vMerge w:val="continue"/>
            <w:tcBorders>
              <w:top w:val="single" w:color="000000" w:sz="4" w:space="0"/>
              <w:left w:val="single" w:color="000000" w:sz="4" w:space="0"/>
              <w:bottom w:val="single" w:color="000000" w:sz="4" w:space="0"/>
              <w:right w:val="single" w:color="000000" w:sz="4" w:space="0"/>
            </w:tcBorders>
            <w:vAlign w:val="center"/>
          </w:tcPr>
          <w:p w14:paraId="18C57568">
            <w:pPr>
              <w:pStyle w:val="72"/>
              <w:rPr>
                <w:rFonts w:hint="eastAsia"/>
              </w:rPr>
            </w:pPr>
          </w:p>
        </w:tc>
        <w:tc>
          <w:tcPr>
            <w:tcW w:w="621" w:type="pct"/>
            <w:vMerge w:val="continue"/>
            <w:tcBorders>
              <w:top w:val="single" w:color="000000" w:sz="4" w:space="0"/>
              <w:left w:val="single" w:color="000000" w:sz="4" w:space="0"/>
              <w:bottom w:val="single" w:color="000000" w:sz="4" w:space="0"/>
              <w:right w:val="single" w:color="000000" w:sz="4" w:space="0"/>
            </w:tcBorders>
            <w:vAlign w:val="center"/>
          </w:tcPr>
          <w:p w14:paraId="6A35C66F">
            <w:pPr>
              <w:pStyle w:val="72"/>
              <w:rPr>
                <w:rFonts w:hint="eastAsia"/>
              </w:rPr>
            </w:pPr>
          </w:p>
        </w:tc>
        <w:tc>
          <w:tcPr>
            <w:tcW w:w="351" w:type="pct"/>
            <w:vMerge w:val="continue"/>
            <w:tcBorders>
              <w:top w:val="single" w:color="000000" w:sz="4" w:space="0"/>
              <w:left w:val="single" w:color="000000" w:sz="4" w:space="0"/>
              <w:bottom w:val="single" w:color="000000" w:sz="4" w:space="0"/>
              <w:right w:val="single" w:color="000000" w:sz="4" w:space="0"/>
            </w:tcBorders>
            <w:vAlign w:val="center"/>
          </w:tcPr>
          <w:p w14:paraId="2C0A7E3F">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center"/>
          </w:tcPr>
          <w:p w14:paraId="2999FC46">
            <w:pPr>
              <w:pStyle w:val="72"/>
              <w:rPr>
                <w:rFonts w:hint="eastAsia"/>
              </w:rPr>
            </w:pPr>
            <w:r>
              <w:rPr>
                <w:rFonts w:hint="eastAsia"/>
              </w:rPr>
              <w:t>(hm</w:t>
            </w:r>
            <w:r>
              <w:rPr>
                <w:rFonts w:ascii="Calibri" w:hAnsi="Calibri" w:cs="Calibri"/>
              </w:rPr>
              <w:t>²</w:t>
            </w:r>
            <w:r>
              <w:rPr>
                <w:rFonts w:hint="eastAsia"/>
              </w:rPr>
              <w:t>)</w:t>
            </w:r>
          </w:p>
        </w:tc>
        <w:tc>
          <w:tcPr>
            <w:tcW w:w="452" w:type="pct"/>
            <w:tcBorders>
              <w:top w:val="single" w:color="000000" w:sz="4" w:space="0"/>
              <w:left w:val="single" w:color="000000" w:sz="4" w:space="0"/>
              <w:bottom w:val="single" w:color="000000" w:sz="4" w:space="0"/>
              <w:right w:val="single" w:color="000000" w:sz="4" w:space="0"/>
            </w:tcBorders>
            <w:vAlign w:val="center"/>
          </w:tcPr>
          <w:p w14:paraId="136FC48D">
            <w:pPr>
              <w:pStyle w:val="72"/>
              <w:rPr>
                <w:rFonts w:hint="eastAsia"/>
              </w:rPr>
            </w:pPr>
            <w:r>
              <w:rPr>
                <w:rFonts w:hint="eastAsia"/>
              </w:rPr>
              <w:t>万元</w:t>
            </w:r>
          </w:p>
        </w:tc>
      </w:tr>
      <w:tr w14:paraId="3D987D4E">
        <w:tblPrEx>
          <w:tblCellMar>
            <w:top w:w="0" w:type="dxa"/>
            <w:left w:w="108" w:type="dxa"/>
            <w:bottom w:w="0" w:type="dxa"/>
            <w:right w:w="108" w:type="dxa"/>
          </w:tblCellMar>
        </w:tblPrEx>
        <w:trPr>
          <w:trHeight w:val="183" w:hRule="atLeast"/>
          <w:jc w:val="center"/>
        </w:trPr>
        <w:tc>
          <w:tcPr>
            <w:tcW w:w="228" w:type="pct"/>
            <w:vMerge w:val="restart"/>
            <w:tcBorders>
              <w:top w:val="single" w:color="000000" w:sz="4" w:space="0"/>
              <w:left w:val="single" w:color="000000" w:sz="4" w:space="0"/>
              <w:bottom w:val="single" w:color="000000" w:sz="4" w:space="0"/>
              <w:right w:val="single" w:color="000000" w:sz="4" w:space="0"/>
            </w:tcBorders>
            <w:vAlign w:val="center"/>
          </w:tcPr>
          <w:p w14:paraId="002D57E2">
            <w:pPr>
              <w:pStyle w:val="72"/>
              <w:rPr>
                <w:rFonts w:hint="default" w:ascii="Times New Roman" w:hAnsi="Times New Roman" w:cs="Times New Roman"/>
              </w:rPr>
            </w:pPr>
            <w:r>
              <w:rPr>
                <w:rFonts w:hint="default" w:ascii="Times New Roman" w:hAnsi="Times New Roman" w:cs="Times New Roman"/>
              </w:rPr>
              <w:t>1</w:t>
            </w:r>
          </w:p>
        </w:tc>
        <w:tc>
          <w:tcPr>
            <w:tcW w:w="565" w:type="pct"/>
            <w:vMerge w:val="restart"/>
            <w:tcBorders>
              <w:top w:val="single" w:color="000000" w:sz="4" w:space="0"/>
              <w:left w:val="single" w:color="000000" w:sz="4" w:space="0"/>
              <w:bottom w:val="single" w:color="000000" w:sz="4" w:space="0"/>
              <w:right w:val="single" w:color="000000" w:sz="4" w:space="0"/>
            </w:tcBorders>
            <w:vAlign w:val="center"/>
          </w:tcPr>
          <w:p w14:paraId="669120D0">
            <w:pPr>
              <w:pStyle w:val="72"/>
              <w:rPr>
                <w:rFonts w:hint="default" w:ascii="Times New Roman" w:hAnsi="Times New Roman" w:cs="Times New Roman"/>
              </w:rPr>
            </w:pPr>
            <w:r>
              <w:rPr>
                <w:rFonts w:hint="default" w:ascii="Times New Roman" w:hAnsi="Times New Roman" w:cs="Times New Roman"/>
              </w:rPr>
              <w:t>第一年度（2026）</w:t>
            </w:r>
          </w:p>
        </w:tc>
        <w:tc>
          <w:tcPr>
            <w:tcW w:w="1178" w:type="pct"/>
            <w:tcBorders>
              <w:top w:val="single" w:color="000000" w:sz="4" w:space="0"/>
              <w:left w:val="single" w:color="000000" w:sz="4" w:space="0"/>
              <w:bottom w:val="single" w:color="000000" w:sz="4" w:space="0"/>
              <w:right w:val="single" w:color="000000" w:sz="4" w:space="0"/>
            </w:tcBorders>
            <w:vAlign w:val="center"/>
          </w:tcPr>
          <w:p w14:paraId="68A4AFBE">
            <w:pPr>
              <w:pStyle w:val="72"/>
              <w:rPr>
                <w:rFonts w:hint="eastAsia" w:eastAsia="仿宋"/>
                <w:lang w:val="en-US" w:eastAsia="zh-CN"/>
              </w:rPr>
            </w:pPr>
            <w:r>
              <w:rPr>
                <w:rFonts w:hint="eastAsia"/>
                <w:lang w:val="en-US" w:eastAsia="zh-CN"/>
              </w:rPr>
              <w:t>表土剥离</w:t>
            </w:r>
          </w:p>
        </w:tc>
        <w:tc>
          <w:tcPr>
            <w:tcW w:w="606" w:type="pct"/>
            <w:vMerge w:val="restart"/>
            <w:tcBorders>
              <w:top w:val="single" w:color="000000" w:sz="4" w:space="0"/>
              <w:left w:val="single" w:color="000000" w:sz="4" w:space="0"/>
              <w:bottom w:val="single" w:color="000000" w:sz="4" w:space="0"/>
              <w:right w:val="single" w:color="000000" w:sz="4" w:space="0"/>
            </w:tcBorders>
            <w:vAlign w:val="center"/>
          </w:tcPr>
          <w:p w14:paraId="10F6EEA2">
            <w:pPr>
              <w:pStyle w:val="72"/>
              <w:rPr>
                <w:rFonts w:hint="default" w:ascii="Times New Roman" w:hAnsi="Times New Roman" w:eastAsia="仿宋" w:cs="Times New Roman"/>
                <w:lang w:eastAsia="zh-CN"/>
              </w:rPr>
            </w:pPr>
            <w:r>
              <w:rPr>
                <w:rFonts w:hint="default" w:ascii="Times New Roman" w:hAnsi="Times New Roman" w:cs="Times New Roman"/>
                <w:lang w:val="en-US" w:eastAsia="zh-CN"/>
              </w:rPr>
              <w:t>工业广场、490m平硐工业广场</w:t>
            </w:r>
          </w:p>
        </w:tc>
        <w:tc>
          <w:tcPr>
            <w:tcW w:w="547" w:type="pct"/>
            <w:vMerge w:val="restart"/>
            <w:tcBorders>
              <w:top w:val="single" w:color="000000" w:sz="4" w:space="0"/>
              <w:left w:val="single" w:color="000000" w:sz="4" w:space="0"/>
              <w:bottom w:val="single" w:color="000000" w:sz="4" w:space="0"/>
              <w:right w:val="single" w:color="000000" w:sz="4" w:space="0"/>
            </w:tcBorders>
            <w:vAlign w:val="center"/>
          </w:tcPr>
          <w:p w14:paraId="6C2D71D3">
            <w:pPr>
              <w:pStyle w:val="72"/>
              <w:rPr>
                <w:rFonts w:hint="eastAsia"/>
              </w:rPr>
            </w:pPr>
            <w:r>
              <w:rPr>
                <w:rFonts w:hint="eastAsia"/>
              </w:rPr>
              <w:t>是</w:t>
            </w:r>
          </w:p>
        </w:tc>
        <w:tc>
          <w:tcPr>
            <w:tcW w:w="621" w:type="pct"/>
            <w:tcBorders>
              <w:top w:val="single" w:color="000000" w:sz="4" w:space="0"/>
              <w:left w:val="single" w:color="000000" w:sz="4" w:space="0"/>
              <w:bottom w:val="single" w:color="000000" w:sz="4" w:space="0"/>
              <w:right w:val="single" w:color="000000" w:sz="4" w:space="0"/>
            </w:tcBorders>
            <w:vAlign w:val="center"/>
          </w:tcPr>
          <w:p w14:paraId="2674959A">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3504</w:t>
            </w:r>
          </w:p>
        </w:tc>
        <w:tc>
          <w:tcPr>
            <w:tcW w:w="351" w:type="pct"/>
            <w:vMerge w:val="restart"/>
            <w:tcBorders>
              <w:top w:val="single" w:color="000000" w:sz="4" w:space="0"/>
              <w:left w:val="single" w:color="000000" w:sz="4" w:space="0"/>
              <w:bottom w:val="single" w:color="000000" w:sz="4" w:space="0"/>
              <w:right w:val="single" w:color="000000" w:sz="4" w:space="0"/>
            </w:tcBorders>
            <w:vAlign w:val="center"/>
          </w:tcPr>
          <w:p w14:paraId="619C08CA">
            <w:pPr>
              <w:pStyle w:val="72"/>
              <w:rPr>
                <w:rFonts w:hint="eastAsia"/>
              </w:rPr>
            </w:pPr>
            <w:r>
              <w:rPr>
                <w:rFonts w:hint="eastAsia"/>
              </w:rPr>
              <w:t>--</w:t>
            </w:r>
          </w:p>
        </w:tc>
        <w:tc>
          <w:tcPr>
            <w:tcW w:w="452" w:type="pct"/>
            <w:vMerge w:val="restart"/>
            <w:tcBorders>
              <w:top w:val="single" w:color="000000" w:sz="4" w:space="0"/>
              <w:left w:val="single" w:color="000000" w:sz="4" w:space="0"/>
              <w:bottom w:val="single" w:color="000000" w:sz="4" w:space="0"/>
              <w:right w:val="single" w:color="000000" w:sz="4" w:space="0"/>
            </w:tcBorders>
            <w:vAlign w:val="center"/>
          </w:tcPr>
          <w:p w14:paraId="3A0A110A">
            <w:pPr>
              <w:pStyle w:val="72"/>
              <w:rPr>
                <w:rFonts w:hint="eastAsia"/>
              </w:rPr>
            </w:pPr>
            <w:r>
              <w:rPr>
                <w:rFonts w:hint="eastAsia"/>
              </w:rPr>
              <w:t>--</w:t>
            </w:r>
          </w:p>
        </w:tc>
        <w:tc>
          <w:tcPr>
            <w:tcW w:w="452" w:type="pct"/>
            <w:tcBorders>
              <w:top w:val="single" w:color="000000" w:sz="4" w:space="0"/>
              <w:left w:val="single" w:color="000000" w:sz="4" w:space="0"/>
              <w:bottom w:val="single" w:color="000000" w:sz="4" w:space="0"/>
              <w:right w:val="single" w:color="000000" w:sz="4" w:space="0"/>
            </w:tcBorders>
            <w:vAlign w:val="bottom"/>
          </w:tcPr>
          <w:p w14:paraId="2F3C7670">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2.11</w:t>
            </w:r>
          </w:p>
        </w:tc>
      </w:tr>
      <w:tr w14:paraId="539CDECF">
        <w:tblPrEx>
          <w:tblCellMar>
            <w:top w:w="0" w:type="dxa"/>
            <w:left w:w="108" w:type="dxa"/>
            <w:bottom w:w="0" w:type="dxa"/>
            <w:right w:w="108" w:type="dxa"/>
          </w:tblCellMar>
        </w:tblPrEx>
        <w:trPr>
          <w:trHeight w:val="183" w:hRule="atLeast"/>
          <w:jc w:val="center"/>
        </w:trPr>
        <w:tc>
          <w:tcPr>
            <w:tcW w:w="228" w:type="pct"/>
            <w:vMerge w:val="continue"/>
            <w:tcBorders>
              <w:left w:val="single" w:color="000000" w:sz="4" w:space="0"/>
              <w:right w:val="single" w:color="000000" w:sz="4" w:space="0"/>
            </w:tcBorders>
            <w:vAlign w:val="center"/>
          </w:tcPr>
          <w:p w14:paraId="778244C8">
            <w:pPr>
              <w:pStyle w:val="72"/>
              <w:rPr>
                <w:rFonts w:hint="default" w:ascii="Times New Roman" w:hAnsi="Times New Roman" w:cs="Times New Roman"/>
              </w:rPr>
            </w:pPr>
          </w:p>
        </w:tc>
        <w:tc>
          <w:tcPr>
            <w:tcW w:w="565" w:type="pct"/>
            <w:vMerge w:val="continue"/>
            <w:tcBorders>
              <w:left w:val="single" w:color="000000" w:sz="4" w:space="0"/>
              <w:right w:val="single" w:color="000000" w:sz="4" w:space="0"/>
            </w:tcBorders>
            <w:vAlign w:val="center"/>
          </w:tcPr>
          <w:p w14:paraId="5261F91F">
            <w:pPr>
              <w:pStyle w:val="72"/>
              <w:rPr>
                <w:rFonts w:hint="default" w:ascii="Times New Roman" w:hAnsi="Times New Roman" w:cs="Times New Roman"/>
              </w:rPr>
            </w:pPr>
          </w:p>
        </w:tc>
        <w:tc>
          <w:tcPr>
            <w:tcW w:w="1178" w:type="pct"/>
            <w:tcBorders>
              <w:top w:val="single" w:color="000000" w:sz="4" w:space="0"/>
              <w:left w:val="single" w:color="000000" w:sz="4" w:space="0"/>
              <w:bottom w:val="single" w:color="000000" w:sz="4" w:space="0"/>
              <w:right w:val="single" w:color="000000" w:sz="4" w:space="0"/>
            </w:tcBorders>
            <w:vAlign w:val="center"/>
          </w:tcPr>
          <w:p w14:paraId="49CD07B7">
            <w:pPr>
              <w:pStyle w:val="72"/>
              <w:rPr>
                <w:rFonts w:hint="default" w:ascii="仿宋" w:hAnsi="仿宋" w:eastAsia="仿宋"/>
                <w:sz w:val="20"/>
                <w:szCs w:val="20"/>
                <w:lang w:val="en-US" w:eastAsia="zh-CN"/>
              </w:rPr>
            </w:pPr>
            <w:r>
              <w:rPr>
                <w:rFonts w:hint="eastAsia" w:ascii="仿宋" w:hAnsi="仿宋"/>
                <w:sz w:val="20"/>
                <w:szCs w:val="20"/>
                <w:lang w:val="en-US" w:eastAsia="zh-CN"/>
              </w:rPr>
              <w:t>编织袋挡土墙</w:t>
            </w:r>
          </w:p>
        </w:tc>
        <w:tc>
          <w:tcPr>
            <w:tcW w:w="606" w:type="pct"/>
            <w:vMerge w:val="continue"/>
            <w:tcBorders>
              <w:left w:val="single" w:color="000000" w:sz="4" w:space="0"/>
              <w:right w:val="single" w:color="000000" w:sz="4" w:space="0"/>
            </w:tcBorders>
            <w:vAlign w:val="center"/>
          </w:tcPr>
          <w:p w14:paraId="7775F4FC">
            <w:pPr>
              <w:pStyle w:val="72"/>
              <w:rPr>
                <w:rFonts w:hint="default" w:ascii="Times New Roman" w:hAnsi="Times New Roman" w:cs="Times New Roman"/>
              </w:rPr>
            </w:pPr>
          </w:p>
        </w:tc>
        <w:tc>
          <w:tcPr>
            <w:tcW w:w="547" w:type="pct"/>
            <w:vMerge w:val="continue"/>
            <w:tcBorders>
              <w:left w:val="single" w:color="000000" w:sz="4" w:space="0"/>
              <w:right w:val="single" w:color="000000" w:sz="4" w:space="0"/>
            </w:tcBorders>
            <w:vAlign w:val="center"/>
          </w:tcPr>
          <w:p w14:paraId="054E7C31">
            <w:pPr>
              <w:pStyle w:val="72"/>
              <w:rPr>
                <w:rFonts w:hint="eastAsia"/>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458028C7">
            <w:pPr>
              <w:pStyle w:val="72"/>
              <w:rPr>
                <w:rFonts w:hint="default" w:ascii="Times New Roman" w:hAnsi="Times New Roman" w:eastAsia="仿宋" w:cs="Times New Roman"/>
                <w:sz w:val="20"/>
                <w:szCs w:val="20"/>
                <w:lang w:val="en-US" w:eastAsia="zh-CN"/>
              </w:rPr>
            </w:pPr>
            <w:r>
              <w:rPr>
                <w:rFonts w:hint="default" w:ascii="Times New Roman" w:hAnsi="Times New Roman" w:cs="Times New Roman"/>
                <w:sz w:val="20"/>
                <w:szCs w:val="20"/>
                <w:lang w:val="en-US" w:eastAsia="zh-CN"/>
              </w:rPr>
              <w:t>75</w:t>
            </w:r>
          </w:p>
        </w:tc>
        <w:tc>
          <w:tcPr>
            <w:tcW w:w="351" w:type="pct"/>
            <w:vMerge w:val="continue"/>
            <w:tcBorders>
              <w:left w:val="single" w:color="000000" w:sz="4" w:space="0"/>
              <w:right w:val="single" w:color="000000" w:sz="4" w:space="0"/>
            </w:tcBorders>
            <w:vAlign w:val="center"/>
          </w:tcPr>
          <w:p w14:paraId="41FA9C9F">
            <w:pPr>
              <w:pStyle w:val="72"/>
              <w:rPr>
                <w:rFonts w:hint="eastAsia"/>
              </w:rPr>
            </w:pPr>
          </w:p>
        </w:tc>
        <w:tc>
          <w:tcPr>
            <w:tcW w:w="452" w:type="pct"/>
            <w:vMerge w:val="continue"/>
            <w:tcBorders>
              <w:left w:val="single" w:color="000000" w:sz="4" w:space="0"/>
              <w:right w:val="single" w:color="000000" w:sz="4" w:space="0"/>
            </w:tcBorders>
            <w:vAlign w:val="center"/>
          </w:tcPr>
          <w:p w14:paraId="69E6E174">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bottom"/>
          </w:tcPr>
          <w:p w14:paraId="35C41C57">
            <w:pPr>
              <w:pStyle w:val="72"/>
              <w:rPr>
                <w:rFonts w:hint="default" w:ascii="Times New Roman" w:hAnsi="Times New Roman" w:eastAsia="仿宋" w:cs="Times New Roman"/>
                <w:sz w:val="20"/>
                <w:szCs w:val="20"/>
                <w:lang w:val="en-US" w:eastAsia="zh-CN"/>
              </w:rPr>
            </w:pPr>
            <w:r>
              <w:rPr>
                <w:rFonts w:hint="default" w:ascii="Times New Roman" w:hAnsi="Times New Roman" w:cs="Times New Roman"/>
                <w:sz w:val="20"/>
                <w:szCs w:val="20"/>
                <w:lang w:val="en-US" w:eastAsia="zh-CN"/>
              </w:rPr>
              <w:t>0.81</w:t>
            </w:r>
          </w:p>
        </w:tc>
      </w:tr>
      <w:tr w14:paraId="2508E459">
        <w:tblPrEx>
          <w:tblCellMar>
            <w:top w:w="0" w:type="dxa"/>
            <w:left w:w="108" w:type="dxa"/>
            <w:bottom w:w="0" w:type="dxa"/>
            <w:right w:w="108" w:type="dxa"/>
          </w:tblCellMar>
        </w:tblPrEx>
        <w:trPr>
          <w:trHeight w:val="183" w:hRule="atLeast"/>
          <w:jc w:val="center"/>
        </w:trPr>
        <w:tc>
          <w:tcPr>
            <w:tcW w:w="228" w:type="pct"/>
            <w:vMerge w:val="continue"/>
            <w:tcBorders>
              <w:left w:val="single" w:color="000000" w:sz="4" w:space="0"/>
              <w:right w:val="single" w:color="000000" w:sz="4" w:space="0"/>
            </w:tcBorders>
            <w:vAlign w:val="center"/>
          </w:tcPr>
          <w:p w14:paraId="0C22FB31">
            <w:pPr>
              <w:pStyle w:val="72"/>
              <w:rPr>
                <w:rFonts w:hint="default" w:ascii="Times New Roman" w:hAnsi="Times New Roman" w:cs="Times New Roman"/>
              </w:rPr>
            </w:pPr>
          </w:p>
        </w:tc>
        <w:tc>
          <w:tcPr>
            <w:tcW w:w="565" w:type="pct"/>
            <w:vMerge w:val="continue"/>
            <w:tcBorders>
              <w:left w:val="single" w:color="000000" w:sz="4" w:space="0"/>
              <w:right w:val="single" w:color="000000" w:sz="4" w:space="0"/>
            </w:tcBorders>
            <w:vAlign w:val="center"/>
          </w:tcPr>
          <w:p w14:paraId="3FB16779">
            <w:pPr>
              <w:pStyle w:val="72"/>
              <w:rPr>
                <w:rFonts w:hint="default" w:ascii="Times New Roman" w:hAnsi="Times New Roman" w:cs="Times New Roman"/>
              </w:rPr>
            </w:pPr>
          </w:p>
        </w:tc>
        <w:tc>
          <w:tcPr>
            <w:tcW w:w="1178" w:type="pct"/>
            <w:tcBorders>
              <w:top w:val="single" w:color="000000" w:sz="4" w:space="0"/>
              <w:left w:val="single" w:color="000000" w:sz="4" w:space="0"/>
              <w:bottom w:val="single" w:color="000000" w:sz="4" w:space="0"/>
              <w:right w:val="single" w:color="000000" w:sz="4" w:space="0"/>
            </w:tcBorders>
            <w:vAlign w:val="center"/>
          </w:tcPr>
          <w:p w14:paraId="59F1191B">
            <w:pPr>
              <w:pStyle w:val="72"/>
              <w:jc w:val="both"/>
              <w:rPr>
                <w:rFonts w:hint="default" w:ascii="仿宋" w:hAnsi="仿宋" w:eastAsia="仿宋"/>
                <w:sz w:val="20"/>
                <w:szCs w:val="20"/>
                <w:lang w:val="en-US" w:eastAsia="zh-CN"/>
              </w:rPr>
            </w:pPr>
            <w:r>
              <w:rPr>
                <w:rFonts w:hint="eastAsia" w:ascii="仿宋" w:hAnsi="仿宋"/>
                <w:sz w:val="20"/>
                <w:szCs w:val="20"/>
                <w:lang w:val="en-US" w:eastAsia="zh-CN"/>
              </w:rPr>
              <w:t>原三处废弃平硐封堵</w:t>
            </w:r>
          </w:p>
        </w:tc>
        <w:tc>
          <w:tcPr>
            <w:tcW w:w="606" w:type="pct"/>
            <w:vMerge w:val="continue"/>
            <w:tcBorders>
              <w:left w:val="single" w:color="000000" w:sz="4" w:space="0"/>
              <w:right w:val="single" w:color="000000" w:sz="4" w:space="0"/>
            </w:tcBorders>
            <w:vAlign w:val="center"/>
          </w:tcPr>
          <w:p w14:paraId="7B04C824">
            <w:pPr>
              <w:pStyle w:val="72"/>
              <w:rPr>
                <w:rFonts w:hint="default" w:ascii="Times New Roman" w:hAnsi="Times New Roman" w:cs="Times New Roman"/>
              </w:rPr>
            </w:pPr>
          </w:p>
        </w:tc>
        <w:tc>
          <w:tcPr>
            <w:tcW w:w="547" w:type="pct"/>
            <w:vMerge w:val="continue"/>
            <w:tcBorders>
              <w:left w:val="single" w:color="000000" w:sz="4" w:space="0"/>
              <w:right w:val="single" w:color="000000" w:sz="4" w:space="0"/>
            </w:tcBorders>
            <w:vAlign w:val="center"/>
          </w:tcPr>
          <w:p w14:paraId="233A5BC9">
            <w:pPr>
              <w:pStyle w:val="72"/>
              <w:rPr>
                <w:rFonts w:hint="eastAsia"/>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4D9424C1">
            <w:pPr>
              <w:pStyle w:val="72"/>
              <w:rPr>
                <w:rFonts w:hint="default" w:ascii="Times New Roman" w:hAnsi="Times New Roman" w:eastAsia="仿宋" w:cs="Times New Roman"/>
                <w:sz w:val="20"/>
                <w:szCs w:val="20"/>
                <w:lang w:val="en-US" w:eastAsia="zh-CN"/>
              </w:rPr>
            </w:pPr>
            <w:r>
              <w:rPr>
                <w:rFonts w:hint="default" w:ascii="Times New Roman" w:hAnsi="Times New Roman" w:cs="Times New Roman"/>
                <w:sz w:val="20"/>
                <w:szCs w:val="20"/>
                <w:lang w:val="en-US" w:eastAsia="zh-CN"/>
              </w:rPr>
              <w:t>36</w:t>
            </w:r>
          </w:p>
        </w:tc>
        <w:tc>
          <w:tcPr>
            <w:tcW w:w="351" w:type="pct"/>
            <w:vMerge w:val="continue"/>
            <w:tcBorders>
              <w:left w:val="single" w:color="000000" w:sz="4" w:space="0"/>
              <w:right w:val="single" w:color="000000" w:sz="4" w:space="0"/>
            </w:tcBorders>
            <w:vAlign w:val="center"/>
          </w:tcPr>
          <w:p w14:paraId="3137E48B">
            <w:pPr>
              <w:pStyle w:val="72"/>
              <w:rPr>
                <w:rFonts w:hint="eastAsia"/>
              </w:rPr>
            </w:pPr>
          </w:p>
        </w:tc>
        <w:tc>
          <w:tcPr>
            <w:tcW w:w="452" w:type="pct"/>
            <w:vMerge w:val="continue"/>
            <w:tcBorders>
              <w:left w:val="single" w:color="000000" w:sz="4" w:space="0"/>
              <w:right w:val="single" w:color="000000" w:sz="4" w:space="0"/>
            </w:tcBorders>
            <w:vAlign w:val="center"/>
          </w:tcPr>
          <w:p w14:paraId="398C5AFD">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bottom"/>
          </w:tcPr>
          <w:p w14:paraId="55970033">
            <w:pPr>
              <w:pStyle w:val="72"/>
              <w:rPr>
                <w:rFonts w:hint="default" w:ascii="Times New Roman" w:hAnsi="Times New Roman" w:eastAsia="仿宋" w:cs="Times New Roman"/>
                <w:sz w:val="20"/>
                <w:szCs w:val="20"/>
                <w:lang w:val="en-US" w:eastAsia="zh-CN"/>
              </w:rPr>
            </w:pPr>
            <w:r>
              <w:rPr>
                <w:rFonts w:hint="default" w:ascii="Times New Roman" w:hAnsi="Times New Roman" w:cs="Times New Roman"/>
                <w:sz w:val="20"/>
                <w:szCs w:val="20"/>
                <w:lang w:val="en-US" w:eastAsia="zh-CN"/>
              </w:rPr>
              <w:t>1.08</w:t>
            </w:r>
          </w:p>
        </w:tc>
      </w:tr>
      <w:tr w14:paraId="07BDAE71">
        <w:tblPrEx>
          <w:tblCellMar>
            <w:top w:w="0" w:type="dxa"/>
            <w:left w:w="108" w:type="dxa"/>
            <w:bottom w:w="0" w:type="dxa"/>
            <w:right w:w="108" w:type="dxa"/>
          </w:tblCellMar>
        </w:tblPrEx>
        <w:trPr>
          <w:trHeight w:val="183" w:hRule="atLeast"/>
          <w:jc w:val="center"/>
        </w:trPr>
        <w:tc>
          <w:tcPr>
            <w:tcW w:w="228" w:type="pct"/>
            <w:vMerge w:val="continue"/>
            <w:tcBorders>
              <w:left w:val="single" w:color="000000" w:sz="4" w:space="0"/>
              <w:right w:val="single" w:color="000000" w:sz="4" w:space="0"/>
            </w:tcBorders>
            <w:vAlign w:val="center"/>
          </w:tcPr>
          <w:p w14:paraId="12E6E815">
            <w:pPr>
              <w:pStyle w:val="72"/>
              <w:rPr>
                <w:rFonts w:hint="default" w:ascii="Times New Roman" w:hAnsi="Times New Roman" w:cs="Times New Roman"/>
              </w:rPr>
            </w:pPr>
          </w:p>
        </w:tc>
        <w:tc>
          <w:tcPr>
            <w:tcW w:w="565" w:type="pct"/>
            <w:vMerge w:val="continue"/>
            <w:tcBorders>
              <w:left w:val="single" w:color="000000" w:sz="4" w:space="0"/>
              <w:right w:val="single" w:color="000000" w:sz="4" w:space="0"/>
            </w:tcBorders>
            <w:vAlign w:val="center"/>
          </w:tcPr>
          <w:p w14:paraId="2ABD62E9">
            <w:pPr>
              <w:pStyle w:val="72"/>
              <w:rPr>
                <w:rFonts w:hint="default" w:ascii="Times New Roman" w:hAnsi="Times New Roman" w:cs="Times New Roman"/>
              </w:rPr>
            </w:pPr>
          </w:p>
        </w:tc>
        <w:tc>
          <w:tcPr>
            <w:tcW w:w="1178" w:type="pct"/>
            <w:tcBorders>
              <w:top w:val="single" w:color="000000" w:sz="4" w:space="0"/>
              <w:left w:val="single" w:color="000000" w:sz="4" w:space="0"/>
              <w:bottom w:val="single" w:color="000000" w:sz="4" w:space="0"/>
              <w:right w:val="single" w:color="000000" w:sz="4" w:space="0"/>
            </w:tcBorders>
            <w:vAlign w:val="center"/>
          </w:tcPr>
          <w:p w14:paraId="18ED967A">
            <w:pPr>
              <w:pStyle w:val="72"/>
              <w:rPr>
                <w:rFonts w:hint="default" w:ascii="仿宋" w:hAnsi="仿宋" w:eastAsia="仿宋"/>
                <w:sz w:val="20"/>
                <w:szCs w:val="20"/>
                <w:lang w:val="en-US" w:eastAsia="zh-CN"/>
              </w:rPr>
            </w:pPr>
            <w:r>
              <w:rPr>
                <w:rFonts w:hint="eastAsia" w:ascii="仿宋" w:hAnsi="仿宋"/>
                <w:sz w:val="20"/>
                <w:szCs w:val="20"/>
                <w:lang w:val="en-US" w:eastAsia="zh-CN"/>
              </w:rPr>
              <w:t>封堵平硐废石运输</w:t>
            </w:r>
          </w:p>
        </w:tc>
        <w:tc>
          <w:tcPr>
            <w:tcW w:w="606" w:type="pct"/>
            <w:vMerge w:val="continue"/>
            <w:tcBorders>
              <w:left w:val="single" w:color="000000" w:sz="4" w:space="0"/>
              <w:right w:val="single" w:color="000000" w:sz="4" w:space="0"/>
            </w:tcBorders>
            <w:vAlign w:val="center"/>
          </w:tcPr>
          <w:p w14:paraId="7DC98F9A">
            <w:pPr>
              <w:pStyle w:val="72"/>
              <w:rPr>
                <w:rFonts w:hint="default" w:ascii="Times New Roman" w:hAnsi="Times New Roman" w:cs="Times New Roman"/>
              </w:rPr>
            </w:pPr>
          </w:p>
        </w:tc>
        <w:tc>
          <w:tcPr>
            <w:tcW w:w="547" w:type="pct"/>
            <w:vMerge w:val="continue"/>
            <w:tcBorders>
              <w:left w:val="single" w:color="000000" w:sz="4" w:space="0"/>
              <w:right w:val="single" w:color="000000" w:sz="4" w:space="0"/>
            </w:tcBorders>
            <w:vAlign w:val="center"/>
          </w:tcPr>
          <w:p w14:paraId="208819CD">
            <w:pPr>
              <w:pStyle w:val="72"/>
              <w:rPr>
                <w:rFonts w:hint="eastAsia"/>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611F9252">
            <w:pPr>
              <w:pStyle w:val="72"/>
              <w:rPr>
                <w:rFonts w:hint="default" w:ascii="Times New Roman" w:hAnsi="Times New Roman" w:eastAsia="仿宋" w:cs="Times New Roman"/>
                <w:sz w:val="20"/>
                <w:szCs w:val="20"/>
                <w:lang w:val="en-US" w:eastAsia="zh-CN"/>
              </w:rPr>
            </w:pPr>
            <w:r>
              <w:rPr>
                <w:rFonts w:hint="default" w:ascii="Times New Roman" w:hAnsi="Times New Roman" w:cs="Times New Roman"/>
                <w:sz w:val="20"/>
                <w:szCs w:val="20"/>
                <w:lang w:val="en-US" w:eastAsia="zh-CN"/>
              </w:rPr>
              <w:t>1800</w:t>
            </w:r>
          </w:p>
        </w:tc>
        <w:tc>
          <w:tcPr>
            <w:tcW w:w="351" w:type="pct"/>
            <w:vMerge w:val="continue"/>
            <w:tcBorders>
              <w:left w:val="single" w:color="000000" w:sz="4" w:space="0"/>
              <w:right w:val="single" w:color="000000" w:sz="4" w:space="0"/>
            </w:tcBorders>
            <w:vAlign w:val="center"/>
          </w:tcPr>
          <w:p w14:paraId="6DE208B4">
            <w:pPr>
              <w:pStyle w:val="72"/>
              <w:rPr>
                <w:rFonts w:hint="eastAsia"/>
              </w:rPr>
            </w:pPr>
          </w:p>
        </w:tc>
        <w:tc>
          <w:tcPr>
            <w:tcW w:w="452" w:type="pct"/>
            <w:vMerge w:val="continue"/>
            <w:tcBorders>
              <w:left w:val="single" w:color="000000" w:sz="4" w:space="0"/>
              <w:right w:val="single" w:color="000000" w:sz="4" w:space="0"/>
            </w:tcBorders>
            <w:vAlign w:val="center"/>
          </w:tcPr>
          <w:p w14:paraId="0116FEDA">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bottom"/>
          </w:tcPr>
          <w:p w14:paraId="5AF21DFD">
            <w:pPr>
              <w:pStyle w:val="72"/>
              <w:rPr>
                <w:rFonts w:hint="default" w:ascii="Times New Roman" w:hAnsi="Times New Roman" w:eastAsia="仿宋" w:cs="Times New Roman"/>
                <w:sz w:val="20"/>
                <w:szCs w:val="20"/>
                <w:lang w:val="en-US" w:eastAsia="zh-CN"/>
              </w:rPr>
            </w:pPr>
            <w:r>
              <w:rPr>
                <w:rFonts w:hint="default" w:ascii="Times New Roman" w:hAnsi="Times New Roman" w:cs="Times New Roman"/>
                <w:sz w:val="20"/>
                <w:szCs w:val="20"/>
                <w:lang w:val="en-US" w:eastAsia="zh-CN"/>
              </w:rPr>
              <w:t>3.37</w:t>
            </w:r>
          </w:p>
        </w:tc>
      </w:tr>
      <w:tr w14:paraId="63147E05">
        <w:tblPrEx>
          <w:tblCellMar>
            <w:top w:w="0" w:type="dxa"/>
            <w:left w:w="108" w:type="dxa"/>
            <w:bottom w:w="0" w:type="dxa"/>
            <w:right w:w="108" w:type="dxa"/>
          </w:tblCellMar>
        </w:tblPrEx>
        <w:trPr>
          <w:trHeight w:val="183" w:hRule="atLeast"/>
          <w:jc w:val="center"/>
        </w:trPr>
        <w:tc>
          <w:tcPr>
            <w:tcW w:w="228" w:type="pct"/>
            <w:vMerge w:val="continue"/>
            <w:tcBorders>
              <w:left w:val="single" w:color="000000" w:sz="4" w:space="0"/>
              <w:right w:val="single" w:color="000000" w:sz="4" w:space="0"/>
            </w:tcBorders>
            <w:vAlign w:val="center"/>
          </w:tcPr>
          <w:p w14:paraId="6487AC20">
            <w:pPr>
              <w:pStyle w:val="72"/>
              <w:rPr>
                <w:rFonts w:hint="default" w:ascii="Times New Roman" w:hAnsi="Times New Roman" w:cs="Times New Roman"/>
              </w:rPr>
            </w:pPr>
          </w:p>
        </w:tc>
        <w:tc>
          <w:tcPr>
            <w:tcW w:w="565" w:type="pct"/>
            <w:vMerge w:val="continue"/>
            <w:tcBorders>
              <w:left w:val="single" w:color="000000" w:sz="4" w:space="0"/>
              <w:right w:val="single" w:color="000000" w:sz="4" w:space="0"/>
            </w:tcBorders>
            <w:vAlign w:val="center"/>
          </w:tcPr>
          <w:p w14:paraId="34E76D01">
            <w:pPr>
              <w:pStyle w:val="72"/>
              <w:rPr>
                <w:rFonts w:hint="default" w:ascii="Times New Roman" w:hAnsi="Times New Roman" w:cs="Times New Roman"/>
              </w:rPr>
            </w:pPr>
          </w:p>
        </w:tc>
        <w:tc>
          <w:tcPr>
            <w:tcW w:w="1178" w:type="pct"/>
            <w:tcBorders>
              <w:top w:val="single" w:color="000000" w:sz="4" w:space="0"/>
              <w:left w:val="single" w:color="000000" w:sz="4" w:space="0"/>
              <w:bottom w:val="single" w:color="000000" w:sz="4" w:space="0"/>
              <w:right w:val="single" w:color="000000" w:sz="4" w:space="0"/>
            </w:tcBorders>
            <w:vAlign w:val="center"/>
          </w:tcPr>
          <w:p w14:paraId="1221B4C5">
            <w:pPr>
              <w:pStyle w:val="72"/>
              <w:rPr>
                <w:rFonts w:hint="default" w:ascii="仿宋" w:hAnsi="仿宋" w:eastAsia="仿宋"/>
                <w:sz w:val="20"/>
                <w:szCs w:val="20"/>
                <w:lang w:val="en-US" w:eastAsia="zh-CN"/>
              </w:rPr>
            </w:pPr>
            <w:r>
              <w:rPr>
                <w:rFonts w:hint="eastAsia" w:ascii="仿宋" w:hAnsi="仿宋"/>
                <w:sz w:val="20"/>
                <w:szCs w:val="20"/>
                <w:lang w:val="en-US" w:eastAsia="zh-CN"/>
              </w:rPr>
              <w:t>表土堆场紫花苜蓿</w:t>
            </w:r>
          </w:p>
        </w:tc>
        <w:tc>
          <w:tcPr>
            <w:tcW w:w="606" w:type="pct"/>
            <w:vMerge w:val="continue"/>
            <w:tcBorders>
              <w:left w:val="single" w:color="000000" w:sz="4" w:space="0"/>
              <w:right w:val="single" w:color="000000" w:sz="4" w:space="0"/>
            </w:tcBorders>
            <w:vAlign w:val="center"/>
          </w:tcPr>
          <w:p w14:paraId="4469B224">
            <w:pPr>
              <w:pStyle w:val="72"/>
              <w:rPr>
                <w:rFonts w:hint="default" w:ascii="Times New Roman" w:hAnsi="Times New Roman" w:cs="Times New Roman"/>
              </w:rPr>
            </w:pPr>
          </w:p>
        </w:tc>
        <w:tc>
          <w:tcPr>
            <w:tcW w:w="547" w:type="pct"/>
            <w:vMerge w:val="continue"/>
            <w:tcBorders>
              <w:left w:val="single" w:color="000000" w:sz="4" w:space="0"/>
              <w:right w:val="single" w:color="000000" w:sz="4" w:space="0"/>
            </w:tcBorders>
            <w:vAlign w:val="center"/>
          </w:tcPr>
          <w:p w14:paraId="6C0D4981">
            <w:pPr>
              <w:pStyle w:val="72"/>
              <w:rPr>
                <w:rFonts w:hint="eastAsia"/>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6446112F">
            <w:pPr>
              <w:pStyle w:val="72"/>
              <w:rPr>
                <w:rFonts w:hint="default" w:ascii="Times New Roman" w:hAnsi="Times New Roman" w:eastAsia="仿宋" w:cs="Times New Roman"/>
                <w:sz w:val="20"/>
                <w:szCs w:val="20"/>
                <w:lang w:val="en-US" w:eastAsia="zh-CN"/>
              </w:rPr>
            </w:pPr>
            <w:r>
              <w:rPr>
                <w:rFonts w:hint="default" w:ascii="Times New Roman" w:hAnsi="Times New Roman" w:cs="Times New Roman"/>
                <w:sz w:val="20"/>
                <w:szCs w:val="20"/>
                <w:lang w:val="en-US" w:eastAsia="zh-CN"/>
              </w:rPr>
              <w:t>0.3</w:t>
            </w:r>
          </w:p>
        </w:tc>
        <w:tc>
          <w:tcPr>
            <w:tcW w:w="351" w:type="pct"/>
            <w:vMerge w:val="continue"/>
            <w:tcBorders>
              <w:left w:val="single" w:color="000000" w:sz="4" w:space="0"/>
              <w:right w:val="single" w:color="000000" w:sz="4" w:space="0"/>
            </w:tcBorders>
            <w:vAlign w:val="center"/>
          </w:tcPr>
          <w:p w14:paraId="1DC335A9">
            <w:pPr>
              <w:pStyle w:val="72"/>
              <w:rPr>
                <w:rFonts w:hint="eastAsia"/>
              </w:rPr>
            </w:pPr>
          </w:p>
        </w:tc>
        <w:tc>
          <w:tcPr>
            <w:tcW w:w="452" w:type="pct"/>
            <w:vMerge w:val="continue"/>
            <w:tcBorders>
              <w:left w:val="single" w:color="000000" w:sz="4" w:space="0"/>
              <w:right w:val="single" w:color="000000" w:sz="4" w:space="0"/>
            </w:tcBorders>
            <w:vAlign w:val="center"/>
          </w:tcPr>
          <w:p w14:paraId="2544F3F9">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bottom"/>
          </w:tcPr>
          <w:p w14:paraId="36E1DEC4">
            <w:pPr>
              <w:pStyle w:val="72"/>
              <w:jc w:val="both"/>
              <w:rPr>
                <w:rFonts w:hint="default" w:ascii="Times New Roman" w:hAnsi="Times New Roman" w:eastAsia="仿宋" w:cs="Times New Roman"/>
                <w:sz w:val="20"/>
                <w:szCs w:val="20"/>
                <w:lang w:val="en-US" w:eastAsia="zh-CN"/>
              </w:rPr>
            </w:pPr>
            <w:r>
              <w:rPr>
                <w:rFonts w:hint="default" w:ascii="Times New Roman" w:hAnsi="Times New Roman" w:cs="Times New Roman"/>
                <w:sz w:val="20"/>
                <w:szCs w:val="20"/>
                <w:lang w:val="en-US" w:eastAsia="zh-CN"/>
              </w:rPr>
              <w:t>0.0963</w:t>
            </w:r>
          </w:p>
        </w:tc>
      </w:tr>
      <w:tr w14:paraId="5440124D">
        <w:tblPrEx>
          <w:tblCellMar>
            <w:top w:w="0" w:type="dxa"/>
            <w:left w:w="108" w:type="dxa"/>
            <w:bottom w:w="0" w:type="dxa"/>
            <w:right w:w="108" w:type="dxa"/>
          </w:tblCellMar>
        </w:tblPrEx>
        <w:trPr>
          <w:trHeight w:val="183" w:hRule="atLeast"/>
          <w:jc w:val="center"/>
        </w:trPr>
        <w:tc>
          <w:tcPr>
            <w:tcW w:w="228" w:type="pct"/>
            <w:vMerge w:val="continue"/>
            <w:tcBorders>
              <w:left w:val="single" w:color="000000" w:sz="4" w:space="0"/>
              <w:right w:val="single" w:color="000000" w:sz="4" w:space="0"/>
            </w:tcBorders>
            <w:vAlign w:val="center"/>
          </w:tcPr>
          <w:p w14:paraId="40EB9F09">
            <w:pPr>
              <w:pStyle w:val="72"/>
              <w:rPr>
                <w:rFonts w:hint="default" w:ascii="Times New Roman" w:hAnsi="Times New Roman" w:cs="Times New Roman"/>
              </w:rPr>
            </w:pPr>
          </w:p>
        </w:tc>
        <w:tc>
          <w:tcPr>
            <w:tcW w:w="565" w:type="pct"/>
            <w:vMerge w:val="continue"/>
            <w:tcBorders>
              <w:left w:val="single" w:color="000000" w:sz="4" w:space="0"/>
              <w:right w:val="single" w:color="000000" w:sz="4" w:space="0"/>
            </w:tcBorders>
            <w:vAlign w:val="center"/>
          </w:tcPr>
          <w:p w14:paraId="5D984FFB">
            <w:pPr>
              <w:pStyle w:val="72"/>
              <w:rPr>
                <w:rFonts w:hint="default" w:ascii="Times New Roman" w:hAnsi="Times New Roman" w:cs="Times New Roman"/>
              </w:rPr>
            </w:pPr>
          </w:p>
        </w:tc>
        <w:tc>
          <w:tcPr>
            <w:tcW w:w="1178" w:type="pct"/>
            <w:tcBorders>
              <w:top w:val="single" w:color="000000" w:sz="4" w:space="0"/>
              <w:left w:val="single" w:color="000000" w:sz="4" w:space="0"/>
              <w:bottom w:val="single" w:color="000000" w:sz="4" w:space="0"/>
              <w:right w:val="single" w:color="000000" w:sz="4" w:space="0"/>
            </w:tcBorders>
            <w:vAlign w:val="center"/>
          </w:tcPr>
          <w:p w14:paraId="44118F51">
            <w:pPr>
              <w:pStyle w:val="72"/>
              <w:rPr>
                <w:rFonts w:hint="eastAsia" w:ascii="仿宋" w:hAnsi="仿宋"/>
                <w:sz w:val="20"/>
                <w:szCs w:val="20"/>
              </w:rPr>
            </w:pPr>
            <w:r>
              <w:rPr>
                <w:rFonts w:hint="eastAsia" w:ascii="仿宋" w:hAnsi="仿宋"/>
                <w:sz w:val="20"/>
                <w:szCs w:val="20"/>
              </w:rPr>
              <w:t>矿山地质环境监测</w:t>
            </w:r>
          </w:p>
        </w:tc>
        <w:tc>
          <w:tcPr>
            <w:tcW w:w="606" w:type="pct"/>
            <w:vMerge w:val="continue"/>
            <w:tcBorders>
              <w:left w:val="single" w:color="000000" w:sz="4" w:space="0"/>
              <w:right w:val="single" w:color="000000" w:sz="4" w:space="0"/>
            </w:tcBorders>
            <w:vAlign w:val="center"/>
          </w:tcPr>
          <w:p w14:paraId="0AAC462C">
            <w:pPr>
              <w:pStyle w:val="72"/>
              <w:rPr>
                <w:rFonts w:hint="default" w:ascii="Times New Roman" w:hAnsi="Times New Roman" w:cs="Times New Roman"/>
              </w:rPr>
            </w:pPr>
          </w:p>
        </w:tc>
        <w:tc>
          <w:tcPr>
            <w:tcW w:w="547" w:type="pct"/>
            <w:vMerge w:val="continue"/>
            <w:tcBorders>
              <w:left w:val="single" w:color="000000" w:sz="4" w:space="0"/>
              <w:right w:val="single" w:color="000000" w:sz="4" w:space="0"/>
            </w:tcBorders>
            <w:vAlign w:val="center"/>
          </w:tcPr>
          <w:p w14:paraId="43E57F4C">
            <w:pPr>
              <w:pStyle w:val="72"/>
              <w:rPr>
                <w:rFonts w:hint="eastAsia"/>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2F0DDB05">
            <w:pPr>
              <w:pStyle w:val="72"/>
              <w:rPr>
                <w:rFonts w:hint="default" w:ascii="Times New Roman" w:hAnsi="Times New Roman" w:cs="Times New Roman"/>
                <w:sz w:val="20"/>
                <w:szCs w:val="20"/>
              </w:rPr>
            </w:pPr>
            <w:r>
              <w:rPr>
                <w:rFonts w:hint="default" w:ascii="Times New Roman" w:hAnsi="Times New Roman" w:cs="Times New Roman"/>
                <w:sz w:val="20"/>
                <w:szCs w:val="20"/>
              </w:rPr>
              <w:t>15</w:t>
            </w:r>
          </w:p>
        </w:tc>
        <w:tc>
          <w:tcPr>
            <w:tcW w:w="351" w:type="pct"/>
            <w:vMerge w:val="continue"/>
            <w:tcBorders>
              <w:left w:val="single" w:color="000000" w:sz="4" w:space="0"/>
              <w:right w:val="single" w:color="000000" w:sz="4" w:space="0"/>
            </w:tcBorders>
            <w:vAlign w:val="center"/>
          </w:tcPr>
          <w:p w14:paraId="2053B06F">
            <w:pPr>
              <w:pStyle w:val="72"/>
              <w:rPr>
                <w:rFonts w:hint="eastAsia"/>
              </w:rPr>
            </w:pPr>
          </w:p>
        </w:tc>
        <w:tc>
          <w:tcPr>
            <w:tcW w:w="452" w:type="pct"/>
            <w:vMerge w:val="continue"/>
            <w:tcBorders>
              <w:left w:val="single" w:color="000000" w:sz="4" w:space="0"/>
              <w:right w:val="single" w:color="000000" w:sz="4" w:space="0"/>
            </w:tcBorders>
            <w:vAlign w:val="center"/>
          </w:tcPr>
          <w:p w14:paraId="0DC740C5">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bottom"/>
          </w:tcPr>
          <w:p w14:paraId="729193F8">
            <w:pPr>
              <w:pStyle w:val="72"/>
              <w:rPr>
                <w:rFonts w:hint="default" w:ascii="Times New Roman" w:hAnsi="Times New Roman" w:cs="Times New Roman"/>
                <w:sz w:val="20"/>
                <w:szCs w:val="20"/>
              </w:rPr>
            </w:pPr>
            <w:r>
              <w:rPr>
                <w:rFonts w:hint="default" w:ascii="Times New Roman" w:hAnsi="Times New Roman" w:cs="Times New Roman"/>
                <w:sz w:val="20"/>
                <w:szCs w:val="20"/>
              </w:rPr>
              <w:t>0.3</w:t>
            </w:r>
          </w:p>
        </w:tc>
      </w:tr>
      <w:tr w14:paraId="4D5B1664">
        <w:tblPrEx>
          <w:tblCellMar>
            <w:top w:w="0" w:type="dxa"/>
            <w:left w:w="108" w:type="dxa"/>
            <w:bottom w:w="0" w:type="dxa"/>
            <w:right w:w="108" w:type="dxa"/>
          </w:tblCellMar>
        </w:tblPrEx>
        <w:trPr>
          <w:trHeight w:val="96" w:hRule="atLeast"/>
          <w:jc w:val="center"/>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14:paraId="5F5A5938">
            <w:pPr>
              <w:pStyle w:val="72"/>
              <w:rPr>
                <w:rFonts w:hint="default" w:ascii="Times New Roman" w:hAnsi="Times New Roman" w:cs="Times New Roman"/>
              </w:rPr>
            </w:pPr>
          </w:p>
        </w:tc>
        <w:tc>
          <w:tcPr>
            <w:tcW w:w="565" w:type="pct"/>
            <w:vMerge w:val="continue"/>
            <w:tcBorders>
              <w:top w:val="single" w:color="000000" w:sz="4" w:space="0"/>
              <w:left w:val="single" w:color="000000" w:sz="4" w:space="0"/>
              <w:bottom w:val="single" w:color="000000" w:sz="4" w:space="0"/>
              <w:right w:val="single" w:color="000000" w:sz="4" w:space="0"/>
            </w:tcBorders>
            <w:vAlign w:val="center"/>
          </w:tcPr>
          <w:p w14:paraId="6AEE027A">
            <w:pPr>
              <w:pStyle w:val="72"/>
              <w:rPr>
                <w:rFonts w:hint="default" w:ascii="Times New Roman" w:hAnsi="Times New Roman" w:cs="Times New Roman"/>
              </w:rPr>
            </w:pPr>
          </w:p>
        </w:tc>
        <w:tc>
          <w:tcPr>
            <w:tcW w:w="1178" w:type="pct"/>
            <w:tcBorders>
              <w:top w:val="single" w:color="000000" w:sz="4" w:space="0"/>
              <w:left w:val="single" w:color="000000" w:sz="4" w:space="0"/>
              <w:bottom w:val="single" w:color="000000" w:sz="4" w:space="0"/>
              <w:right w:val="single" w:color="000000" w:sz="4" w:space="0"/>
            </w:tcBorders>
            <w:vAlign w:val="center"/>
          </w:tcPr>
          <w:p w14:paraId="47E1EB4B">
            <w:pPr>
              <w:pStyle w:val="72"/>
              <w:rPr>
                <w:rFonts w:hint="eastAsia"/>
              </w:rPr>
            </w:pPr>
            <w:r>
              <w:rPr>
                <w:rFonts w:hint="eastAsia" w:ascii="仿宋" w:hAnsi="仿宋"/>
                <w:sz w:val="20"/>
                <w:szCs w:val="20"/>
              </w:rPr>
              <w:t>土地资源生态监测</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410C8885">
            <w:pPr>
              <w:pStyle w:val="72"/>
              <w:rPr>
                <w:rFonts w:hint="default" w:ascii="Times New Roman" w:hAnsi="Times New Roman" w:cs="Times New Roman"/>
              </w:rPr>
            </w:pPr>
          </w:p>
        </w:tc>
        <w:tc>
          <w:tcPr>
            <w:tcW w:w="547" w:type="pct"/>
            <w:vMerge w:val="continue"/>
            <w:tcBorders>
              <w:top w:val="single" w:color="000000" w:sz="4" w:space="0"/>
              <w:left w:val="single" w:color="000000" w:sz="4" w:space="0"/>
              <w:bottom w:val="single" w:color="000000" w:sz="4" w:space="0"/>
              <w:right w:val="single" w:color="000000" w:sz="4" w:space="0"/>
            </w:tcBorders>
            <w:vAlign w:val="center"/>
          </w:tcPr>
          <w:p w14:paraId="18DE1BDA">
            <w:pPr>
              <w:pStyle w:val="72"/>
              <w:rPr>
                <w:rFonts w:hint="eastAsia"/>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1BDF4341">
            <w:pPr>
              <w:pStyle w:val="72"/>
              <w:rPr>
                <w:rFonts w:hint="default" w:ascii="Times New Roman" w:hAnsi="Times New Roman" w:cs="Times New Roman"/>
              </w:rPr>
            </w:pPr>
            <w:r>
              <w:rPr>
                <w:rFonts w:hint="default" w:ascii="Times New Roman" w:hAnsi="Times New Roman" w:cs="Times New Roman"/>
                <w:sz w:val="20"/>
                <w:szCs w:val="20"/>
              </w:rPr>
              <w:t>2</w:t>
            </w:r>
          </w:p>
        </w:tc>
        <w:tc>
          <w:tcPr>
            <w:tcW w:w="351" w:type="pct"/>
            <w:vMerge w:val="continue"/>
            <w:tcBorders>
              <w:top w:val="single" w:color="000000" w:sz="4" w:space="0"/>
              <w:left w:val="single" w:color="000000" w:sz="4" w:space="0"/>
              <w:bottom w:val="single" w:color="000000" w:sz="4" w:space="0"/>
              <w:right w:val="single" w:color="000000" w:sz="4" w:space="0"/>
            </w:tcBorders>
            <w:vAlign w:val="center"/>
          </w:tcPr>
          <w:p w14:paraId="5F23CBE9">
            <w:pPr>
              <w:pStyle w:val="72"/>
              <w:rPr>
                <w:rFonts w:hint="eastAsia"/>
              </w:rPr>
            </w:pPr>
          </w:p>
        </w:tc>
        <w:tc>
          <w:tcPr>
            <w:tcW w:w="452" w:type="pct"/>
            <w:vMerge w:val="continue"/>
            <w:tcBorders>
              <w:top w:val="single" w:color="000000" w:sz="4" w:space="0"/>
              <w:left w:val="single" w:color="000000" w:sz="4" w:space="0"/>
              <w:bottom w:val="single" w:color="000000" w:sz="4" w:space="0"/>
              <w:right w:val="single" w:color="000000" w:sz="4" w:space="0"/>
            </w:tcBorders>
            <w:vAlign w:val="center"/>
          </w:tcPr>
          <w:p w14:paraId="7B52856E">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bottom"/>
          </w:tcPr>
          <w:p w14:paraId="27D5BA5C">
            <w:pPr>
              <w:pStyle w:val="72"/>
              <w:rPr>
                <w:rFonts w:hint="default" w:ascii="Times New Roman" w:hAnsi="Times New Roman" w:cs="Times New Roman"/>
              </w:rPr>
            </w:pPr>
            <w:r>
              <w:rPr>
                <w:rFonts w:hint="default" w:ascii="Times New Roman" w:hAnsi="Times New Roman" w:cs="Times New Roman"/>
                <w:sz w:val="20"/>
                <w:szCs w:val="20"/>
              </w:rPr>
              <w:t>0.04</w:t>
            </w:r>
          </w:p>
        </w:tc>
      </w:tr>
      <w:tr w14:paraId="18BF7DF0">
        <w:tblPrEx>
          <w:tblCellMar>
            <w:top w:w="0" w:type="dxa"/>
            <w:left w:w="108" w:type="dxa"/>
            <w:bottom w:w="0" w:type="dxa"/>
            <w:right w:w="108" w:type="dxa"/>
          </w:tblCellMar>
        </w:tblPrEx>
        <w:trPr>
          <w:trHeight w:val="96" w:hRule="atLeast"/>
          <w:jc w:val="center"/>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14:paraId="3A76D24B">
            <w:pPr>
              <w:pStyle w:val="72"/>
              <w:rPr>
                <w:rFonts w:hint="default" w:ascii="Times New Roman" w:hAnsi="Times New Roman" w:cs="Times New Roman"/>
              </w:rPr>
            </w:pPr>
          </w:p>
        </w:tc>
        <w:tc>
          <w:tcPr>
            <w:tcW w:w="565" w:type="pct"/>
            <w:vMerge w:val="continue"/>
            <w:tcBorders>
              <w:top w:val="single" w:color="000000" w:sz="4" w:space="0"/>
              <w:left w:val="single" w:color="000000" w:sz="4" w:space="0"/>
              <w:bottom w:val="single" w:color="000000" w:sz="4" w:space="0"/>
              <w:right w:val="single" w:color="000000" w:sz="4" w:space="0"/>
            </w:tcBorders>
            <w:vAlign w:val="center"/>
          </w:tcPr>
          <w:p w14:paraId="7B6E6A86">
            <w:pPr>
              <w:pStyle w:val="72"/>
              <w:rPr>
                <w:rFonts w:hint="default" w:ascii="Times New Roman" w:hAnsi="Times New Roman" w:cs="Times New Roman"/>
              </w:rPr>
            </w:pPr>
          </w:p>
        </w:tc>
        <w:tc>
          <w:tcPr>
            <w:tcW w:w="1178" w:type="pct"/>
            <w:tcBorders>
              <w:top w:val="single" w:color="000000" w:sz="4" w:space="0"/>
              <w:left w:val="single" w:color="000000" w:sz="4" w:space="0"/>
              <w:bottom w:val="single" w:color="000000" w:sz="4" w:space="0"/>
              <w:right w:val="single" w:color="000000" w:sz="4" w:space="0"/>
            </w:tcBorders>
            <w:vAlign w:val="center"/>
          </w:tcPr>
          <w:p w14:paraId="55F98A5E">
            <w:pPr>
              <w:pStyle w:val="72"/>
              <w:rPr>
                <w:rFonts w:hint="eastAsia"/>
              </w:rPr>
            </w:pPr>
            <w:r>
              <w:rPr>
                <w:rFonts w:hint="eastAsia" w:ascii="仿宋" w:hAnsi="仿宋"/>
                <w:sz w:val="20"/>
                <w:szCs w:val="20"/>
              </w:rPr>
              <w:t>地下水水质监测</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613E235E">
            <w:pPr>
              <w:pStyle w:val="72"/>
              <w:rPr>
                <w:rFonts w:hint="default" w:ascii="Times New Roman" w:hAnsi="Times New Roman" w:cs="Times New Roman"/>
              </w:rPr>
            </w:pPr>
          </w:p>
        </w:tc>
        <w:tc>
          <w:tcPr>
            <w:tcW w:w="547" w:type="pct"/>
            <w:vMerge w:val="continue"/>
            <w:tcBorders>
              <w:top w:val="single" w:color="000000" w:sz="4" w:space="0"/>
              <w:left w:val="single" w:color="000000" w:sz="4" w:space="0"/>
              <w:bottom w:val="single" w:color="000000" w:sz="4" w:space="0"/>
              <w:right w:val="single" w:color="000000" w:sz="4" w:space="0"/>
            </w:tcBorders>
            <w:vAlign w:val="center"/>
          </w:tcPr>
          <w:p w14:paraId="27DFCA95">
            <w:pPr>
              <w:pStyle w:val="72"/>
              <w:rPr>
                <w:rFonts w:hint="eastAsia"/>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4F6B6C27">
            <w:pPr>
              <w:pStyle w:val="72"/>
              <w:rPr>
                <w:rFonts w:hint="default" w:ascii="Times New Roman" w:hAnsi="Times New Roman" w:cs="Times New Roman"/>
              </w:rPr>
            </w:pPr>
            <w:r>
              <w:rPr>
                <w:rFonts w:hint="default" w:ascii="Times New Roman" w:hAnsi="Times New Roman" w:cs="Times New Roman"/>
                <w:sz w:val="20"/>
                <w:szCs w:val="20"/>
              </w:rPr>
              <w:t>2</w:t>
            </w:r>
          </w:p>
        </w:tc>
        <w:tc>
          <w:tcPr>
            <w:tcW w:w="351" w:type="pct"/>
            <w:vMerge w:val="continue"/>
            <w:tcBorders>
              <w:top w:val="single" w:color="000000" w:sz="4" w:space="0"/>
              <w:left w:val="single" w:color="000000" w:sz="4" w:space="0"/>
              <w:bottom w:val="single" w:color="000000" w:sz="4" w:space="0"/>
              <w:right w:val="single" w:color="000000" w:sz="4" w:space="0"/>
            </w:tcBorders>
            <w:vAlign w:val="center"/>
          </w:tcPr>
          <w:p w14:paraId="6720EC95">
            <w:pPr>
              <w:pStyle w:val="72"/>
              <w:rPr>
                <w:rFonts w:hint="eastAsia"/>
              </w:rPr>
            </w:pPr>
          </w:p>
        </w:tc>
        <w:tc>
          <w:tcPr>
            <w:tcW w:w="452" w:type="pct"/>
            <w:vMerge w:val="continue"/>
            <w:tcBorders>
              <w:top w:val="single" w:color="000000" w:sz="4" w:space="0"/>
              <w:left w:val="single" w:color="000000" w:sz="4" w:space="0"/>
              <w:bottom w:val="single" w:color="000000" w:sz="4" w:space="0"/>
              <w:right w:val="single" w:color="000000" w:sz="4" w:space="0"/>
            </w:tcBorders>
            <w:vAlign w:val="center"/>
          </w:tcPr>
          <w:p w14:paraId="7520F6DA">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bottom"/>
          </w:tcPr>
          <w:p w14:paraId="0CAB0A86">
            <w:pPr>
              <w:pStyle w:val="72"/>
              <w:rPr>
                <w:rFonts w:hint="default" w:ascii="Times New Roman" w:hAnsi="Times New Roman" w:cs="Times New Roman"/>
              </w:rPr>
            </w:pPr>
            <w:r>
              <w:rPr>
                <w:rFonts w:hint="default" w:ascii="Times New Roman" w:hAnsi="Times New Roman" w:cs="Times New Roman"/>
                <w:sz w:val="20"/>
                <w:szCs w:val="20"/>
              </w:rPr>
              <w:t>0.4</w:t>
            </w:r>
          </w:p>
        </w:tc>
      </w:tr>
      <w:tr w14:paraId="3698427A">
        <w:tblPrEx>
          <w:tblCellMar>
            <w:top w:w="0" w:type="dxa"/>
            <w:left w:w="108" w:type="dxa"/>
            <w:bottom w:w="0" w:type="dxa"/>
            <w:right w:w="108" w:type="dxa"/>
          </w:tblCellMar>
        </w:tblPrEx>
        <w:trPr>
          <w:trHeight w:val="96" w:hRule="atLeast"/>
          <w:jc w:val="center"/>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14:paraId="55B17EF7">
            <w:pPr>
              <w:pStyle w:val="72"/>
              <w:rPr>
                <w:rFonts w:hint="default" w:ascii="Times New Roman" w:hAnsi="Times New Roman" w:cs="Times New Roman"/>
              </w:rPr>
            </w:pPr>
          </w:p>
        </w:tc>
        <w:tc>
          <w:tcPr>
            <w:tcW w:w="565" w:type="pct"/>
            <w:vMerge w:val="continue"/>
            <w:tcBorders>
              <w:top w:val="single" w:color="000000" w:sz="4" w:space="0"/>
              <w:left w:val="single" w:color="000000" w:sz="4" w:space="0"/>
              <w:bottom w:val="single" w:color="000000" w:sz="4" w:space="0"/>
              <w:right w:val="single" w:color="000000" w:sz="4" w:space="0"/>
            </w:tcBorders>
            <w:vAlign w:val="center"/>
          </w:tcPr>
          <w:p w14:paraId="1560AC0A">
            <w:pPr>
              <w:pStyle w:val="72"/>
              <w:rPr>
                <w:rFonts w:hint="default" w:ascii="Times New Roman" w:hAnsi="Times New Roman" w:cs="Times New Roman"/>
              </w:rPr>
            </w:pPr>
          </w:p>
        </w:tc>
        <w:tc>
          <w:tcPr>
            <w:tcW w:w="1178" w:type="pct"/>
            <w:tcBorders>
              <w:top w:val="single" w:color="000000" w:sz="4" w:space="0"/>
              <w:left w:val="single" w:color="000000" w:sz="4" w:space="0"/>
              <w:bottom w:val="single" w:color="000000" w:sz="4" w:space="0"/>
              <w:right w:val="single" w:color="000000" w:sz="4" w:space="0"/>
            </w:tcBorders>
            <w:vAlign w:val="center"/>
          </w:tcPr>
          <w:p w14:paraId="38B4BB19">
            <w:pPr>
              <w:pStyle w:val="72"/>
              <w:rPr>
                <w:rFonts w:hint="eastAsia"/>
              </w:rPr>
            </w:pPr>
            <w:r>
              <w:rPr>
                <w:rFonts w:hint="eastAsia" w:ascii="仿宋" w:hAnsi="仿宋"/>
                <w:sz w:val="20"/>
                <w:szCs w:val="20"/>
              </w:rPr>
              <w:t>地下水水量监测</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087A8228">
            <w:pPr>
              <w:pStyle w:val="72"/>
              <w:rPr>
                <w:rFonts w:hint="default" w:ascii="Times New Roman" w:hAnsi="Times New Roman" w:cs="Times New Roman"/>
              </w:rPr>
            </w:pPr>
          </w:p>
        </w:tc>
        <w:tc>
          <w:tcPr>
            <w:tcW w:w="547" w:type="pct"/>
            <w:vMerge w:val="continue"/>
            <w:tcBorders>
              <w:top w:val="single" w:color="000000" w:sz="4" w:space="0"/>
              <w:left w:val="single" w:color="000000" w:sz="4" w:space="0"/>
              <w:bottom w:val="single" w:color="000000" w:sz="4" w:space="0"/>
              <w:right w:val="single" w:color="000000" w:sz="4" w:space="0"/>
            </w:tcBorders>
            <w:vAlign w:val="center"/>
          </w:tcPr>
          <w:p w14:paraId="5EDFE45D">
            <w:pPr>
              <w:pStyle w:val="72"/>
              <w:rPr>
                <w:rFonts w:hint="eastAsia"/>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4E48A797">
            <w:pPr>
              <w:pStyle w:val="72"/>
              <w:rPr>
                <w:rFonts w:hint="default" w:ascii="Times New Roman" w:hAnsi="Times New Roman" w:cs="Times New Roman"/>
              </w:rPr>
            </w:pPr>
            <w:r>
              <w:rPr>
                <w:rFonts w:hint="default" w:ascii="Times New Roman" w:hAnsi="Times New Roman" w:cs="Times New Roman"/>
                <w:sz w:val="20"/>
                <w:szCs w:val="20"/>
              </w:rPr>
              <w:t>12</w:t>
            </w:r>
          </w:p>
        </w:tc>
        <w:tc>
          <w:tcPr>
            <w:tcW w:w="351" w:type="pct"/>
            <w:vMerge w:val="continue"/>
            <w:tcBorders>
              <w:top w:val="single" w:color="000000" w:sz="4" w:space="0"/>
              <w:left w:val="single" w:color="000000" w:sz="4" w:space="0"/>
              <w:bottom w:val="single" w:color="000000" w:sz="4" w:space="0"/>
              <w:right w:val="single" w:color="000000" w:sz="4" w:space="0"/>
            </w:tcBorders>
            <w:vAlign w:val="center"/>
          </w:tcPr>
          <w:p w14:paraId="54522398">
            <w:pPr>
              <w:pStyle w:val="72"/>
              <w:rPr>
                <w:rFonts w:hint="eastAsia"/>
              </w:rPr>
            </w:pPr>
          </w:p>
        </w:tc>
        <w:tc>
          <w:tcPr>
            <w:tcW w:w="452" w:type="pct"/>
            <w:vMerge w:val="continue"/>
            <w:tcBorders>
              <w:top w:val="single" w:color="000000" w:sz="4" w:space="0"/>
              <w:left w:val="single" w:color="000000" w:sz="4" w:space="0"/>
              <w:bottom w:val="single" w:color="000000" w:sz="4" w:space="0"/>
              <w:right w:val="single" w:color="000000" w:sz="4" w:space="0"/>
            </w:tcBorders>
            <w:vAlign w:val="center"/>
          </w:tcPr>
          <w:p w14:paraId="6E2C72F4">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bottom"/>
          </w:tcPr>
          <w:p w14:paraId="3A42FAB2">
            <w:pPr>
              <w:pStyle w:val="72"/>
              <w:rPr>
                <w:rFonts w:hint="default" w:ascii="Times New Roman" w:hAnsi="Times New Roman" w:cs="Times New Roman"/>
              </w:rPr>
            </w:pPr>
            <w:r>
              <w:rPr>
                <w:rFonts w:hint="default" w:ascii="Times New Roman" w:hAnsi="Times New Roman" w:cs="Times New Roman"/>
                <w:sz w:val="20"/>
                <w:szCs w:val="20"/>
              </w:rPr>
              <w:t>0.24</w:t>
            </w:r>
          </w:p>
        </w:tc>
      </w:tr>
      <w:tr w14:paraId="4A392087">
        <w:tblPrEx>
          <w:tblCellMar>
            <w:top w:w="0" w:type="dxa"/>
            <w:left w:w="108" w:type="dxa"/>
            <w:bottom w:w="0" w:type="dxa"/>
            <w:right w:w="108" w:type="dxa"/>
          </w:tblCellMar>
        </w:tblPrEx>
        <w:trPr>
          <w:trHeight w:val="183" w:hRule="atLeast"/>
          <w:jc w:val="center"/>
        </w:trPr>
        <w:tc>
          <w:tcPr>
            <w:tcW w:w="4096" w:type="pct"/>
            <w:gridSpan w:val="7"/>
            <w:tcBorders>
              <w:top w:val="single" w:color="000000" w:sz="4" w:space="0"/>
              <w:left w:val="single" w:color="000000" w:sz="4" w:space="0"/>
              <w:bottom w:val="single" w:color="000000" w:sz="4" w:space="0"/>
              <w:right w:val="single" w:color="000000" w:sz="4" w:space="0"/>
            </w:tcBorders>
            <w:vAlign w:val="center"/>
          </w:tcPr>
          <w:p w14:paraId="0A3B048F">
            <w:pPr>
              <w:pStyle w:val="72"/>
              <w:rPr>
                <w:rFonts w:hint="default" w:ascii="Times New Roman" w:hAnsi="Times New Roman" w:cs="Times New Roman"/>
              </w:rPr>
            </w:pPr>
            <w:r>
              <w:rPr>
                <w:rFonts w:hint="default" w:ascii="Times New Roman" w:hAnsi="Times New Roman" w:cs="Times New Roman"/>
              </w:rPr>
              <w:t>小计</w:t>
            </w:r>
          </w:p>
        </w:tc>
        <w:tc>
          <w:tcPr>
            <w:tcW w:w="452" w:type="pct"/>
            <w:tcBorders>
              <w:top w:val="single" w:color="000000" w:sz="4" w:space="0"/>
              <w:left w:val="single" w:color="000000" w:sz="4" w:space="0"/>
              <w:bottom w:val="single" w:color="000000" w:sz="4" w:space="0"/>
              <w:right w:val="single" w:color="000000" w:sz="4" w:space="0"/>
            </w:tcBorders>
            <w:vAlign w:val="center"/>
          </w:tcPr>
          <w:p w14:paraId="152AAB4F">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center"/>
          </w:tcPr>
          <w:p w14:paraId="20FAA282">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8.44</w:t>
            </w:r>
          </w:p>
        </w:tc>
      </w:tr>
      <w:tr w14:paraId="79F6287C">
        <w:tblPrEx>
          <w:tblCellMar>
            <w:top w:w="0" w:type="dxa"/>
            <w:left w:w="108" w:type="dxa"/>
            <w:bottom w:w="0" w:type="dxa"/>
            <w:right w:w="108" w:type="dxa"/>
          </w:tblCellMar>
        </w:tblPrEx>
        <w:trPr>
          <w:trHeight w:val="174" w:hRule="atLeast"/>
          <w:jc w:val="center"/>
        </w:trPr>
        <w:tc>
          <w:tcPr>
            <w:tcW w:w="228" w:type="pct"/>
            <w:vMerge w:val="restart"/>
            <w:tcBorders>
              <w:top w:val="single" w:color="000000" w:sz="4" w:space="0"/>
              <w:left w:val="single" w:color="000000" w:sz="4" w:space="0"/>
              <w:bottom w:val="single" w:color="000000" w:sz="4" w:space="0"/>
              <w:right w:val="single" w:color="000000" w:sz="4" w:space="0"/>
            </w:tcBorders>
            <w:vAlign w:val="center"/>
          </w:tcPr>
          <w:p w14:paraId="0CA1C9F1">
            <w:pPr>
              <w:pStyle w:val="72"/>
              <w:rPr>
                <w:rFonts w:hint="default" w:ascii="Times New Roman" w:hAnsi="Times New Roman" w:cs="Times New Roman"/>
              </w:rPr>
            </w:pPr>
            <w:r>
              <w:rPr>
                <w:rFonts w:hint="default" w:ascii="Times New Roman" w:hAnsi="Times New Roman" w:cs="Times New Roman"/>
              </w:rPr>
              <w:t>2</w:t>
            </w:r>
          </w:p>
        </w:tc>
        <w:tc>
          <w:tcPr>
            <w:tcW w:w="565" w:type="pct"/>
            <w:vMerge w:val="restart"/>
            <w:tcBorders>
              <w:top w:val="single" w:color="000000" w:sz="4" w:space="0"/>
              <w:left w:val="single" w:color="000000" w:sz="4" w:space="0"/>
              <w:bottom w:val="single" w:color="000000" w:sz="4" w:space="0"/>
              <w:right w:val="single" w:color="000000" w:sz="4" w:space="0"/>
            </w:tcBorders>
            <w:vAlign w:val="center"/>
          </w:tcPr>
          <w:p w14:paraId="35CCCF6F">
            <w:pPr>
              <w:pStyle w:val="72"/>
              <w:rPr>
                <w:rFonts w:hint="default" w:ascii="Times New Roman" w:hAnsi="Times New Roman" w:cs="Times New Roman"/>
              </w:rPr>
            </w:pPr>
            <w:r>
              <w:rPr>
                <w:rFonts w:hint="default" w:ascii="Times New Roman" w:hAnsi="Times New Roman" w:cs="Times New Roman"/>
              </w:rPr>
              <w:t>第二年度（2027）</w:t>
            </w:r>
          </w:p>
        </w:tc>
        <w:tc>
          <w:tcPr>
            <w:tcW w:w="1178" w:type="pct"/>
            <w:tcBorders>
              <w:top w:val="single" w:color="000000" w:sz="4" w:space="0"/>
              <w:left w:val="single" w:color="000000" w:sz="4" w:space="0"/>
              <w:bottom w:val="single" w:color="000000" w:sz="4" w:space="0"/>
              <w:right w:val="single" w:color="000000" w:sz="4" w:space="0"/>
            </w:tcBorders>
            <w:vAlign w:val="center"/>
          </w:tcPr>
          <w:p w14:paraId="0D3EA799">
            <w:pPr>
              <w:pStyle w:val="72"/>
              <w:rPr>
                <w:rFonts w:hint="eastAsia"/>
              </w:rPr>
            </w:pPr>
            <w:r>
              <w:rPr>
                <w:rFonts w:hint="eastAsia" w:ascii="仿宋" w:hAnsi="仿宋"/>
                <w:sz w:val="20"/>
                <w:szCs w:val="20"/>
                <w:lang w:val="en-US" w:eastAsia="zh-CN"/>
              </w:rPr>
              <w:t>表土堆场紫花苜蓿</w:t>
            </w:r>
          </w:p>
        </w:tc>
        <w:tc>
          <w:tcPr>
            <w:tcW w:w="606" w:type="pct"/>
            <w:vMerge w:val="restart"/>
            <w:tcBorders>
              <w:top w:val="single" w:color="000000" w:sz="4" w:space="0"/>
              <w:left w:val="single" w:color="000000" w:sz="4" w:space="0"/>
              <w:bottom w:val="single" w:color="000000" w:sz="4" w:space="0"/>
              <w:right w:val="single" w:color="000000" w:sz="4" w:space="0"/>
            </w:tcBorders>
            <w:vAlign w:val="center"/>
          </w:tcPr>
          <w:p w14:paraId="37B05CFE">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490m平硐工业广场</w:t>
            </w:r>
          </w:p>
        </w:tc>
        <w:tc>
          <w:tcPr>
            <w:tcW w:w="547" w:type="pct"/>
            <w:vMerge w:val="restart"/>
            <w:tcBorders>
              <w:top w:val="single" w:color="000000" w:sz="4" w:space="0"/>
              <w:left w:val="single" w:color="000000" w:sz="4" w:space="0"/>
              <w:bottom w:val="single" w:color="000000" w:sz="4" w:space="0"/>
              <w:right w:val="single" w:color="000000" w:sz="4" w:space="0"/>
            </w:tcBorders>
            <w:vAlign w:val="center"/>
          </w:tcPr>
          <w:p w14:paraId="03EC4FE6">
            <w:pPr>
              <w:pStyle w:val="72"/>
              <w:rPr>
                <w:rFonts w:hint="eastAsia"/>
              </w:rPr>
            </w:pPr>
            <w:r>
              <w:rPr>
                <w:rFonts w:hint="eastAsia"/>
              </w:rPr>
              <w:t>是</w:t>
            </w:r>
          </w:p>
        </w:tc>
        <w:tc>
          <w:tcPr>
            <w:tcW w:w="621" w:type="pct"/>
            <w:tcBorders>
              <w:top w:val="single" w:color="000000" w:sz="4" w:space="0"/>
              <w:left w:val="single" w:color="000000" w:sz="4" w:space="0"/>
              <w:bottom w:val="single" w:color="000000" w:sz="4" w:space="0"/>
              <w:right w:val="single" w:color="000000" w:sz="4" w:space="0"/>
            </w:tcBorders>
            <w:vAlign w:val="center"/>
          </w:tcPr>
          <w:p w14:paraId="1BC1D2F2">
            <w:pPr>
              <w:pStyle w:val="72"/>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0.3</w:t>
            </w:r>
          </w:p>
        </w:tc>
        <w:tc>
          <w:tcPr>
            <w:tcW w:w="351" w:type="pct"/>
            <w:vMerge w:val="restart"/>
            <w:tcBorders>
              <w:top w:val="single" w:color="000000" w:sz="4" w:space="0"/>
              <w:left w:val="single" w:color="000000" w:sz="4" w:space="0"/>
              <w:bottom w:val="single" w:color="000000" w:sz="4" w:space="0"/>
              <w:right w:val="single" w:color="000000" w:sz="4" w:space="0"/>
            </w:tcBorders>
            <w:vAlign w:val="center"/>
          </w:tcPr>
          <w:p w14:paraId="75C63DB7">
            <w:pPr>
              <w:pStyle w:val="72"/>
              <w:rPr>
                <w:rFonts w:hint="eastAsia"/>
              </w:rPr>
            </w:pPr>
            <w:r>
              <w:rPr>
                <w:rFonts w:hint="eastAsia"/>
              </w:rPr>
              <w:t>--</w:t>
            </w:r>
          </w:p>
        </w:tc>
        <w:tc>
          <w:tcPr>
            <w:tcW w:w="452" w:type="pct"/>
            <w:vMerge w:val="restart"/>
            <w:tcBorders>
              <w:top w:val="single" w:color="000000" w:sz="4" w:space="0"/>
              <w:left w:val="single" w:color="000000" w:sz="4" w:space="0"/>
              <w:bottom w:val="single" w:color="000000" w:sz="4" w:space="0"/>
              <w:right w:val="single" w:color="000000" w:sz="4" w:space="0"/>
            </w:tcBorders>
            <w:vAlign w:val="center"/>
          </w:tcPr>
          <w:p w14:paraId="513A9156">
            <w:pPr>
              <w:pStyle w:val="72"/>
              <w:rPr>
                <w:rFonts w:hint="eastAsia"/>
              </w:rPr>
            </w:pPr>
            <w:r>
              <w:rPr>
                <w:rFonts w:hint="eastAsia"/>
              </w:rPr>
              <w:t>--</w:t>
            </w:r>
          </w:p>
        </w:tc>
        <w:tc>
          <w:tcPr>
            <w:tcW w:w="452" w:type="pct"/>
            <w:tcBorders>
              <w:top w:val="single" w:color="000000" w:sz="4" w:space="0"/>
              <w:left w:val="single" w:color="000000" w:sz="4" w:space="0"/>
              <w:bottom w:val="single" w:color="000000" w:sz="4" w:space="0"/>
              <w:right w:val="single" w:color="000000" w:sz="4" w:space="0"/>
            </w:tcBorders>
            <w:vAlign w:val="bottom"/>
          </w:tcPr>
          <w:p w14:paraId="4EE673D2">
            <w:pPr>
              <w:pStyle w:val="72"/>
              <w:rPr>
                <w:rFonts w:hint="default" w:ascii="Times New Roman" w:hAnsi="Times New Roman" w:cs="Times New Roman"/>
              </w:rPr>
            </w:pPr>
            <w:r>
              <w:rPr>
                <w:rFonts w:hint="default" w:ascii="Times New Roman" w:hAnsi="Times New Roman" w:cs="Times New Roman"/>
                <w:sz w:val="20"/>
                <w:szCs w:val="20"/>
                <w:lang w:val="en-US" w:eastAsia="zh-CN"/>
              </w:rPr>
              <w:t>0.0963</w:t>
            </w:r>
          </w:p>
        </w:tc>
      </w:tr>
      <w:tr w14:paraId="247026ED">
        <w:tblPrEx>
          <w:tblCellMar>
            <w:top w:w="0" w:type="dxa"/>
            <w:left w:w="108" w:type="dxa"/>
            <w:bottom w:w="0" w:type="dxa"/>
            <w:right w:w="108" w:type="dxa"/>
          </w:tblCellMar>
        </w:tblPrEx>
        <w:trPr>
          <w:trHeight w:val="174" w:hRule="atLeast"/>
          <w:jc w:val="center"/>
        </w:trPr>
        <w:tc>
          <w:tcPr>
            <w:tcW w:w="228" w:type="pct"/>
            <w:vMerge w:val="continue"/>
            <w:tcBorders>
              <w:left w:val="single" w:color="000000" w:sz="4" w:space="0"/>
              <w:right w:val="single" w:color="000000" w:sz="4" w:space="0"/>
            </w:tcBorders>
            <w:vAlign w:val="center"/>
          </w:tcPr>
          <w:p w14:paraId="0B774C0F">
            <w:pPr>
              <w:pStyle w:val="72"/>
              <w:rPr>
                <w:rFonts w:hint="default" w:ascii="Times New Roman" w:hAnsi="Times New Roman" w:cs="Times New Roman"/>
              </w:rPr>
            </w:pPr>
          </w:p>
        </w:tc>
        <w:tc>
          <w:tcPr>
            <w:tcW w:w="565" w:type="pct"/>
            <w:vMerge w:val="continue"/>
            <w:tcBorders>
              <w:left w:val="single" w:color="000000" w:sz="4" w:space="0"/>
              <w:right w:val="single" w:color="000000" w:sz="4" w:space="0"/>
            </w:tcBorders>
            <w:vAlign w:val="center"/>
          </w:tcPr>
          <w:p w14:paraId="66815EF1">
            <w:pPr>
              <w:pStyle w:val="72"/>
              <w:rPr>
                <w:rFonts w:hint="default" w:ascii="Times New Roman" w:hAnsi="Times New Roman" w:cs="Times New Roman"/>
              </w:rPr>
            </w:pPr>
          </w:p>
        </w:tc>
        <w:tc>
          <w:tcPr>
            <w:tcW w:w="1178" w:type="pct"/>
            <w:tcBorders>
              <w:top w:val="single" w:color="000000" w:sz="4" w:space="0"/>
              <w:left w:val="single" w:color="000000" w:sz="4" w:space="0"/>
              <w:bottom w:val="single" w:color="000000" w:sz="4" w:space="0"/>
              <w:right w:val="single" w:color="000000" w:sz="4" w:space="0"/>
            </w:tcBorders>
            <w:vAlign w:val="center"/>
          </w:tcPr>
          <w:p w14:paraId="2820C279">
            <w:pPr>
              <w:pStyle w:val="72"/>
              <w:rPr>
                <w:rFonts w:hint="eastAsia" w:ascii="仿宋" w:hAnsi="仿宋"/>
                <w:sz w:val="20"/>
                <w:szCs w:val="20"/>
              </w:rPr>
            </w:pPr>
            <w:r>
              <w:rPr>
                <w:rFonts w:hint="eastAsia" w:ascii="仿宋" w:hAnsi="仿宋"/>
                <w:sz w:val="20"/>
                <w:szCs w:val="20"/>
              </w:rPr>
              <w:t>矿山地质环境监测</w:t>
            </w:r>
          </w:p>
        </w:tc>
        <w:tc>
          <w:tcPr>
            <w:tcW w:w="606" w:type="pct"/>
            <w:vMerge w:val="continue"/>
            <w:tcBorders>
              <w:left w:val="single" w:color="000000" w:sz="4" w:space="0"/>
              <w:right w:val="single" w:color="000000" w:sz="4" w:space="0"/>
            </w:tcBorders>
            <w:vAlign w:val="center"/>
          </w:tcPr>
          <w:p w14:paraId="3156E2A3">
            <w:pPr>
              <w:pStyle w:val="72"/>
              <w:rPr>
                <w:rFonts w:hint="default" w:ascii="Times New Roman" w:hAnsi="Times New Roman" w:cs="Times New Roman"/>
              </w:rPr>
            </w:pPr>
          </w:p>
        </w:tc>
        <w:tc>
          <w:tcPr>
            <w:tcW w:w="547" w:type="pct"/>
            <w:vMerge w:val="continue"/>
            <w:tcBorders>
              <w:left w:val="single" w:color="000000" w:sz="4" w:space="0"/>
              <w:right w:val="single" w:color="000000" w:sz="4" w:space="0"/>
            </w:tcBorders>
            <w:vAlign w:val="center"/>
          </w:tcPr>
          <w:p w14:paraId="33A1EE3B">
            <w:pPr>
              <w:pStyle w:val="72"/>
              <w:rPr>
                <w:rFonts w:hint="eastAsia"/>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2F9E9A53">
            <w:pPr>
              <w:pStyle w:val="72"/>
              <w:rPr>
                <w:rFonts w:hint="default" w:ascii="Times New Roman" w:hAnsi="Times New Roman" w:cs="Times New Roman"/>
                <w:sz w:val="20"/>
                <w:szCs w:val="20"/>
              </w:rPr>
            </w:pPr>
            <w:r>
              <w:rPr>
                <w:rFonts w:hint="default" w:ascii="Times New Roman" w:hAnsi="Times New Roman" w:cs="Times New Roman"/>
                <w:sz w:val="20"/>
                <w:szCs w:val="20"/>
              </w:rPr>
              <w:t>15</w:t>
            </w:r>
          </w:p>
        </w:tc>
        <w:tc>
          <w:tcPr>
            <w:tcW w:w="351" w:type="pct"/>
            <w:vMerge w:val="continue"/>
            <w:tcBorders>
              <w:left w:val="single" w:color="000000" w:sz="4" w:space="0"/>
              <w:right w:val="single" w:color="000000" w:sz="4" w:space="0"/>
            </w:tcBorders>
            <w:vAlign w:val="center"/>
          </w:tcPr>
          <w:p w14:paraId="73151B1D">
            <w:pPr>
              <w:pStyle w:val="72"/>
              <w:rPr>
                <w:rFonts w:hint="eastAsia"/>
              </w:rPr>
            </w:pPr>
          </w:p>
        </w:tc>
        <w:tc>
          <w:tcPr>
            <w:tcW w:w="452" w:type="pct"/>
            <w:vMerge w:val="continue"/>
            <w:tcBorders>
              <w:left w:val="single" w:color="000000" w:sz="4" w:space="0"/>
              <w:right w:val="single" w:color="000000" w:sz="4" w:space="0"/>
            </w:tcBorders>
            <w:vAlign w:val="center"/>
          </w:tcPr>
          <w:p w14:paraId="5D7178FB">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bottom"/>
          </w:tcPr>
          <w:p w14:paraId="6DEB8D5E">
            <w:pPr>
              <w:pStyle w:val="72"/>
              <w:rPr>
                <w:rFonts w:hint="default" w:ascii="Times New Roman" w:hAnsi="Times New Roman" w:cs="Times New Roman"/>
                <w:sz w:val="20"/>
                <w:szCs w:val="20"/>
              </w:rPr>
            </w:pPr>
            <w:r>
              <w:rPr>
                <w:rFonts w:hint="default" w:ascii="Times New Roman" w:hAnsi="Times New Roman" w:cs="Times New Roman"/>
                <w:sz w:val="20"/>
                <w:szCs w:val="20"/>
              </w:rPr>
              <w:t>0.3</w:t>
            </w:r>
          </w:p>
        </w:tc>
      </w:tr>
      <w:tr w14:paraId="6B8E116B">
        <w:tblPrEx>
          <w:tblCellMar>
            <w:top w:w="0" w:type="dxa"/>
            <w:left w:w="108" w:type="dxa"/>
            <w:bottom w:w="0" w:type="dxa"/>
            <w:right w:w="108" w:type="dxa"/>
          </w:tblCellMar>
        </w:tblPrEx>
        <w:trPr>
          <w:trHeight w:val="96" w:hRule="atLeast"/>
          <w:jc w:val="center"/>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14:paraId="13E15975">
            <w:pPr>
              <w:pStyle w:val="72"/>
              <w:rPr>
                <w:rFonts w:hint="default" w:ascii="Times New Roman" w:hAnsi="Times New Roman" w:cs="Times New Roman"/>
              </w:rPr>
            </w:pPr>
          </w:p>
        </w:tc>
        <w:tc>
          <w:tcPr>
            <w:tcW w:w="565" w:type="pct"/>
            <w:vMerge w:val="continue"/>
            <w:tcBorders>
              <w:top w:val="single" w:color="000000" w:sz="4" w:space="0"/>
              <w:left w:val="single" w:color="000000" w:sz="4" w:space="0"/>
              <w:bottom w:val="single" w:color="000000" w:sz="4" w:space="0"/>
              <w:right w:val="single" w:color="000000" w:sz="4" w:space="0"/>
            </w:tcBorders>
            <w:vAlign w:val="center"/>
          </w:tcPr>
          <w:p w14:paraId="660CB8BB">
            <w:pPr>
              <w:pStyle w:val="72"/>
              <w:rPr>
                <w:rFonts w:hint="default" w:ascii="Times New Roman" w:hAnsi="Times New Roman" w:cs="Times New Roman"/>
              </w:rPr>
            </w:pPr>
          </w:p>
        </w:tc>
        <w:tc>
          <w:tcPr>
            <w:tcW w:w="1178" w:type="pct"/>
            <w:tcBorders>
              <w:top w:val="single" w:color="000000" w:sz="4" w:space="0"/>
              <w:left w:val="single" w:color="000000" w:sz="4" w:space="0"/>
              <w:bottom w:val="single" w:color="000000" w:sz="4" w:space="0"/>
              <w:right w:val="single" w:color="000000" w:sz="4" w:space="0"/>
            </w:tcBorders>
            <w:vAlign w:val="center"/>
          </w:tcPr>
          <w:p w14:paraId="1117BDD8">
            <w:pPr>
              <w:pStyle w:val="72"/>
              <w:rPr>
                <w:rFonts w:hint="eastAsia"/>
              </w:rPr>
            </w:pPr>
            <w:r>
              <w:rPr>
                <w:rFonts w:hint="eastAsia" w:ascii="仿宋" w:hAnsi="仿宋"/>
                <w:sz w:val="20"/>
                <w:szCs w:val="20"/>
              </w:rPr>
              <w:t>土地资源生态监测</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56DACE20">
            <w:pPr>
              <w:pStyle w:val="72"/>
              <w:rPr>
                <w:rFonts w:hint="default" w:ascii="Times New Roman" w:hAnsi="Times New Roman" w:cs="Times New Roman"/>
              </w:rPr>
            </w:pPr>
          </w:p>
        </w:tc>
        <w:tc>
          <w:tcPr>
            <w:tcW w:w="547" w:type="pct"/>
            <w:vMerge w:val="continue"/>
            <w:tcBorders>
              <w:top w:val="single" w:color="000000" w:sz="4" w:space="0"/>
              <w:left w:val="single" w:color="000000" w:sz="4" w:space="0"/>
              <w:bottom w:val="single" w:color="000000" w:sz="4" w:space="0"/>
              <w:right w:val="single" w:color="000000" w:sz="4" w:space="0"/>
            </w:tcBorders>
            <w:vAlign w:val="center"/>
          </w:tcPr>
          <w:p w14:paraId="2322867B">
            <w:pPr>
              <w:pStyle w:val="72"/>
              <w:rPr>
                <w:rFonts w:hint="eastAsia"/>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7E8DE2E3">
            <w:pPr>
              <w:pStyle w:val="72"/>
              <w:rPr>
                <w:rFonts w:hint="default" w:ascii="Times New Roman" w:hAnsi="Times New Roman" w:cs="Times New Roman"/>
                <w:sz w:val="20"/>
                <w:szCs w:val="20"/>
              </w:rPr>
            </w:pPr>
            <w:r>
              <w:rPr>
                <w:rFonts w:hint="default" w:ascii="Times New Roman" w:hAnsi="Times New Roman" w:cs="Times New Roman"/>
                <w:sz w:val="20"/>
                <w:szCs w:val="20"/>
              </w:rPr>
              <w:t>2</w:t>
            </w:r>
          </w:p>
        </w:tc>
        <w:tc>
          <w:tcPr>
            <w:tcW w:w="351" w:type="pct"/>
            <w:vMerge w:val="continue"/>
            <w:tcBorders>
              <w:top w:val="single" w:color="000000" w:sz="4" w:space="0"/>
              <w:left w:val="single" w:color="000000" w:sz="4" w:space="0"/>
              <w:bottom w:val="single" w:color="000000" w:sz="4" w:space="0"/>
              <w:right w:val="single" w:color="000000" w:sz="4" w:space="0"/>
            </w:tcBorders>
            <w:vAlign w:val="center"/>
          </w:tcPr>
          <w:p w14:paraId="2446263D">
            <w:pPr>
              <w:pStyle w:val="72"/>
              <w:rPr>
                <w:rFonts w:hint="eastAsia"/>
              </w:rPr>
            </w:pPr>
          </w:p>
        </w:tc>
        <w:tc>
          <w:tcPr>
            <w:tcW w:w="452" w:type="pct"/>
            <w:vMerge w:val="continue"/>
            <w:tcBorders>
              <w:top w:val="single" w:color="000000" w:sz="4" w:space="0"/>
              <w:left w:val="single" w:color="000000" w:sz="4" w:space="0"/>
              <w:bottom w:val="single" w:color="000000" w:sz="4" w:space="0"/>
              <w:right w:val="single" w:color="000000" w:sz="4" w:space="0"/>
            </w:tcBorders>
            <w:vAlign w:val="center"/>
          </w:tcPr>
          <w:p w14:paraId="3235AABB">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bottom"/>
          </w:tcPr>
          <w:p w14:paraId="4FE3A718">
            <w:pPr>
              <w:pStyle w:val="72"/>
              <w:rPr>
                <w:rFonts w:hint="default" w:ascii="Times New Roman" w:hAnsi="Times New Roman" w:cs="Times New Roman"/>
              </w:rPr>
            </w:pPr>
            <w:r>
              <w:rPr>
                <w:rFonts w:hint="default" w:ascii="Times New Roman" w:hAnsi="Times New Roman" w:cs="Times New Roman"/>
                <w:sz w:val="20"/>
                <w:szCs w:val="20"/>
              </w:rPr>
              <w:t>0.04</w:t>
            </w:r>
          </w:p>
        </w:tc>
      </w:tr>
      <w:tr w14:paraId="1FCC1767">
        <w:tblPrEx>
          <w:tblCellMar>
            <w:top w:w="0" w:type="dxa"/>
            <w:left w:w="108" w:type="dxa"/>
            <w:bottom w:w="0" w:type="dxa"/>
            <w:right w:w="108" w:type="dxa"/>
          </w:tblCellMar>
        </w:tblPrEx>
        <w:trPr>
          <w:trHeight w:val="96" w:hRule="atLeast"/>
          <w:jc w:val="center"/>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14:paraId="443F1D92">
            <w:pPr>
              <w:pStyle w:val="72"/>
              <w:rPr>
                <w:rFonts w:hint="default" w:ascii="Times New Roman" w:hAnsi="Times New Roman" w:cs="Times New Roman"/>
              </w:rPr>
            </w:pPr>
          </w:p>
        </w:tc>
        <w:tc>
          <w:tcPr>
            <w:tcW w:w="565" w:type="pct"/>
            <w:vMerge w:val="continue"/>
            <w:tcBorders>
              <w:top w:val="single" w:color="000000" w:sz="4" w:space="0"/>
              <w:left w:val="single" w:color="000000" w:sz="4" w:space="0"/>
              <w:bottom w:val="single" w:color="000000" w:sz="4" w:space="0"/>
              <w:right w:val="single" w:color="000000" w:sz="4" w:space="0"/>
            </w:tcBorders>
            <w:vAlign w:val="center"/>
          </w:tcPr>
          <w:p w14:paraId="445E52DD">
            <w:pPr>
              <w:pStyle w:val="72"/>
              <w:rPr>
                <w:rFonts w:hint="default" w:ascii="Times New Roman" w:hAnsi="Times New Roman" w:cs="Times New Roman"/>
              </w:rPr>
            </w:pPr>
          </w:p>
        </w:tc>
        <w:tc>
          <w:tcPr>
            <w:tcW w:w="1178" w:type="pct"/>
            <w:tcBorders>
              <w:top w:val="single" w:color="000000" w:sz="4" w:space="0"/>
              <w:left w:val="single" w:color="000000" w:sz="4" w:space="0"/>
              <w:bottom w:val="single" w:color="000000" w:sz="4" w:space="0"/>
              <w:right w:val="single" w:color="000000" w:sz="4" w:space="0"/>
            </w:tcBorders>
            <w:vAlign w:val="center"/>
          </w:tcPr>
          <w:p w14:paraId="719DC68B">
            <w:pPr>
              <w:pStyle w:val="72"/>
              <w:rPr>
                <w:rFonts w:hint="eastAsia"/>
              </w:rPr>
            </w:pPr>
            <w:r>
              <w:rPr>
                <w:rFonts w:hint="eastAsia" w:ascii="仿宋" w:hAnsi="仿宋"/>
                <w:sz w:val="20"/>
                <w:szCs w:val="20"/>
              </w:rPr>
              <w:t>地下水水质监测</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4CD6AFAB">
            <w:pPr>
              <w:pStyle w:val="72"/>
              <w:rPr>
                <w:rFonts w:hint="default" w:ascii="Times New Roman" w:hAnsi="Times New Roman" w:cs="Times New Roman"/>
              </w:rPr>
            </w:pPr>
          </w:p>
        </w:tc>
        <w:tc>
          <w:tcPr>
            <w:tcW w:w="547" w:type="pct"/>
            <w:vMerge w:val="continue"/>
            <w:tcBorders>
              <w:top w:val="single" w:color="000000" w:sz="4" w:space="0"/>
              <w:left w:val="single" w:color="000000" w:sz="4" w:space="0"/>
              <w:bottom w:val="single" w:color="000000" w:sz="4" w:space="0"/>
              <w:right w:val="single" w:color="000000" w:sz="4" w:space="0"/>
            </w:tcBorders>
            <w:vAlign w:val="center"/>
          </w:tcPr>
          <w:p w14:paraId="631DFF9F">
            <w:pPr>
              <w:pStyle w:val="72"/>
              <w:rPr>
                <w:rFonts w:hint="eastAsia"/>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10E46210">
            <w:pPr>
              <w:pStyle w:val="72"/>
              <w:rPr>
                <w:rFonts w:hint="default" w:ascii="Times New Roman" w:hAnsi="Times New Roman" w:cs="Times New Roman"/>
              </w:rPr>
            </w:pPr>
            <w:r>
              <w:rPr>
                <w:rFonts w:hint="default" w:ascii="Times New Roman" w:hAnsi="Times New Roman" w:cs="Times New Roman"/>
                <w:sz w:val="20"/>
                <w:szCs w:val="20"/>
              </w:rPr>
              <w:t>2</w:t>
            </w:r>
          </w:p>
        </w:tc>
        <w:tc>
          <w:tcPr>
            <w:tcW w:w="351" w:type="pct"/>
            <w:vMerge w:val="continue"/>
            <w:tcBorders>
              <w:top w:val="single" w:color="000000" w:sz="4" w:space="0"/>
              <w:left w:val="single" w:color="000000" w:sz="4" w:space="0"/>
              <w:bottom w:val="single" w:color="000000" w:sz="4" w:space="0"/>
              <w:right w:val="single" w:color="000000" w:sz="4" w:space="0"/>
            </w:tcBorders>
            <w:vAlign w:val="center"/>
          </w:tcPr>
          <w:p w14:paraId="2492B77C">
            <w:pPr>
              <w:pStyle w:val="72"/>
              <w:rPr>
                <w:rFonts w:hint="eastAsia"/>
              </w:rPr>
            </w:pPr>
          </w:p>
        </w:tc>
        <w:tc>
          <w:tcPr>
            <w:tcW w:w="452" w:type="pct"/>
            <w:vMerge w:val="continue"/>
            <w:tcBorders>
              <w:top w:val="single" w:color="000000" w:sz="4" w:space="0"/>
              <w:left w:val="single" w:color="000000" w:sz="4" w:space="0"/>
              <w:bottom w:val="single" w:color="000000" w:sz="4" w:space="0"/>
              <w:right w:val="single" w:color="000000" w:sz="4" w:space="0"/>
            </w:tcBorders>
            <w:vAlign w:val="center"/>
          </w:tcPr>
          <w:p w14:paraId="2B95E850">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bottom"/>
          </w:tcPr>
          <w:p w14:paraId="30FE1DDB">
            <w:pPr>
              <w:pStyle w:val="72"/>
              <w:rPr>
                <w:rFonts w:hint="default" w:ascii="Times New Roman" w:hAnsi="Times New Roman" w:cs="Times New Roman"/>
              </w:rPr>
            </w:pPr>
            <w:r>
              <w:rPr>
                <w:rFonts w:hint="default" w:ascii="Times New Roman" w:hAnsi="Times New Roman" w:cs="Times New Roman"/>
                <w:sz w:val="20"/>
                <w:szCs w:val="20"/>
              </w:rPr>
              <w:t>0.4</w:t>
            </w:r>
          </w:p>
        </w:tc>
      </w:tr>
      <w:tr w14:paraId="34B2564A">
        <w:tblPrEx>
          <w:tblCellMar>
            <w:top w:w="0" w:type="dxa"/>
            <w:left w:w="108" w:type="dxa"/>
            <w:bottom w:w="0" w:type="dxa"/>
            <w:right w:w="108" w:type="dxa"/>
          </w:tblCellMar>
        </w:tblPrEx>
        <w:trPr>
          <w:trHeight w:val="96" w:hRule="atLeast"/>
          <w:jc w:val="center"/>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14:paraId="237322FC">
            <w:pPr>
              <w:pStyle w:val="72"/>
              <w:rPr>
                <w:rFonts w:hint="default" w:ascii="Times New Roman" w:hAnsi="Times New Roman" w:cs="Times New Roman"/>
              </w:rPr>
            </w:pPr>
          </w:p>
        </w:tc>
        <w:tc>
          <w:tcPr>
            <w:tcW w:w="565" w:type="pct"/>
            <w:vMerge w:val="continue"/>
            <w:tcBorders>
              <w:top w:val="single" w:color="000000" w:sz="4" w:space="0"/>
              <w:left w:val="single" w:color="000000" w:sz="4" w:space="0"/>
              <w:bottom w:val="single" w:color="000000" w:sz="4" w:space="0"/>
              <w:right w:val="single" w:color="000000" w:sz="4" w:space="0"/>
            </w:tcBorders>
            <w:vAlign w:val="center"/>
          </w:tcPr>
          <w:p w14:paraId="1311EC13">
            <w:pPr>
              <w:pStyle w:val="72"/>
              <w:rPr>
                <w:rFonts w:hint="default" w:ascii="Times New Roman" w:hAnsi="Times New Roman" w:cs="Times New Roman"/>
              </w:rPr>
            </w:pPr>
          </w:p>
        </w:tc>
        <w:tc>
          <w:tcPr>
            <w:tcW w:w="1178" w:type="pct"/>
            <w:tcBorders>
              <w:top w:val="single" w:color="000000" w:sz="4" w:space="0"/>
              <w:left w:val="single" w:color="000000" w:sz="4" w:space="0"/>
              <w:bottom w:val="single" w:color="000000" w:sz="4" w:space="0"/>
              <w:right w:val="single" w:color="000000" w:sz="4" w:space="0"/>
            </w:tcBorders>
            <w:vAlign w:val="center"/>
          </w:tcPr>
          <w:p w14:paraId="319A562B">
            <w:pPr>
              <w:pStyle w:val="72"/>
              <w:rPr>
                <w:rFonts w:hint="eastAsia"/>
              </w:rPr>
            </w:pPr>
            <w:r>
              <w:rPr>
                <w:rFonts w:hint="eastAsia" w:ascii="仿宋" w:hAnsi="仿宋"/>
                <w:sz w:val="20"/>
                <w:szCs w:val="20"/>
              </w:rPr>
              <w:t>地下水水量监测</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08E86B1E">
            <w:pPr>
              <w:pStyle w:val="72"/>
              <w:rPr>
                <w:rFonts w:hint="default" w:ascii="Times New Roman" w:hAnsi="Times New Roman" w:cs="Times New Roman"/>
              </w:rPr>
            </w:pPr>
          </w:p>
        </w:tc>
        <w:tc>
          <w:tcPr>
            <w:tcW w:w="547" w:type="pct"/>
            <w:vMerge w:val="continue"/>
            <w:tcBorders>
              <w:top w:val="single" w:color="000000" w:sz="4" w:space="0"/>
              <w:left w:val="single" w:color="000000" w:sz="4" w:space="0"/>
              <w:bottom w:val="single" w:color="000000" w:sz="4" w:space="0"/>
              <w:right w:val="single" w:color="000000" w:sz="4" w:space="0"/>
            </w:tcBorders>
            <w:vAlign w:val="center"/>
          </w:tcPr>
          <w:p w14:paraId="576219EA">
            <w:pPr>
              <w:pStyle w:val="72"/>
              <w:rPr>
                <w:rFonts w:hint="eastAsia"/>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698912CD">
            <w:pPr>
              <w:pStyle w:val="72"/>
              <w:rPr>
                <w:rFonts w:hint="default" w:ascii="Times New Roman" w:hAnsi="Times New Roman" w:cs="Times New Roman"/>
              </w:rPr>
            </w:pPr>
            <w:r>
              <w:rPr>
                <w:rFonts w:hint="default" w:ascii="Times New Roman" w:hAnsi="Times New Roman" w:cs="Times New Roman"/>
                <w:sz w:val="20"/>
                <w:szCs w:val="20"/>
              </w:rPr>
              <w:t>12</w:t>
            </w:r>
          </w:p>
        </w:tc>
        <w:tc>
          <w:tcPr>
            <w:tcW w:w="351" w:type="pct"/>
            <w:vMerge w:val="continue"/>
            <w:tcBorders>
              <w:top w:val="single" w:color="000000" w:sz="4" w:space="0"/>
              <w:left w:val="single" w:color="000000" w:sz="4" w:space="0"/>
              <w:bottom w:val="single" w:color="000000" w:sz="4" w:space="0"/>
              <w:right w:val="single" w:color="000000" w:sz="4" w:space="0"/>
            </w:tcBorders>
            <w:vAlign w:val="center"/>
          </w:tcPr>
          <w:p w14:paraId="4AA338C9">
            <w:pPr>
              <w:pStyle w:val="72"/>
              <w:rPr>
                <w:rFonts w:hint="eastAsia"/>
              </w:rPr>
            </w:pPr>
          </w:p>
        </w:tc>
        <w:tc>
          <w:tcPr>
            <w:tcW w:w="452" w:type="pct"/>
            <w:vMerge w:val="continue"/>
            <w:tcBorders>
              <w:top w:val="single" w:color="000000" w:sz="4" w:space="0"/>
              <w:left w:val="single" w:color="000000" w:sz="4" w:space="0"/>
              <w:bottom w:val="single" w:color="000000" w:sz="4" w:space="0"/>
              <w:right w:val="single" w:color="000000" w:sz="4" w:space="0"/>
            </w:tcBorders>
            <w:vAlign w:val="center"/>
          </w:tcPr>
          <w:p w14:paraId="72C64996">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bottom"/>
          </w:tcPr>
          <w:p w14:paraId="3C020624">
            <w:pPr>
              <w:pStyle w:val="72"/>
              <w:rPr>
                <w:rFonts w:hint="default" w:ascii="Times New Roman" w:hAnsi="Times New Roman" w:cs="Times New Roman"/>
              </w:rPr>
            </w:pPr>
            <w:r>
              <w:rPr>
                <w:rFonts w:hint="default" w:ascii="Times New Roman" w:hAnsi="Times New Roman" w:cs="Times New Roman"/>
                <w:sz w:val="20"/>
                <w:szCs w:val="20"/>
              </w:rPr>
              <w:t>0.24</w:t>
            </w:r>
          </w:p>
        </w:tc>
      </w:tr>
      <w:tr w14:paraId="38F3B61E">
        <w:tblPrEx>
          <w:tblCellMar>
            <w:top w:w="0" w:type="dxa"/>
            <w:left w:w="108" w:type="dxa"/>
            <w:bottom w:w="0" w:type="dxa"/>
            <w:right w:w="108" w:type="dxa"/>
          </w:tblCellMar>
        </w:tblPrEx>
        <w:trPr>
          <w:trHeight w:val="183" w:hRule="atLeast"/>
          <w:jc w:val="center"/>
        </w:trPr>
        <w:tc>
          <w:tcPr>
            <w:tcW w:w="4096" w:type="pct"/>
            <w:gridSpan w:val="7"/>
            <w:tcBorders>
              <w:top w:val="single" w:color="000000" w:sz="4" w:space="0"/>
              <w:left w:val="single" w:color="000000" w:sz="4" w:space="0"/>
              <w:bottom w:val="single" w:color="000000" w:sz="4" w:space="0"/>
              <w:right w:val="single" w:color="000000" w:sz="4" w:space="0"/>
            </w:tcBorders>
            <w:vAlign w:val="center"/>
          </w:tcPr>
          <w:p w14:paraId="38A52C1A">
            <w:pPr>
              <w:pStyle w:val="72"/>
              <w:rPr>
                <w:rFonts w:hint="default" w:ascii="Times New Roman" w:hAnsi="Times New Roman" w:cs="Times New Roman"/>
              </w:rPr>
            </w:pPr>
            <w:r>
              <w:rPr>
                <w:rFonts w:hint="default" w:ascii="Times New Roman" w:hAnsi="Times New Roman" w:cs="Times New Roman"/>
              </w:rPr>
              <w:t>小计</w:t>
            </w:r>
          </w:p>
        </w:tc>
        <w:tc>
          <w:tcPr>
            <w:tcW w:w="452" w:type="pct"/>
            <w:tcBorders>
              <w:top w:val="single" w:color="000000" w:sz="4" w:space="0"/>
              <w:left w:val="single" w:color="000000" w:sz="4" w:space="0"/>
              <w:bottom w:val="single" w:color="000000" w:sz="4" w:space="0"/>
              <w:right w:val="single" w:color="000000" w:sz="4" w:space="0"/>
            </w:tcBorders>
            <w:vAlign w:val="center"/>
          </w:tcPr>
          <w:p w14:paraId="3399A568">
            <w:pPr>
              <w:pStyle w:val="72"/>
              <w:rPr>
                <w:rFonts w:hint="eastAsia"/>
              </w:rPr>
            </w:pPr>
            <w:r>
              <w:rPr>
                <w:rFonts w:hint="eastAsia"/>
              </w:rPr>
              <w:t>--</w:t>
            </w:r>
          </w:p>
        </w:tc>
        <w:tc>
          <w:tcPr>
            <w:tcW w:w="452" w:type="pct"/>
            <w:tcBorders>
              <w:top w:val="single" w:color="000000" w:sz="4" w:space="0"/>
              <w:left w:val="single" w:color="000000" w:sz="4" w:space="0"/>
              <w:bottom w:val="single" w:color="000000" w:sz="4" w:space="0"/>
              <w:right w:val="single" w:color="000000" w:sz="4" w:space="0"/>
            </w:tcBorders>
            <w:vAlign w:val="center"/>
          </w:tcPr>
          <w:p w14:paraId="286B56F5">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1.0763</w:t>
            </w:r>
          </w:p>
        </w:tc>
      </w:tr>
      <w:tr w14:paraId="1C2DDAA2">
        <w:tblPrEx>
          <w:tblCellMar>
            <w:top w:w="0" w:type="dxa"/>
            <w:left w:w="108" w:type="dxa"/>
            <w:bottom w:w="0" w:type="dxa"/>
            <w:right w:w="108" w:type="dxa"/>
          </w:tblCellMar>
        </w:tblPrEx>
        <w:trPr>
          <w:trHeight w:val="183" w:hRule="atLeast"/>
          <w:jc w:val="center"/>
        </w:trPr>
        <w:tc>
          <w:tcPr>
            <w:tcW w:w="228" w:type="pct"/>
            <w:vMerge w:val="restart"/>
            <w:tcBorders>
              <w:top w:val="single" w:color="000000" w:sz="4" w:space="0"/>
              <w:left w:val="single" w:color="000000" w:sz="4" w:space="0"/>
              <w:bottom w:val="single" w:color="000000" w:sz="4" w:space="0"/>
              <w:right w:val="single" w:color="000000" w:sz="4" w:space="0"/>
            </w:tcBorders>
            <w:vAlign w:val="center"/>
          </w:tcPr>
          <w:p w14:paraId="789E70D1">
            <w:pPr>
              <w:pStyle w:val="72"/>
              <w:rPr>
                <w:rFonts w:hint="default" w:ascii="Times New Roman" w:hAnsi="Times New Roman" w:cs="Times New Roman"/>
              </w:rPr>
            </w:pPr>
            <w:r>
              <w:rPr>
                <w:rFonts w:hint="default" w:ascii="Times New Roman" w:hAnsi="Times New Roman" w:cs="Times New Roman"/>
              </w:rPr>
              <w:t>3</w:t>
            </w:r>
          </w:p>
        </w:tc>
        <w:tc>
          <w:tcPr>
            <w:tcW w:w="565" w:type="pct"/>
            <w:vMerge w:val="restart"/>
            <w:tcBorders>
              <w:top w:val="single" w:color="000000" w:sz="4" w:space="0"/>
              <w:left w:val="single" w:color="000000" w:sz="4" w:space="0"/>
              <w:bottom w:val="single" w:color="000000" w:sz="4" w:space="0"/>
              <w:right w:val="single" w:color="000000" w:sz="4" w:space="0"/>
            </w:tcBorders>
            <w:vAlign w:val="center"/>
          </w:tcPr>
          <w:p w14:paraId="715AEC8C">
            <w:pPr>
              <w:pStyle w:val="72"/>
              <w:rPr>
                <w:rFonts w:hint="default" w:ascii="Times New Roman" w:hAnsi="Times New Roman" w:cs="Times New Roman"/>
              </w:rPr>
            </w:pPr>
            <w:r>
              <w:rPr>
                <w:rFonts w:hint="default" w:ascii="Times New Roman" w:hAnsi="Times New Roman" w:cs="Times New Roman"/>
              </w:rPr>
              <w:t>第三年度（2028）</w:t>
            </w:r>
          </w:p>
        </w:tc>
        <w:tc>
          <w:tcPr>
            <w:tcW w:w="1178" w:type="pct"/>
            <w:tcBorders>
              <w:top w:val="single" w:color="000000" w:sz="4" w:space="0"/>
              <w:left w:val="single" w:color="000000" w:sz="4" w:space="0"/>
              <w:bottom w:val="single" w:color="000000" w:sz="4" w:space="0"/>
              <w:right w:val="single" w:color="000000" w:sz="4" w:space="0"/>
            </w:tcBorders>
            <w:vAlign w:val="center"/>
          </w:tcPr>
          <w:p w14:paraId="4831A2FB">
            <w:pPr>
              <w:pStyle w:val="72"/>
              <w:rPr>
                <w:rFonts w:hint="eastAsia"/>
              </w:rPr>
            </w:pPr>
            <w:r>
              <w:rPr>
                <w:rFonts w:hint="eastAsia" w:ascii="仿宋" w:hAnsi="仿宋"/>
                <w:sz w:val="20"/>
                <w:szCs w:val="20"/>
                <w:lang w:val="en-US" w:eastAsia="zh-CN"/>
              </w:rPr>
              <w:t>表土堆场紫花苜蓿</w:t>
            </w:r>
          </w:p>
        </w:tc>
        <w:tc>
          <w:tcPr>
            <w:tcW w:w="606" w:type="pct"/>
            <w:vMerge w:val="restart"/>
            <w:tcBorders>
              <w:top w:val="single" w:color="000000" w:sz="4" w:space="0"/>
              <w:left w:val="single" w:color="000000" w:sz="4" w:space="0"/>
              <w:bottom w:val="single" w:color="000000" w:sz="4" w:space="0"/>
              <w:right w:val="single" w:color="000000" w:sz="4" w:space="0"/>
            </w:tcBorders>
            <w:vAlign w:val="center"/>
          </w:tcPr>
          <w:p w14:paraId="33465538">
            <w:pPr>
              <w:pStyle w:val="72"/>
              <w:rPr>
                <w:rFonts w:hint="default" w:ascii="Times New Roman" w:hAnsi="Times New Roman" w:cs="Times New Roman"/>
              </w:rPr>
            </w:pPr>
            <w:r>
              <w:rPr>
                <w:rFonts w:hint="default" w:ascii="Times New Roman" w:hAnsi="Times New Roman" w:cs="Times New Roman"/>
                <w:lang w:val="en-US" w:eastAsia="zh-CN"/>
              </w:rPr>
              <w:t>490m平硐工业广场</w:t>
            </w:r>
          </w:p>
        </w:tc>
        <w:tc>
          <w:tcPr>
            <w:tcW w:w="547" w:type="pct"/>
            <w:vMerge w:val="restart"/>
            <w:tcBorders>
              <w:top w:val="single" w:color="000000" w:sz="4" w:space="0"/>
              <w:left w:val="single" w:color="000000" w:sz="4" w:space="0"/>
              <w:bottom w:val="single" w:color="000000" w:sz="4" w:space="0"/>
              <w:right w:val="single" w:color="000000" w:sz="4" w:space="0"/>
            </w:tcBorders>
            <w:vAlign w:val="center"/>
          </w:tcPr>
          <w:p w14:paraId="2C401D9C">
            <w:pPr>
              <w:pStyle w:val="72"/>
              <w:rPr>
                <w:rFonts w:hint="eastAsia"/>
              </w:rPr>
            </w:pPr>
            <w:r>
              <w:rPr>
                <w:rFonts w:hint="eastAsia"/>
              </w:rPr>
              <w:t>是</w:t>
            </w:r>
          </w:p>
        </w:tc>
        <w:tc>
          <w:tcPr>
            <w:tcW w:w="621" w:type="pct"/>
            <w:tcBorders>
              <w:top w:val="single" w:color="000000" w:sz="4" w:space="0"/>
              <w:left w:val="single" w:color="000000" w:sz="4" w:space="0"/>
              <w:bottom w:val="single" w:color="000000" w:sz="4" w:space="0"/>
              <w:right w:val="single" w:color="000000" w:sz="4" w:space="0"/>
            </w:tcBorders>
            <w:vAlign w:val="center"/>
          </w:tcPr>
          <w:p w14:paraId="32BCC277">
            <w:pPr>
              <w:pStyle w:val="72"/>
              <w:rPr>
                <w:rFonts w:hint="default" w:ascii="Times New Roman" w:hAnsi="Times New Roman" w:cs="Times New Roman"/>
              </w:rPr>
            </w:pPr>
            <w:r>
              <w:rPr>
                <w:rFonts w:hint="default" w:ascii="Times New Roman" w:hAnsi="Times New Roman" w:cs="Times New Roman"/>
                <w:sz w:val="20"/>
                <w:szCs w:val="20"/>
                <w:lang w:val="en-US" w:eastAsia="zh-CN"/>
              </w:rPr>
              <w:t>0.3</w:t>
            </w:r>
          </w:p>
        </w:tc>
        <w:tc>
          <w:tcPr>
            <w:tcW w:w="351" w:type="pct"/>
            <w:vMerge w:val="restart"/>
            <w:tcBorders>
              <w:top w:val="single" w:color="000000" w:sz="4" w:space="0"/>
              <w:left w:val="single" w:color="000000" w:sz="4" w:space="0"/>
              <w:bottom w:val="single" w:color="000000" w:sz="4" w:space="0"/>
              <w:right w:val="single" w:color="000000" w:sz="4" w:space="0"/>
            </w:tcBorders>
            <w:vAlign w:val="center"/>
          </w:tcPr>
          <w:p w14:paraId="0E7D0C13">
            <w:pPr>
              <w:pStyle w:val="72"/>
              <w:rPr>
                <w:rFonts w:hint="eastAsia"/>
              </w:rPr>
            </w:pPr>
            <w:r>
              <w:rPr>
                <w:rFonts w:hint="eastAsia"/>
              </w:rPr>
              <w:t>--</w:t>
            </w:r>
          </w:p>
        </w:tc>
        <w:tc>
          <w:tcPr>
            <w:tcW w:w="452" w:type="pct"/>
            <w:vMerge w:val="restart"/>
            <w:tcBorders>
              <w:top w:val="single" w:color="000000" w:sz="4" w:space="0"/>
              <w:left w:val="single" w:color="000000" w:sz="4" w:space="0"/>
              <w:bottom w:val="single" w:color="000000" w:sz="4" w:space="0"/>
              <w:right w:val="single" w:color="000000" w:sz="4" w:space="0"/>
            </w:tcBorders>
            <w:vAlign w:val="center"/>
          </w:tcPr>
          <w:p w14:paraId="6E44FB42">
            <w:pPr>
              <w:pStyle w:val="72"/>
              <w:rPr>
                <w:rFonts w:hint="eastAsia"/>
              </w:rPr>
            </w:pPr>
            <w:r>
              <w:rPr>
                <w:rFonts w:hint="eastAsia"/>
              </w:rPr>
              <w:t>--</w:t>
            </w:r>
          </w:p>
        </w:tc>
        <w:tc>
          <w:tcPr>
            <w:tcW w:w="452" w:type="pct"/>
            <w:tcBorders>
              <w:top w:val="single" w:color="000000" w:sz="4" w:space="0"/>
              <w:left w:val="single" w:color="000000" w:sz="4" w:space="0"/>
              <w:bottom w:val="single" w:color="000000" w:sz="4" w:space="0"/>
              <w:right w:val="single" w:color="000000" w:sz="4" w:space="0"/>
            </w:tcBorders>
            <w:vAlign w:val="bottom"/>
          </w:tcPr>
          <w:p w14:paraId="67680251">
            <w:pPr>
              <w:pStyle w:val="72"/>
              <w:rPr>
                <w:rFonts w:hint="default" w:ascii="Times New Roman" w:hAnsi="Times New Roman" w:cs="Times New Roman"/>
              </w:rPr>
            </w:pPr>
            <w:r>
              <w:rPr>
                <w:rFonts w:hint="default" w:ascii="Times New Roman" w:hAnsi="Times New Roman" w:cs="Times New Roman"/>
                <w:sz w:val="20"/>
                <w:szCs w:val="20"/>
                <w:lang w:val="en-US" w:eastAsia="zh-CN"/>
              </w:rPr>
              <w:t>0.0963</w:t>
            </w:r>
          </w:p>
        </w:tc>
      </w:tr>
      <w:tr w14:paraId="1E75AD35">
        <w:tblPrEx>
          <w:tblCellMar>
            <w:top w:w="0" w:type="dxa"/>
            <w:left w:w="108" w:type="dxa"/>
            <w:bottom w:w="0" w:type="dxa"/>
            <w:right w:w="108" w:type="dxa"/>
          </w:tblCellMar>
        </w:tblPrEx>
        <w:trPr>
          <w:trHeight w:val="183" w:hRule="atLeast"/>
          <w:jc w:val="center"/>
        </w:trPr>
        <w:tc>
          <w:tcPr>
            <w:tcW w:w="228" w:type="pct"/>
            <w:vMerge w:val="continue"/>
            <w:tcBorders>
              <w:left w:val="single" w:color="000000" w:sz="4" w:space="0"/>
              <w:right w:val="single" w:color="000000" w:sz="4" w:space="0"/>
            </w:tcBorders>
            <w:vAlign w:val="center"/>
          </w:tcPr>
          <w:p w14:paraId="1E060E19">
            <w:pPr>
              <w:pStyle w:val="72"/>
              <w:rPr>
                <w:rFonts w:hint="eastAsia"/>
              </w:rPr>
            </w:pPr>
          </w:p>
        </w:tc>
        <w:tc>
          <w:tcPr>
            <w:tcW w:w="565" w:type="pct"/>
            <w:vMerge w:val="continue"/>
            <w:tcBorders>
              <w:left w:val="single" w:color="000000" w:sz="4" w:space="0"/>
              <w:right w:val="single" w:color="000000" w:sz="4" w:space="0"/>
            </w:tcBorders>
            <w:vAlign w:val="center"/>
          </w:tcPr>
          <w:p w14:paraId="7178C1D8">
            <w:pPr>
              <w:pStyle w:val="72"/>
              <w:rPr>
                <w:rFonts w:hint="eastAsia"/>
              </w:rPr>
            </w:pPr>
          </w:p>
        </w:tc>
        <w:tc>
          <w:tcPr>
            <w:tcW w:w="1178" w:type="pct"/>
            <w:tcBorders>
              <w:top w:val="single" w:color="000000" w:sz="4" w:space="0"/>
              <w:left w:val="single" w:color="000000" w:sz="4" w:space="0"/>
              <w:bottom w:val="single" w:color="000000" w:sz="4" w:space="0"/>
              <w:right w:val="single" w:color="000000" w:sz="4" w:space="0"/>
            </w:tcBorders>
            <w:vAlign w:val="center"/>
          </w:tcPr>
          <w:p w14:paraId="48109742">
            <w:pPr>
              <w:pStyle w:val="72"/>
              <w:rPr>
                <w:rFonts w:hint="eastAsia" w:ascii="仿宋" w:hAnsi="仿宋"/>
                <w:sz w:val="20"/>
                <w:szCs w:val="20"/>
              </w:rPr>
            </w:pPr>
            <w:r>
              <w:rPr>
                <w:rFonts w:hint="eastAsia" w:ascii="仿宋" w:hAnsi="仿宋"/>
                <w:sz w:val="20"/>
                <w:szCs w:val="20"/>
              </w:rPr>
              <w:t>矿山地质环境监测</w:t>
            </w:r>
          </w:p>
        </w:tc>
        <w:tc>
          <w:tcPr>
            <w:tcW w:w="606" w:type="pct"/>
            <w:vMerge w:val="continue"/>
            <w:tcBorders>
              <w:left w:val="single" w:color="000000" w:sz="4" w:space="0"/>
              <w:right w:val="single" w:color="000000" w:sz="4" w:space="0"/>
            </w:tcBorders>
            <w:vAlign w:val="center"/>
          </w:tcPr>
          <w:p w14:paraId="3A18CAE8">
            <w:pPr>
              <w:pStyle w:val="72"/>
              <w:rPr>
                <w:rFonts w:hint="eastAsia"/>
              </w:rPr>
            </w:pPr>
          </w:p>
        </w:tc>
        <w:tc>
          <w:tcPr>
            <w:tcW w:w="547" w:type="pct"/>
            <w:vMerge w:val="continue"/>
            <w:tcBorders>
              <w:left w:val="single" w:color="000000" w:sz="4" w:space="0"/>
              <w:right w:val="single" w:color="000000" w:sz="4" w:space="0"/>
            </w:tcBorders>
            <w:vAlign w:val="center"/>
          </w:tcPr>
          <w:p w14:paraId="61552A04">
            <w:pPr>
              <w:pStyle w:val="72"/>
              <w:rPr>
                <w:rFonts w:hint="eastAsia"/>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03B82756">
            <w:pPr>
              <w:pStyle w:val="72"/>
              <w:rPr>
                <w:rFonts w:hint="default" w:ascii="Times New Roman" w:hAnsi="Times New Roman" w:cs="Times New Roman"/>
                <w:sz w:val="20"/>
                <w:szCs w:val="20"/>
              </w:rPr>
            </w:pPr>
            <w:r>
              <w:rPr>
                <w:rFonts w:hint="default" w:ascii="Times New Roman" w:hAnsi="Times New Roman" w:cs="Times New Roman"/>
                <w:sz w:val="20"/>
                <w:szCs w:val="20"/>
              </w:rPr>
              <w:t>15</w:t>
            </w:r>
          </w:p>
        </w:tc>
        <w:tc>
          <w:tcPr>
            <w:tcW w:w="351" w:type="pct"/>
            <w:vMerge w:val="continue"/>
            <w:tcBorders>
              <w:left w:val="single" w:color="000000" w:sz="4" w:space="0"/>
              <w:right w:val="single" w:color="000000" w:sz="4" w:space="0"/>
            </w:tcBorders>
            <w:vAlign w:val="center"/>
          </w:tcPr>
          <w:p w14:paraId="7003517A">
            <w:pPr>
              <w:pStyle w:val="72"/>
              <w:rPr>
                <w:rFonts w:hint="eastAsia"/>
              </w:rPr>
            </w:pPr>
          </w:p>
        </w:tc>
        <w:tc>
          <w:tcPr>
            <w:tcW w:w="452" w:type="pct"/>
            <w:vMerge w:val="continue"/>
            <w:tcBorders>
              <w:left w:val="single" w:color="000000" w:sz="4" w:space="0"/>
              <w:right w:val="single" w:color="000000" w:sz="4" w:space="0"/>
            </w:tcBorders>
            <w:vAlign w:val="center"/>
          </w:tcPr>
          <w:p w14:paraId="4A8AE61C">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bottom"/>
          </w:tcPr>
          <w:p w14:paraId="5B9D4D32">
            <w:pPr>
              <w:pStyle w:val="72"/>
              <w:rPr>
                <w:rFonts w:hint="default" w:ascii="Times New Roman" w:hAnsi="Times New Roman" w:cs="Times New Roman"/>
                <w:sz w:val="20"/>
                <w:szCs w:val="20"/>
              </w:rPr>
            </w:pPr>
            <w:r>
              <w:rPr>
                <w:rFonts w:hint="default" w:ascii="Times New Roman" w:hAnsi="Times New Roman" w:cs="Times New Roman"/>
                <w:sz w:val="20"/>
                <w:szCs w:val="20"/>
              </w:rPr>
              <w:t>0.3</w:t>
            </w:r>
          </w:p>
        </w:tc>
      </w:tr>
      <w:tr w14:paraId="2A99F806">
        <w:tblPrEx>
          <w:tblCellMar>
            <w:top w:w="0" w:type="dxa"/>
            <w:left w:w="108" w:type="dxa"/>
            <w:bottom w:w="0" w:type="dxa"/>
            <w:right w:w="108" w:type="dxa"/>
          </w:tblCellMar>
        </w:tblPrEx>
        <w:trPr>
          <w:trHeight w:val="96" w:hRule="atLeast"/>
          <w:jc w:val="center"/>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14:paraId="1052E161">
            <w:pPr>
              <w:pStyle w:val="72"/>
              <w:rPr>
                <w:rFonts w:hint="eastAsia"/>
              </w:rPr>
            </w:pPr>
          </w:p>
        </w:tc>
        <w:tc>
          <w:tcPr>
            <w:tcW w:w="565" w:type="pct"/>
            <w:vMerge w:val="continue"/>
            <w:tcBorders>
              <w:top w:val="single" w:color="000000" w:sz="4" w:space="0"/>
              <w:left w:val="single" w:color="000000" w:sz="4" w:space="0"/>
              <w:bottom w:val="single" w:color="000000" w:sz="4" w:space="0"/>
              <w:right w:val="single" w:color="000000" w:sz="4" w:space="0"/>
            </w:tcBorders>
            <w:vAlign w:val="center"/>
          </w:tcPr>
          <w:p w14:paraId="02555A67">
            <w:pPr>
              <w:pStyle w:val="72"/>
              <w:rPr>
                <w:rFonts w:hint="eastAsia"/>
              </w:rPr>
            </w:pPr>
          </w:p>
        </w:tc>
        <w:tc>
          <w:tcPr>
            <w:tcW w:w="1178" w:type="pct"/>
            <w:tcBorders>
              <w:top w:val="single" w:color="000000" w:sz="4" w:space="0"/>
              <w:left w:val="single" w:color="000000" w:sz="4" w:space="0"/>
              <w:bottom w:val="single" w:color="000000" w:sz="4" w:space="0"/>
              <w:right w:val="single" w:color="000000" w:sz="4" w:space="0"/>
            </w:tcBorders>
            <w:vAlign w:val="center"/>
          </w:tcPr>
          <w:p w14:paraId="1F79CCA7">
            <w:pPr>
              <w:pStyle w:val="72"/>
              <w:rPr>
                <w:rFonts w:hint="eastAsia"/>
              </w:rPr>
            </w:pPr>
            <w:r>
              <w:rPr>
                <w:rFonts w:hint="eastAsia" w:ascii="仿宋" w:hAnsi="仿宋"/>
                <w:sz w:val="20"/>
                <w:szCs w:val="20"/>
              </w:rPr>
              <w:t>土地资源生态监测</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1EACF518">
            <w:pPr>
              <w:pStyle w:val="72"/>
              <w:rPr>
                <w:rFonts w:hint="eastAsia"/>
              </w:rPr>
            </w:pPr>
          </w:p>
        </w:tc>
        <w:tc>
          <w:tcPr>
            <w:tcW w:w="547" w:type="pct"/>
            <w:vMerge w:val="continue"/>
            <w:tcBorders>
              <w:top w:val="single" w:color="000000" w:sz="4" w:space="0"/>
              <w:left w:val="single" w:color="000000" w:sz="4" w:space="0"/>
              <w:bottom w:val="single" w:color="000000" w:sz="4" w:space="0"/>
              <w:right w:val="single" w:color="000000" w:sz="4" w:space="0"/>
            </w:tcBorders>
            <w:vAlign w:val="center"/>
          </w:tcPr>
          <w:p w14:paraId="6C435CB4">
            <w:pPr>
              <w:pStyle w:val="72"/>
              <w:rPr>
                <w:rFonts w:hint="eastAsia"/>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6F484E10">
            <w:pPr>
              <w:pStyle w:val="72"/>
              <w:rPr>
                <w:rFonts w:hint="default" w:ascii="Times New Roman" w:hAnsi="Times New Roman" w:cs="Times New Roman"/>
              </w:rPr>
            </w:pPr>
            <w:r>
              <w:rPr>
                <w:rFonts w:hint="default" w:ascii="Times New Roman" w:hAnsi="Times New Roman" w:cs="Times New Roman"/>
                <w:sz w:val="20"/>
                <w:szCs w:val="20"/>
              </w:rPr>
              <w:t>2</w:t>
            </w:r>
          </w:p>
        </w:tc>
        <w:tc>
          <w:tcPr>
            <w:tcW w:w="351" w:type="pct"/>
            <w:vMerge w:val="continue"/>
            <w:tcBorders>
              <w:top w:val="single" w:color="000000" w:sz="4" w:space="0"/>
              <w:left w:val="single" w:color="000000" w:sz="4" w:space="0"/>
              <w:bottom w:val="single" w:color="000000" w:sz="4" w:space="0"/>
              <w:right w:val="single" w:color="000000" w:sz="4" w:space="0"/>
            </w:tcBorders>
            <w:vAlign w:val="center"/>
          </w:tcPr>
          <w:p w14:paraId="43E7B293">
            <w:pPr>
              <w:pStyle w:val="72"/>
              <w:rPr>
                <w:rFonts w:hint="eastAsia"/>
              </w:rPr>
            </w:pPr>
          </w:p>
        </w:tc>
        <w:tc>
          <w:tcPr>
            <w:tcW w:w="452" w:type="pct"/>
            <w:vMerge w:val="continue"/>
            <w:tcBorders>
              <w:top w:val="single" w:color="000000" w:sz="4" w:space="0"/>
              <w:left w:val="single" w:color="000000" w:sz="4" w:space="0"/>
              <w:bottom w:val="single" w:color="000000" w:sz="4" w:space="0"/>
              <w:right w:val="single" w:color="000000" w:sz="4" w:space="0"/>
            </w:tcBorders>
            <w:vAlign w:val="center"/>
          </w:tcPr>
          <w:p w14:paraId="2ABA877F">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bottom"/>
          </w:tcPr>
          <w:p w14:paraId="50ECE1A9">
            <w:pPr>
              <w:pStyle w:val="72"/>
              <w:rPr>
                <w:rFonts w:hint="default" w:ascii="Times New Roman" w:hAnsi="Times New Roman" w:cs="Times New Roman"/>
              </w:rPr>
            </w:pPr>
            <w:r>
              <w:rPr>
                <w:rFonts w:hint="default" w:ascii="Times New Roman" w:hAnsi="Times New Roman" w:cs="Times New Roman"/>
                <w:sz w:val="20"/>
                <w:szCs w:val="20"/>
              </w:rPr>
              <w:t>0.04</w:t>
            </w:r>
          </w:p>
        </w:tc>
      </w:tr>
      <w:tr w14:paraId="5EB2F77F">
        <w:tblPrEx>
          <w:tblCellMar>
            <w:top w:w="0" w:type="dxa"/>
            <w:left w:w="108" w:type="dxa"/>
            <w:bottom w:w="0" w:type="dxa"/>
            <w:right w:w="108" w:type="dxa"/>
          </w:tblCellMar>
        </w:tblPrEx>
        <w:trPr>
          <w:trHeight w:val="96" w:hRule="atLeast"/>
          <w:jc w:val="center"/>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14:paraId="6FCCB9AC">
            <w:pPr>
              <w:pStyle w:val="72"/>
              <w:rPr>
                <w:rFonts w:hint="eastAsia"/>
              </w:rPr>
            </w:pPr>
          </w:p>
        </w:tc>
        <w:tc>
          <w:tcPr>
            <w:tcW w:w="565" w:type="pct"/>
            <w:vMerge w:val="continue"/>
            <w:tcBorders>
              <w:top w:val="single" w:color="000000" w:sz="4" w:space="0"/>
              <w:left w:val="single" w:color="000000" w:sz="4" w:space="0"/>
              <w:bottom w:val="single" w:color="000000" w:sz="4" w:space="0"/>
              <w:right w:val="single" w:color="000000" w:sz="4" w:space="0"/>
            </w:tcBorders>
            <w:vAlign w:val="center"/>
          </w:tcPr>
          <w:p w14:paraId="1BFBDDDE">
            <w:pPr>
              <w:pStyle w:val="72"/>
              <w:rPr>
                <w:rFonts w:hint="eastAsia"/>
              </w:rPr>
            </w:pPr>
          </w:p>
        </w:tc>
        <w:tc>
          <w:tcPr>
            <w:tcW w:w="1178" w:type="pct"/>
            <w:tcBorders>
              <w:top w:val="single" w:color="000000" w:sz="4" w:space="0"/>
              <w:left w:val="single" w:color="000000" w:sz="4" w:space="0"/>
              <w:bottom w:val="single" w:color="000000" w:sz="4" w:space="0"/>
              <w:right w:val="single" w:color="000000" w:sz="4" w:space="0"/>
            </w:tcBorders>
            <w:vAlign w:val="center"/>
          </w:tcPr>
          <w:p w14:paraId="287B5428">
            <w:pPr>
              <w:pStyle w:val="72"/>
              <w:rPr>
                <w:rFonts w:hint="eastAsia"/>
              </w:rPr>
            </w:pPr>
            <w:r>
              <w:rPr>
                <w:rFonts w:hint="eastAsia" w:ascii="仿宋" w:hAnsi="仿宋"/>
                <w:sz w:val="20"/>
                <w:szCs w:val="20"/>
              </w:rPr>
              <w:t>地下水水质监测</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1E585973">
            <w:pPr>
              <w:pStyle w:val="72"/>
              <w:rPr>
                <w:rFonts w:hint="eastAsia"/>
              </w:rPr>
            </w:pPr>
          </w:p>
        </w:tc>
        <w:tc>
          <w:tcPr>
            <w:tcW w:w="547" w:type="pct"/>
            <w:vMerge w:val="continue"/>
            <w:tcBorders>
              <w:top w:val="single" w:color="000000" w:sz="4" w:space="0"/>
              <w:left w:val="single" w:color="000000" w:sz="4" w:space="0"/>
              <w:bottom w:val="single" w:color="000000" w:sz="4" w:space="0"/>
              <w:right w:val="single" w:color="000000" w:sz="4" w:space="0"/>
            </w:tcBorders>
            <w:vAlign w:val="center"/>
          </w:tcPr>
          <w:p w14:paraId="3E6C5F3A">
            <w:pPr>
              <w:pStyle w:val="72"/>
              <w:rPr>
                <w:rFonts w:hint="eastAsia"/>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5E8E14BA">
            <w:pPr>
              <w:pStyle w:val="72"/>
              <w:rPr>
                <w:rFonts w:hint="default" w:ascii="Times New Roman" w:hAnsi="Times New Roman" w:cs="Times New Roman"/>
              </w:rPr>
            </w:pPr>
            <w:r>
              <w:rPr>
                <w:rFonts w:hint="default" w:ascii="Times New Roman" w:hAnsi="Times New Roman" w:cs="Times New Roman"/>
                <w:sz w:val="20"/>
                <w:szCs w:val="20"/>
              </w:rPr>
              <w:t>2</w:t>
            </w:r>
          </w:p>
        </w:tc>
        <w:tc>
          <w:tcPr>
            <w:tcW w:w="351" w:type="pct"/>
            <w:vMerge w:val="continue"/>
            <w:tcBorders>
              <w:top w:val="single" w:color="000000" w:sz="4" w:space="0"/>
              <w:left w:val="single" w:color="000000" w:sz="4" w:space="0"/>
              <w:bottom w:val="single" w:color="000000" w:sz="4" w:space="0"/>
              <w:right w:val="single" w:color="000000" w:sz="4" w:space="0"/>
            </w:tcBorders>
            <w:vAlign w:val="center"/>
          </w:tcPr>
          <w:p w14:paraId="0BBE098D">
            <w:pPr>
              <w:pStyle w:val="72"/>
              <w:rPr>
                <w:rFonts w:hint="eastAsia"/>
              </w:rPr>
            </w:pPr>
          </w:p>
        </w:tc>
        <w:tc>
          <w:tcPr>
            <w:tcW w:w="452" w:type="pct"/>
            <w:vMerge w:val="continue"/>
            <w:tcBorders>
              <w:top w:val="single" w:color="000000" w:sz="4" w:space="0"/>
              <w:left w:val="single" w:color="000000" w:sz="4" w:space="0"/>
              <w:bottom w:val="single" w:color="000000" w:sz="4" w:space="0"/>
              <w:right w:val="single" w:color="000000" w:sz="4" w:space="0"/>
            </w:tcBorders>
            <w:vAlign w:val="center"/>
          </w:tcPr>
          <w:p w14:paraId="148121DE">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bottom"/>
          </w:tcPr>
          <w:p w14:paraId="38FD0B9A">
            <w:pPr>
              <w:pStyle w:val="72"/>
              <w:rPr>
                <w:rFonts w:hint="default" w:ascii="Times New Roman" w:hAnsi="Times New Roman" w:cs="Times New Roman"/>
              </w:rPr>
            </w:pPr>
            <w:r>
              <w:rPr>
                <w:rFonts w:hint="default" w:ascii="Times New Roman" w:hAnsi="Times New Roman" w:cs="Times New Roman"/>
                <w:sz w:val="20"/>
                <w:szCs w:val="20"/>
              </w:rPr>
              <w:t>0.4</w:t>
            </w:r>
          </w:p>
        </w:tc>
      </w:tr>
      <w:tr w14:paraId="1484963A">
        <w:tblPrEx>
          <w:tblCellMar>
            <w:top w:w="0" w:type="dxa"/>
            <w:left w:w="108" w:type="dxa"/>
            <w:bottom w:w="0" w:type="dxa"/>
            <w:right w:w="108" w:type="dxa"/>
          </w:tblCellMar>
        </w:tblPrEx>
        <w:trPr>
          <w:trHeight w:val="96" w:hRule="atLeast"/>
          <w:jc w:val="center"/>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14:paraId="3D7FC682">
            <w:pPr>
              <w:pStyle w:val="72"/>
              <w:rPr>
                <w:rFonts w:hint="eastAsia"/>
              </w:rPr>
            </w:pPr>
          </w:p>
        </w:tc>
        <w:tc>
          <w:tcPr>
            <w:tcW w:w="565" w:type="pct"/>
            <w:vMerge w:val="continue"/>
            <w:tcBorders>
              <w:top w:val="single" w:color="000000" w:sz="4" w:space="0"/>
              <w:left w:val="single" w:color="000000" w:sz="4" w:space="0"/>
              <w:bottom w:val="single" w:color="000000" w:sz="4" w:space="0"/>
              <w:right w:val="single" w:color="000000" w:sz="4" w:space="0"/>
            </w:tcBorders>
            <w:vAlign w:val="center"/>
          </w:tcPr>
          <w:p w14:paraId="69EF5053">
            <w:pPr>
              <w:pStyle w:val="72"/>
              <w:rPr>
                <w:rFonts w:hint="eastAsia"/>
              </w:rPr>
            </w:pPr>
          </w:p>
        </w:tc>
        <w:tc>
          <w:tcPr>
            <w:tcW w:w="1178" w:type="pct"/>
            <w:tcBorders>
              <w:top w:val="single" w:color="000000" w:sz="4" w:space="0"/>
              <w:left w:val="single" w:color="000000" w:sz="4" w:space="0"/>
              <w:bottom w:val="single" w:color="000000" w:sz="4" w:space="0"/>
              <w:right w:val="single" w:color="000000" w:sz="4" w:space="0"/>
            </w:tcBorders>
            <w:vAlign w:val="center"/>
          </w:tcPr>
          <w:p w14:paraId="1CE97DF6">
            <w:pPr>
              <w:pStyle w:val="72"/>
              <w:rPr>
                <w:rFonts w:hint="eastAsia"/>
              </w:rPr>
            </w:pPr>
            <w:r>
              <w:rPr>
                <w:rFonts w:hint="eastAsia" w:ascii="仿宋" w:hAnsi="仿宋"/>
                <w:sz w:val="20"/>
                <w:szCs w:val="20"/>
              </w:rPr>
              <w:t>地下水水量监测</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4491F8DE">
            <w:pPr>
              <w:pStyle w:val="72"/>
              <w:rPr>
                <w:rFonts w:hint="eastAsia"/>
              </w:rPr>
            </w:pPr>
          </w:p>
        </w:tc>
        <w:tc>
          <w:tcPr>
            <w:tcW w:w="547" w:type="pct"/>
            <w:vMerge w:val="continue"/>
            <w:tcBorders>
              <w:top w:val="single" w:color="000000" w:sz="4" w:space="0"/>
              <w:left w:val="single" w:color="000000" w:sz="4" w:space="0"/>
              <w:bottom w:val="single" w:color="000000" w:sz="4" w:space="0"/>
              <w:right w:val="single" w:color="000000" w:sz="4" w:space="0"/>
            </w:tcBorders>
            <w:vAlign w:val="center"/>
          </w:tcPr>
          <w:p w14:paraId="2F0546D3">
            <w:pPr>
              <w:pStyle w:val="72"/>
              <w:rPr>
                <w:rFonts w:hint="eastAsia"/>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787ACEE3">
            <w:pPr>
              <w:pStyle w:val="72"/>
              <w:rPr>
                <w:rFonts w:hint="default" w:ascii="Times New Roman" w:hAnsi="Times New Roman" w:cs="Times New Roman"/>
              </w:rPr>
            </w:pPr>
            <w:r>
              <w:rPr>
                <w:rFonts w:hint="default" w:ascii="Times New Roman" w:hAnsi="Times New Roman" w:cs="Times New Roman"/>
                <w:sz w:val="20"/>
                <w:szCs w:val="20"/>
              </w:rPr>
              <w:t>12</w:t>
            </w:r>
          </w:p>
        </w:tc>
        <w:tc>
          <w:tcPr>
            <w:tcW w:w="351" w:type="pct"/>
            <w:vMerge w:val="continue"/>
            <w:tcBorders>
              <w:top w:val="single" w:color="000000" w:sz="4" w:space="0"/>
              <w:left w:val="single" w:color="000000" w:sz="4" w:space="0"/>
              <w:bottom w:val="single" w:color="000000" w:sz="4" w:space="0"/>
              <w:right w:val="single" w:color="000000" w:sz="4" w:space="0"/>
            </w:tcBorders>
            <w:vAlign w:val="center"/>
          </w:tcPr>
          <w:p w14:paraId="1A5FCA30">
            <w:pPr>
              <w:pStyle w:val="72"/>
              <w:rPr>
                <w:rFonts w:hint="eastAsia"/>
              </w:rPr>
            </w:pPr>
          </w:p>
        </w:tc>
        <w:tc>
          <w:tcPr>
            <w:tcW w:w="452" w:type="pct"/>
            <w:vMerge w:val="continue"/>
            <w:tcBorders>
              <w:top w:val="single" w:color="000000" w:sz="4" w:space="0"/>
              <w:left w:val="single" w:color="000000" w:sz="4" w:space="0"/>
              <w:bottom w:val="single" w:color="000000" w:sz="4" w:space="0"/>
              <w:right w:val="single" w:color="000000" w:sz="4" w:space="0"/>
            </w:tcBorders>
            <w:vAlign w:val="center"/>
          </w:tcPr>
          <w:p w14:paraId="67DC4051">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bottom"/>
          </w:tcPr>
          <w:p w14:paraId="079C5C10">
            <w:pPr>
              <w:pStyle w:val="72"/>
              <w:rPr>
                <w:rFonts w:hint="default" w:ascii="Times New Roman" w:hAnsi="Times New Roman" w:cs="Times New Roman"/>
              </w:rPr>
            </w:pPr>
            <w:r>
              <w:rPr>
                <w:rFonts w:hint="default" w:ascii="Times New Roman" w:hAnsi="Times New Roman" w:cs="Times New Roman"/>
                <w:sz w:val="20"/>
                <w:szCs w:val="20"/>
              </w:rPr>
              <w:t>0.24</w:t>
            </w:r>
          </w:p>
        </w:tc>
      </w:tr>
      <w:tr w14:paraId="4A640781">
        <w:tblPrEx>
          <w:tblCellMar>
            <w:top w:w="0" w:type="dxa"/>
            <w:left w:w="108" w:type="dxa"/>
            <w:bottom w:w="0" w:type="dxa"/>
            <w:right w:w="108" w:type="dxa"/>
          </w:tblCellMar>
        </w:tblPrEx>
        <w:trPr>
          <w:trHeight w:val="183" w:hRule="atLeast"/>
          <w:jc w:val="center"/>
        </w:trPr>
        <w:tc>
          <w:tcPr>
            <w:tcW w:w="4096" w:type="pct"/>
            <w:gridSpan w:val="7"/>
            <w:tcBorders>
              <w:top w:val="single" w:color="000000" w:sz="4" w:space="0"/>
              <w:left w:val="single" w:color="000000" w:sz="4" w:space="0"/>
              <w:bottom w:val="single" w:color="000000" w:sz="4" w:space="0"/>
              <w:right w:val="single" w:color="000000" w:sz="4" w:space="0"/>
            </w:tcBorders>
            <w:vAlign w:val="center"/>
          </w:tcPr>
          <w:p w14:paraId="3D83DC54">
            <w:pPr>
              <w:pStyle w:val="72"/>
              <w:rPr>
                <w:rFonts w:hint="eastAsia"/>
              </w:rPr>
            </w:pPr>
            <w:r>
              <w:rPr>
                <w:rFonts w:hint="eastAsia"/>
              </w:rPr>
              <w:t>小计</w:t>
            </w:r>
          </w:p>
        </w:tc>
        <w:tc>
          <w:tcPr>
            <w:tcW w:w="452" w:type="pct"/>
            <w:tcBorders>
              <w:top w:val="single" w:color="000000" w:sz="4" w:space="0"/>
              <w:left w:val="single" w:color="000000" w:sz="4" w:space="0"/>
              <w:bottom w:val="single" w:color="000000" w:sz="4" w:space="0"/>
              <w:right w:val="single" w:color="000000" w:sz="4" w:space="0"/>
            </w:tcBorders>
            <w:vAlign w:val="center"/>
          </w:tcPr>
          <w:p w14:paraId="06A85145">
            <w:pPr>
              <w:pStyle w:val="72"/>
              <w:rPr>
                <w:rFonts w:hint="eastAsia"/>
              </w:rPr>
            </w:pPr>
          </w:p>
        </w:tc>
        <w:tc>
          <w:tcPr>
            <w:tcW w:w="452" w:type="pct"/>
            <w:tcBorders>
              <w:top w:val="single" w:color="000000" w:sz="4" w:space="0"/>
              <w:left w:val="single" w:color="000000" w:sz="4" w:space="0"/>
              <w:bottom w:val="single" w:color="000000" w:sz="4" w:space="0"/>
              <w:right w:val="single" w:color="000000" w:sz="4" w:space="0"/>
            </w:tcBorders>
            <w:vAlign w:val="center"/>
          </w:tcPr>
          <w:p w14:paraId="024273E0">
            <w:pPr>
              <w:pStyle w:val="72"/>
              <w:rPr>
                <w:rFonts w:hint="default" w:ascii="Times New Roman" w:hAnsi="Times New Roman" w:cs="Times New Roman"/>
              </w:rPr>
            </w:pPr>
            <w:r>
              <w:rPr>
                <w:rFonts w:hint="default" w:ascii="Times New Roman" w:hAnsi="Times New Roman" w:cs="Times New Roman"/>
                <w:lang w:val="en-US" w:eastAsia="zh-CN"/>
              </w:rPr>
              <w:t>1.0763</w:t>
            </w:r>
          </w:p>
        </w:tc>
      </w:tr>
      <w:bookmarkEnd w:id="239"/>
    </w:tbl>
    <w:p w14:paraId="7CF4DF8F">
      <w:pPr>
        <w:pStyle w:val="3"/>
      </w:pPr>
      <w:bookmarkStart w:id="240" w:name="_Toc10337"/>
      <w:bookmarkStart w:id="241" w:name="_Toc219050300"/>
      <w:bookmarkStart w:id="242" w:name="_Toc4518"/>
      <w:bookmarkStart w:id="243" w:name="_Toc215692461"/>
      <w:r>
        <w:t>第七章保障措施与</w:t>
      </w:r>
      <w:bookmarkEnd w:id="240"/>
      <w:r>
        <w:t>公众参与</w:t>
      </w:r>
      <w:bookmarkEnd w:id="241"/>
      <w:bookmarkEnd w:id="242"/>
      <w:bookmarkEnd w:id="243"/>
    </w:p>
    <w:p w14:paraId="5931744C">
      <w:pPr>
        <w:pStyle w:val="4"/>
        <w:ind w:firstLine="602"/>
        <w:rPr>
          <w:rFonts w:ascii="Times New Roman" w:hAnsi="Times New Roman"/>
          <w:szCs w:val="30"/>
        </w:rPr>
      </w:pPr>
      <w:bookmarkStart w:id="244" w:name="_Toc4411"/>
      <w:bookmarkStart w:id="245" w:name="_Toc219050301"/>
      <w:bookmarkStart w:id="246" w:name="_Toc25358"/>
      <w:bookmarkStart w:id="247" w:name="_Toc215692462"/>
      <w:r>
        <w:rPr>
          <w:rFonts w:ascii="Times New Roman" w:hAnsi="Times New Roman"/>
          <w:szCs w:val="30"/>
        </w:rPr>
        <w:t>一、保障</w:t>
      </w:r>
      <w:bookmarkEnd w:id="244"/>
      <w:r>
        <w:rPr>
          <w:rFonts w:ascii="Times New Roman" w:hAnsi="Times New Roman"/>
          <w:szCs w:val="30"/>
        </w:rPr>
        <w:t>措施</w:t>
      </w:r>
      <w:bookmarkEnd w:id="245"/>
      <w:bookmarkEnd w:id="246"/>
      <w:bookmarkEnd w:id="247"/>
    </w:p>
    <w:p w14:paraId="5947717B">
      <w:pPr>
        <w:pStyle w:val="5"/>
        <w:ind w:firstLine="562"/>
      </w:pPr>
      <w:r>
        <w:t>（一）组织保障措施</w:t>
      </w:r>
    </w:p>
    <w:p w14:paraId="24D96EC7">
      <w:pPr>
        <w:ind w:firstLine="560"/>
        <w:rPr>
          <w:rStyle w:val="199"/>
          <w:rFonts w:ascii="Times New Roman" w:hAnsi="Times New Roman" w:eastAsia="宋体"/>
          <w:sz w:val="28"/>
          <w:szCs w:val="28"/>
        </w:rPr>
      </w:pPr>
      <w:r>
        <w:rPr>
          <w:rStyle w:val="199"/>
          <w:rFonts w:ascii="Times New Roman" w:hAnsi="Times New Roman" w:eastAsia="宋体"/>
          <w:sz w:val="28"/>
          <w:szCs w:val="28"/>
        </w:rPr>
        <w:t>矿山由法人代表直接负责项目的具体实施工作，</w:t>
      </w:r>
      <w:r>
        <w:rPr>
          <w:rStyle w:val="199"/>
          <w:rFonts w:hint="eastAsia"/>
          <w:sz w:val="28"/>
          <w:szCs w:val="28"/>
          <w:lang w:eastAsia="zh-CN"/>
        </w:rPr>
        <w:t>通化市集安市</w:t>
      </w:r>
      <w:r>
        <w:rPr>
          <w:rStyle w:val="199"/>
          <w:rFonts w:ascii="Times New Roman" w:hAnsi="Times New Roman" w:eastAsia="宋体"/>
          <w:sz w:val="28"/>
          <w:szCs w:val="28"/>
        </w:rPr>
        <w:t>自然资源局对矿山矿区生态修复工作进行监督，共同使矿山矿区生态修复方案落到实处，保证本方案的顺利实施并充分发挥作用。</w:t>
      </w:r>
    </w:p>
    <w:p w14:paraId="447B7BC5">
      <w:pPr>
        <w:ind w:firstLine="560"/>
        <w:rPr>
          <w:rStyle w:val="199"/>
          <w:rFonts w:ascii="Times New Roman" w:hAnsi="Times New Roman" w:eastAsia="宋体"/>
          <w:sz w:val="28"/>
          <w:szCs w:val="28"/>
        </w:rPr>
      </w:pPr>
      <w:r>
        <w:rPr>
          <w:rStyle w:val="199"/>
          <w:rFonts w:ascii="Times New Roman" w:hAnsi="Times New Roman" w:eastAsia="宋体"/>
          <w:sz w:val="28"/>
          <w:szCs w:val="28"/>
        </w:rPr>
        <w:t>根据“谁开发、谁保护；谁破坏，谁恢复”，“谁损毁，谁复垦”原则，矿山生产建设单位应成立项目实施管理机构，由法人代表直接领导，抽调人员组成，并吸收设计、施工单位加入，负责治理工程任务的施工、组织、管理和落实，做到责任明确、奖惩分明。由</w:t>
      </w:r>
      <w:r>
        <w:rPr>
          <w:rStyle w:val="199"/>
          <w:rFonts w:hint="eastAsia"/>
          <w:sz w:val="28"/>
          <w:szCs w:val="28"/>
          <w:lang w:eastAsia="zh-CN"/>
        </w:rPr>
        <w:t>通化市集安市</w:t>
      </w:r>
      <w:r>
        <w:rPr>
          <w:rStyle w:val="199"/>
          <w:rFonts w:ascii="Times New Roman" w:hAnsi="Times New Roman" w:eastAsia="宋体"/>
          <w:sz w:val="28"/>
          <w:szCs w:val="28"/>
        </w:rPr>
        <w:t>自然资源局履行政府职能，对方案的实施进行指导、检查、监督和管理，认真处理施工工作当中的技术问题；对区内的工作开展情况进行了解、监督、协调和技术指导，分析存在问题，及时向项目建设行政主管部门反映实施过程中存在的问题和改正建议，纠正治理恢复过程中的偏差问题，</w:t>
      </w:r>
      <w:r>
        <w:rPr>
          <w:rStyle w:val="199"/>
          <w:rFonts w:hint="eastAsia" w:ascii="Times New Roman" w:hAnsi="Times New Roman" w:eastAsia="宋体"/>
          <w:sz w:val="28"/>
          <w:szCs w:val="28"/>
          <w:lang w:eastAsia="zh-CN"/>
        </w:rPr>
        <w:t>集安市</w:t>
      </w:r>
      <w:r>
        <w:rPr>
          <w:rStyle w:val="199"/>
          <w:rFonts w:ascii="Times New Roman" w:hAnsi="Times New Roman" w:eastAsia="宋体"/>
          <w:sz w:val="28"/>
          <w:szCs w:val="28"/>
        </w:rPr>
        <w:t>自然资源局负责监督项目矿山矿区生态修复工作实施情况并负责组织矿山矿区生态修复方案的竣工验收。矿山建设生产单位和主管部门应各尽其责，相互配合，加强交流与沟通，提高工作效率，保证矿区生态修复工作的顺利实施。</w:t>
      </w:r>
    </w:p>
    <w:p w14:paraId="5048063D">
      <w:pPr>
        <w:pStyle w:val="5"/>
        <w:ind w:firstLine="562"/>
      </w:pPr>
      <w:r>
        <w:t>（二）技术保障措施</w:t>
      </w:r>
    </w:p>
    <w:p w14:paraId="76242B8C">
      <w:pPr>
        <w:ind w:firstLine="560"/>
      </w:pPr>
      <w:r>
        <w:t>为保证该矿山地质环境保护与恢复治理和土地复垦工作的顺利进行，必须采取科学手段和方法，以技术为支撑，执行相应的技术规范，以达到预期治理效果。参与本项目勘察、设计、施工及管理的单位，必须具备国家规定的资质条件，取得相应的资质证书。应定期培训专职的技术人员，咨询相关专家，针对项目特点开展试验，引进国内外先进的治理和复垦技术，及时更新相关技术标准和规范，加大区域技术交流，以保障本项目在技术方面的先进性、经济性、可行性。项目质量管理须严格按照有关规定、规程执行，做到责任明确。矿山</w:t>
      </w:r>
      <w:r>
        <w:rPr>
          <w:rStyle w:val="199"/>
          <w:rFonts w:ascii="Times New Roman" w:hAnsi="Times New Roman" w:eastAsia="宋体"/>
          <w:sz w:val="28"/>
          <w:szCs w:val="28"/>
        </w:rPr>
        <w:t>矿区生态修复</w:t>
      </w:r>
      <w:r>
        <w:t>工程竣工后，应及时报请自然资源行政主管部门组织专家验收。</w:t>
      </w:r>
    </w:p>
    <w:p w14:paraId="64A78E72">
      <w:pPr>
        <w:pStyle w:val="5"/>
        <w:ind w:firstLine="562"/>
      </w:pPr>
      <w:r>
        <w:t>（三）资金保障措施</w:t>
      </w:r>
    </w:p>
    <w:p w14:paraId="0B109D89">
      <w:pPr>
        <w:ind w:firstLine="560"/>
        <w:jc w:val="both"/>
        <w:rPr>
          <w:szCs w:val="28"/>
        </w:rPr>
      </w:pPr>
      <w:r>
        <w:rPr>
          <w:szCs w:val="28"/>
        </w:rPr>
        <w:t>根据《财政部国土部环保部关于取消矿山地质环境治理恢复保证金建立矿山地质环境治理恢复基金的指导意见》（财建〔2017〕638号）的规定，治理保证金已纳入改革范围，现改为基金。根据《吉林省自然资源厅关于采矿生产项目土地复垦费预存纳入矿山地质环境治理恢复基金管理有关问题的通知》（吉自然资函〔2020〕266号），土地复垦费预存纳入矿山地质环境治理恢复基金管理。故</w:t>
      </w:r>
      <w:r>
        <w:rPr>
          <w:rFonts w:hint="eastAsia"/>
          <w:szCs w:val="28"/>
          <w:lang w:eastAsia="zh-CN"/>
        </w:rPr>
        <w:t>二道滑石矿</w:t>
      </w:r>
      <w:r>
        <w:rPr>
          <w:szCs w:val="28"/>
        </w:rPr>
        <w:t>矿区生态修复及生产成本，由矿山负责管理。</w:t>
      </w:r>
    </w:p>
    <w:p w14:paraId="79CB2E7B">
      <w:pPr>
        <w:ind w:firstLine="560"/>
        <w:rPr>
          <w:szCs w:val="28"/>
        </w:rPr>
      </w:pPr>
      <w:r>
        <w:rPr>
          <w:szCs w:val="28"/>
        </w:rPr>
        <w:t>经估算，矿区生态</w:t>
      </w:r>
      <w:r>
        <w:rPr>
          <w:rFonts w:hint="eastAsia"/>
          <w:szCs w:val="28"/>
        </w:rPr>
        <w:t>修复工程</w:t>
      </w:r>
      <w:r>
        <w:rPr>
          <w:szCs w:val="28"/>
        </w:rPr>
        <w:t>动态投资</w:t>
      </w:r>
      <w:r>
        <w:rPr>
          <w:rFonts w:hint="eastAsia"/>
          <w:lang w:eastAsia="zh-CN"/>
        </w:rPr>
        <w:t>161.04</w:t>
      </w:r>
      <w:r>
        <w:rPr>
          <w:szCs w:val="28"/>
        </w:rPr>
        <w:t>万元</w:t>
      </w:r>
      <w:r>
        <w:rPr>
          <w:rFonts w:hint="eastAsia"/>
          <w:szCs w:val="28"/>
        </w:rPr>
        <w:t>，按照矿山预存基金计划，截止202</w:t>
      </w:r>
      <w:r>
        <w:rPr>
          <w:rFonts w:hint="eastAsia"/>
          <w:szCs w:val="28"/>
          <w:lang w:val="en-US" w:eastAsia="zh-CN"/>
        </w:rPr>
        <w:t>6</w:t>
      </w:r>
      <w:r>
        <w:rPr>
          <w:rFonts w:hint="eastAsia"/>
          <w:szCs w:val="28"/>
        </w:rPr>
        <w:t>年矿山应预存基金</w:t>
      </w:r>
      <w:r>
        <w:rPr>
          <w:rFonts w:hint="eastAsia"/>
          <w:szCs w:val="28"/>
          <w:lang w:eastAsia="zh-CN"/>
        </w:rPr>
        <w:t>161.04</w:t>
      </w:r>
      <w:r>
        <w:rPr>
          <w:rFonts w:hint="eastAsia"/>
          <w:szCs w:val="28"/>
        </w:rPr>
        <w:t>万元，</w:t>
      </w:r>
      <w:r>
        <w:rPr>
          <w:szCs w:val="28"/>
        </w:rPr>
        <w:t>目前已</w:t>
      </w:r>
      <w:r>
        <w:rPr>
          <w:rFonts w:hint="eastAsia"/>
          <w:szCs w:val="28"/>
        </w:rPr>
        <w:t>预存</w:t>
      </w:r>
      <w:r>
        <w:rPr>
          <w:rFonts w:hint="eastAsia"/>
          <w:szCs w:val="28"/>
          <w:lang w:val="en-US" w:eastAsia="zh-CN"/>
        </w:rPr>
        <w:t>9.4</w:t>
      </w:r>
      <w:r>
        <w:rPr>
          <w:szCs w:val="28"/>
        </w:rPr>
        <w:t>万元，</w:t>
      </w:r>
      <w:r>
        <w:rPr>
          <w:rFonts w:hint="eastAsia"/>
          <w:szCs w:val="28"/>
          <w:lang w:val="en-US" w:eastAsia="zh-CN"/>
        </w:rPr>
        <w:t>后续</w:t>
      </w:r>
      <w:r>
        <w:rPr>
          <w:rFonts w:hint="eastAsia"/>
          <w:szCs w:val="28"/>
        </w:rPr>
        <w:t>补缴</w:t>
      </w:r>
      <w:r>
        <w:rPr>
          <w:rFonts w:hint="eastAsia"/>
          <w:szCs w:val="28"/>
          <w:lang w:val="en-US" w:eastAsia="zh-CN"/>
        </w:rPr>
        <w:t>151.64</w:t>
      </w:r>
      <w:r>
        <w:rPr>
          <w:rFonts w:hint="eastAsia"/>
          <w:szCs w:val="28"/>
        </w:rPr>
        <w:t>万元，</w:t>
      </w:r>
      <w:r>
        <w:rPr>
          <w:rFonts w:hint="eastAsia"/>
          <w:szCs w:val="28"/>
          <w:lang w:val="en-US" w:eastAsia="zh-CN"/>
        </w:rPr>
        <w:t>2026年缴存额度为20%，即30.328万元，</w:t>
      </w:r>
      <w:r>
        <w:rPr>
          <w:rFonts w:hint="eastAsia"/>
          <w:szCs w:val="28"/>
        </w:rPr>
        <w:t>于有采矿证到期</w:t>
      </w:r>
      <w:r>
        <w:rPr>
          <w:szCs w:val="28"/>
        </w:rPr>
        <w:t>前一年</w:t>
      </w:r>
      <w:r>
        <w:rPr>
          <w:rFonts w:hint="eastAsia"/>
          <w:szCs w:val="28"/>
        </w:rPr>
        <w:t>缴齐</w:t>
      </w:r>
      <w:r>
        <w:rPr>
          <w:szCs w:val="28"/>
        </w:rPr>
        <w:t>（20</w:t>
      </w:r>
      <w:r>
        <w:rPr>
          <w:rFonts w:hint="eastAsia"/>
          <w:szCs w:val="28"/>
          <w:lang w:val="en-US" w:eastAsia="zh-CN"/>
        </w:rPr>
        <w:t>33</w:t>
      </w:r>
      <w:r>
        <w:rPr>
          <w:szCs w:val="28"/>
        </w:rPr>
        <w:t>年）</w:t>
      </w:r>
      <w:bookmarkStart w:id="248" w:name="_Hlk127688252"/>
      <w:r>
        <w:rPr>
          <w:rFonts w:hint="eastAsia"/>
          <w:szCs w:val="28"/>
        </w:rPr>
        <w:t>，每年缴纳约</w:t>
      </w:r>
      <w:r>
        <w:rPr>
          <w:rFonts w:hint="eastAsia"/>
          <w:lang w:val="en-US" w:eastAsia="zh-CN"/>
        </w:rPr>
        <w:t>16.046</w:t>
      </w:r>
      <w:r>
        <w:rPr>
          <w:rFonts w:hint="eastAsia"/>
          <w:szCs w:val="28"/>
        </w:rPr>
        <w:t>万元</w:t>
      </w:r>
      <w:r>
        <w:rPr>
          <w:szCs w:val="28"/>
        </w:rPr>
        <w:t>。</w:t>
      </w:r>
      <w:bookmarkEnd w:id="248"/>
    </w:p>
    <w:p w14:paraId="02C31F92">
      <w:pPr>
        <w:pStyle w:val="57"/>
        <w:rPr>
          <w:rFonts w:ascii="Times New Roman" w:hAnsi="Times New Roman"/>
        </w:rPr>
      </w:pPr>
      <w:r>
        <w:rPr>
          <w:rFonts w:ascii="Times New Roman" w:hAnsi="Times New Roman"/>
        </w:rPr>
        <w:t>表7-1矿区生态修复基金预存明细表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6"/>
        <w:gridCol w:w="2273"/>
        <w:gridCol w:w="2279"/>
        <w:gridCol w:w="2752"/>
      </w:tblGrid>
      <w:tr w14:paraId="5E8E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trPr>
        <w:tc>
          <w:tcPr>
            <w:tcW w:w="1183" w:type="pct"/>
            <w:vMerge w:val="restart"/>
            <w:noWrap/>
            <w:vAlign w:val="center"/>
          </w:tcPr>
          <w:p w14:paraId="129ED352">
            <w:pPr>
              <w:pStyle w:val="72"/>
              <w:rPr>
                <w:rFonts w:hint="default" w:ascii="Times New Roman" w:hAnsi="Times New Roman" w:cs="Times New Roman"/>
              </w:rPr>
            </w:pPr>
            <w:r>
              <w:rPr>
                <w:rFonts w:hint="default" w:ascii="Times New Roman" w:hAnsi="Times New Roman" w:cs="Times New Roman"/>
              </w:rPr>
              <w:t>序号</w:t>
            </w:r>
          </w:p>
        </w:tc>
        <w:tc>
          <w:tcPr>
            <w:tcW w:w="1187" w:type="pct"/>
            <w:vMerge w:val="restart"/>
            <w:noWrap/>
            <w:vAlign w:val="center"/>
          </w:tcPr>
          <w:p w14:paraId="721DBBDE">
            <w:pPr>
              <w:pStyle w:val="72"/>
              <w:rPr>
                <w:rFonts w:hint="default" w:ascii="Times New Roman" w:hAnsi="Times New Roman" w:cs="Times New Roman"/>
              </w:rPr>
            </w:pPr>
            <w:r>
              <w:rPr>
                <w:rFonts w:hint="default" w:ascii="Times New Roman" w:hAnsi="Times New Roman" w:cs="Times New Roman"/>
              </w:rPr>
              <w:t>年度</w:t>
            </w:r>
          </w:p>
        </w:tc>
        <w:tc>
          <w:tcPr>
            <w:tcW w:w="1190" w:type="pct"/>
            <w:noWrap/>
            <w:vAlign w:val="center"/>
          </w:tcPr>
          <w:p w14:paraId="79BD24A3">
            <w:pPr>
              <w:pStyle w:val="72"/>
              <w:rPr>
                <w:rFonts w:hint="default" w:ascii="Times New Roman" w:hAnsi="Times New Roman" w:cs="Times New Roman"/>
              </w:rPr>
            </w:pPr>
            <w:r>
              <w:rPr>
                <w:rFonts w:hint="default" w:ascii="Times New Roman" w:hAnsi="Times New Roman" w:cs="Times New Roman"/>
              </w:rPr>
              <w:t>总预存金额</w:t>
            </w:r>
          </w:p>
        </w:tc>
        <w:tc>
          <w:tcPr>
            <w:tcW w:w="1437" w:type="pct"/>
            <w:noWrap/>
            <w:vAlign w:val="center"/>
          </w:tcPr>
          <w:p w14:paraId="68337E1E">
            <w:pPr>
              <w:pStyle w:val="72"/>
              <w:rPr>
                <w:rFonts w:hint="default" w:ascii="Times New Roman" w:hAnsi="Times New Roman" w:cs="Times New Roman"/>
              </w:rPr>
            </w:pPr>
            <w:r>
              <w:rPr>
                <w:rFonts w:hint="default" w:ascii="Times New Roman" w:hAnsi="Times New Roman" w:cs="Times New Roman"/>
              </w:rPr>
              <w:t>占总费用百分比</w:t>
            </w:r>
          </w:p>
        </w:tc>
      </w:tr>
      <w:tr w14:paraId="058A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trPr>
        <w:tc>
          <w:tcPr>
            <w:tcW w:w="1183" w:type="pct"/>
            <w:vMerge w:val="continue"/>
            <w:vAlign w:val="center"/>
          </w:tcPr>
          <w:p w14:paraId="28A3FBA9">
            <w:pPr>
              <w:pStyle w:val="72"/>
              <w:rPr>
                <w:rFonts w:hint="default" w:ascii="Times New Roman" w:hAnsi="Times New Roman" w:cs="Times New Roman"/>
              </w:rPr>
            </w:pPr>
          </w:p>
        </w:tc>
        <w:tc>
          <w:tcPr>
            <w:tcW w:w="1187" w:type="pct"/>
            <w:vMerge w:val="continue"/>
            <w:vAlign w:val="center"/>
          </w:tcPr>
          <w:p w14:paraId="35FA5005">
            <w:pPr>
              <w:pStyle w:val="72"/>
              <w:rPr>
                <w:rFonts w:hint="default" w:ascii="Times New Roman" w:hAnsi="Times New Roman" w:cs="Times New Roman"/>
              </w:rPr>
            </w:pPr>
          </w:p>
        </w:tc>
        <w:tc>
          <w:tcPr>
            <w:tcW w:w="1190" w:type="pct"/>
            <w:noWrap/>
            <w:vAlign w:val="center"/>
          </w:tcPr>
          <w:p w14:paraId="5EDCB08C">
            <w:pPr>
              <w:pStyle w:val="72"/>
              <w:rPr>
                <w:rFonts w:hint="default" w:ascii="Times New Roman" w:hAnsi="Times New Roman" w:cs="Times New Roman"/>
              </w:rPr>
            </w:pPr>
            <w:r>
              <w:rPr>
                <w:rFonts w:hint="default" w:ascii="Times New Roman" w:hAnsi="Times New Roman" w:cs="Times New Roman"/>
              </w:rPr>
              <w:t>（万元）</w:t>
            </w:r>
          </w:p>
        </w:tc>
        <w:tc>
          <w:tcPr>
            <w:tcW w:w="1437" w:type="pct"/>
            <w:noWrap/>
            <w:vAlign w:val="center"/>
          </w:tcPr>
          <w:p w14:paraId="536DD7CE">
            <w:pPr>
              <w:pStyle w:val="72"/>
              <w:rPr>
                <w:rFonts w:hint="default" w:ascii="Times New Roman" w:hAnsi="Times New Roman" w:cs="Times New Roman"/>
              </w:rPr>
            </w:pPr>
            <w:r>
              <w:rPr>
                <w:rFonts w:hint="default" w:ascii="Times New Roman" w:hAnsi="Times New Roman" w:cs="Times New Roman"/>
              </w:rPr>
              <w:t>（%）</w:t>
            </w:r>
          </w:p>
        </w:tc>
      </w:tr>
      <w:tr w14:paraId="7AF9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trPr>
        <w:tc>
          <w:tcPr>
            <w:tcW w:w="1183" w:type="pct"/>
            <w:vAlign w:val="center"/>
          </w:tcPr>
          <w:p w14:paraId="40CC2E2A">
            <w:pPr>
              <w:pStyle w:val="72"/>
              <w:rPr>
                <w:rFonts w:hint="default" w:ascii="Times New Roman" w:hAnsi="Times New Roman" w:cs="Times New Roman"/>
              </w:rPr>
            </w:pPr>
            <w:r>
              <w:rPr>
                <w:rFonts w:hint="default" w:ascii="Times New Roman" w:hAnsi="Times New Roman" w:cs="Times New Roman"/>
                <w:szCs w:val="21"/>
              </w:rPr>
              <w:t>1</w:t>
            </w:r>
          </w:p>
        </w:tc>
        <w:tc>
          <w:tcPr>
            <w:tcW w:w="1187" w:type="pct"/>
            <w:shd w:val="clear" w:color="auto" w:fill="auto"/>
            <w:vAlign w:val="center"/>
          </w:tcPr>
          <w:p w14:paraId="7413E18A">
            <w:pPr>
              <w:pStyle w:val="72"/>
              <w:ind w:firstLine="0" w:firstLineChars="0"/>
              <w:rPr>
                <w:rFonts w:hint="default" w:ascii="Times New Roman" w:hAnsi="Times New Roman" w:cs="Times New Roman"/>
                <w:szCs w:val="21"/>
                <w:lang w:val="en-US" w:eastAsia="zh-CN"/>
              </w:rPr>
            </w:pPr>
            <w:r>
              <w:rPr>
                <w:rFonts w:hint="default" w:ascii="Times New Roman" w:hAnsi="Times New Roman" w:cs="Times New Roman"/>
                <w:szCs w:val="21"/>
              </w:rPr>
              <w:t>2026</w:t>
            </w:r>
          </w:p>
        </w:tc>
        <w:tc>
          <w:tcPr>
            <w:tcW w:w="1190" w:type="pct"/>
            <w:noWrap/>
            <w:vAlign w:val="center"/>
          </w:tcPr>
          <w:p w14:paraId="39C054A2">
            <w:pPr>
              <w:pStyle w:val="72"/>
              <w:rPr>
                <w:rFonts w:hint="default" w:ascii="Times New Roman" w:hAnsi="Times New Roman" w:cs="Times New Roman"/>
                <w:lang w:val="en-US" w:eastAsia="zh-CN"/>
              </w:rPr>
            </w:pPr>
            <w:r>
              <w:rPr>
                <w:rFonts w:hint="eastAsia" w:ascii="Times New Roman" w:hAnsi="Times New Roman" w:cs="Times New Roman"/>
                <w:lang w:val="en-US" w:eastAsia="zh-CN"/>
              </w:rPr>
              <w:t>30.328</w:t>
            </w:r>
          </w:p>
        </w:tc>
        <w:tc>
          <w:tcPr>
            <w:tcW w:w="2752" w:type="dxa"/>
            <w:noWrap/>
            <w:vAlign w:val="center"/>
          </w:tcPr>
          <w:p w14:paraId="227B9B1A">
            <w:pPr>
              <w:pStyle w:val="72"/>
              <w:rPr>
                <w:rFonts w:hint="default" w:ascii="Times New Roman" w:hAnsi="Times New Roman" w:cs="Times New Roman"/>
                <w:lang w:val="en-US" w:eastAsia="zh-CN"/>
              </w:rPr>
            </w:pPr>
            <w:r>
              <w:rPr>
                <w:rFonts w:hint="default" w:ascii="Times New Roman" w:hAnsi="Times New Roman" w:cs="Times New Roman"/>
                <w:lang w:val="en-US" w:eastAsia="zh-CN"/>
              </w:rPr>
              <w:t>20%</w:t>
            </w:r>
          </w:p>
        </w:tc>
      </w:tr>
      <w:tr w14:paraId="102D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183" w:type="pct"/>
            <w:noWrap/>
            <w:vAlign w:val="center"/>
          </w:tcPr>
          <w:p w14:paraId="392C7101">
            <w:pPr>
              <w:pStyle w:val="72"/>
              <w:rPr>
                <w:rFonts w:hint="default" w:ascii="Times New Roman" w:hAnsi="Times New Roman" w:cs="Times New Roman"/>
              </w:rPr>
            </w:pPr>
            <w:r>
              <w:rPr>
                <w:rFonts w:hint="default" w:ascii="Times New Roman" w:hAnsi="Times New Roman" w:cs="Times New Roman"/>
                <w:szCs w:val="21"/>
              </w:rPr>
              <w:t>2</w:t>
            </w:r>
          </w:p>
        </w:tc>
        <w:tc>
          <w:tcPr>
            <w:tcW w:w="1187" w:type="pct"/>
            <w:shd w:val="clear" w:color="auto" w:fill="auto"/>
            <w:noWrap/>
            <w:vAlign w:val="center"/>
          </w:tcPr>
          <w:p w14:paraId="78F807BB">
            <w:pPr>
              <w:pStyle w:val="72"/>
              <w:ind w:firstLine="0" w:firstLineChars="0"/>
              <w:rPr>
                <w:rFonts w:hint="default" w:ascii="Times New Roman" w:hAnsi="Times New Roman" w:cs="Times New Roman"/>
                <w:szCs w:val="21"/>
                <w:lang w:val="en-US" w:eastAsia="zh-CN"/>
              </w:rPr>
            </w:pPr>
            <w:r>
              <w:rPr>
                <w:rFonts w:hint="default" w:ascii="Times New Roman" w:hAnsi="Times New Roman" w:cs="Times New Roman"/>
                <w:szCs w:val="21"/>
              </w:rPr>
              <w:t>2027</w:t>
            </w:r>
          </w:p>
        </w:tc>
        <w:tc>
          <w:tcPr>
            <w:tcW w:w="1190" w:type="pct"/>
            <w:noWrap/>
            <w:vAlign w:val="center"/>
          </w:tcPr>
          <w:p w14:paraId="5E4D7F00">
            <w:pPr>
              <w:pStyle w:val="72"/>
              <w:rPr>
                <w:rFonts w:hint="default" w:ascii="Times New Roman" w:hAnsi="Times New Roman" w:cs="Times New Roman"/>
                <w:lang w:val="en-US" w:eastAsia="zh-CN"/>
              </w:rPr>
            </w:pPr>
            <w:r>
              <w:rPr>
                <w:rFonts w:hint="eastAsia" w:ascii="Times New Roman" w:hAnsi="Times New Roman" w:cs="Times New Roman"/>
                <w:lang w:val="en-US" w:eastAsia="zh-CN"/>
              </w:rPr>
              <w:t>17.33028</w:t>
            </w:r>
          </w:p>
        </w:tc>
        <w:tc>
          <w:tcPr>
            <w:tcW w:w="2752" w:type="dxa"/>
            <w:noWrap/>
            <w:vAlign w:val="center"/>
          </w:tcPr>
          <w:p w14:paraId="5E0E1CC2">
            <w:pPr>
              <w:pStyle w:val="72"/>
              <w:rPr>
                <w:rFonts w:hint="default" w:ascii="Times New Roman" w:hAnsi="Times New Roman" w:cs="Times New Roman"/>
                <w:lang w:val="en-US" w:eastAsia="zh-CN"/>
              </w:rPr>
            </w:pPr>
            <w:r>
              <w:rPr>
                <w:rFonts w:hint="default" w:ascii="Times New Roman" w:hAnsi="Times New Roman" w:cs="Times New Roman"/>
                <w:lang w:val="en-US" w:eastAsia="zh-CN"/>
              </w:rPr>
              <w:t>11.43%</w:t>
            </w:r>
          </w:p>
        </w:tc>
      </w:tr>
      <w:tr w14:paraId="4466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183" w:type="pct"/>
            <w:noWrap/>
            <w:vAlign w:val="center"/>
          </w:tcPr>
          <w:p w14:paraId="4F517189">
            <w:pPr>
              <w:pStyle w:val="72"/>
              <w:rPr>
                <w:rFonts w:hint="default" w:ascii="Times New Roman" w:hAnsi="Times New Roman" w:cs="Times New Roman"/>
                <w:szCs w:val="21"/>
              </w:rPr>
            </w:pPr>
            <w:r>
              <w:rPr>
                <w:rFonts w:hint="default" w:ascii="Times New Roman" w:hAnsi="Times New Roman" w:cs="Times New Roman"/>
                <w:szCs w:val="21"/>
              </w:rPr>
              <w:t>3</w:t>
            </w:r>
          </w:p>
        </w:tc>
        <w:tc>
          <w:tcPr>
            <w:tcW w:w="1187" w:type="pct"/>
            <w:shd w:val="clear" w:color="auto" w:fill="auto"/>
            <w:noWrap/>
            <w:vAlign w:val="center"/>
          </w:tcPr>
          <w:p w14:paraId="027D6C37">
            <w:pPr>
              <w:pStyle w:val="72"/>
              <w:ind w:firstLine="0" w:firstLineChars="0"/>
              <w:rPr>
                <w:rFonts w:hint="default" w:ascii="Times New Roman" w:hAnsi="Times New Roman" w:cs="Times New Roman"/>
                <w:szCs w:val="21"/>
                <w:lang w:val="en-US" w:eastAsia="zh-CN"/>
              </w:rPr>
            </w:pPr>
            <w:r>
              <w:rPr>
                <w:rFonts w:hint="default" w:ascii="Times New Roman" w:hAnsi="Times New Roman" w:cs="Times New Roman"/>
                <w:szCs w:val="21"/>
              </w:rPr>
              <w:t>2028</w:t>
            </w:r>
          </w:p>
        </w:tc>
        <w:tc>
          <w:tcPr>
            <w:tcW w:w="1190" w:type="pct"/>
            <w:noWrap/>
            <w:vAlign w:val="center"/>
          </w:tcPr>
          <w:p w14:paraId="20AD2C7C">
            <w:pPr>
              <w:pStyle w:val="72"/>
              <w:rPr>
                <w:rFonts w:hint="default" w:ascii="Times New Roman" w:hAnsi="Times New Roman" w:cs="Times New Roman"/>
                <w:lang w:val="en-US" w:eastAsia="zh-CN"/>
              </w:rPr>
            </w:pPr>
            <w:r>
              <w:rPr>
                <w:rFonts w:hint="eastAsia" w:ascii="Times New Roman" w:hAnsi="Times New Roman" w:cs="Times New Roman"/>
                <w:lang w:val="en-US" w:eastAsia="zh-CN"/>
              </w:rPr>
              <w:t>17.33028</w:t>
            </w:r>
          </w:p>
        </w:tc>
        <w:tc>
          <w:tcPr>
            <w:tcW w:w="2752" w:type="dxa"/>
            <w:noWrap/>
            <w:vAlign w:val="center"/>
          </w:tcPr>
          <w:p w14:paraId="2E9054DC">
            <w:pPr>
              <w:pStyle w:val="72"/>
              <w:rPr>
                <w:rFonts w:hint="default" w:ascii="Times New Roman" w:hAnsi="Times New Roman" w:cs="Times New Roman"/>
                <w:lang w:val="en-US" w:eastAsia="zh-CN"/>
              </w:rPr>
            </w:pPr>
            <w:r>
              <w:rPr>
                <w:rFonts w:hint="default" w:ascii="Times New Roman" w:hAnsi="Times New Roman" w:cs="Times New Roman"/>
                <w:lang w:val="en-US" w:eastAsia="zh-CN"/>
              </w:rPr>
              <w:t>11.43%</w:t>
            </w:r>
          </w:p>
        </w:tc>
      </w:tr>
      <w:tr w14:paraId="17B2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183" w:type="pct"/>
            <w:noWrap/>
            <w:vAlign w:val="center"/>
          </w:tcPr>
          <w:p w14:paraId="0BEA29A8">
            <w:pPr>
              <w:pStyle w:val="72"/>
              <w:rPr>
                <w:rFonts w:hint="default" w:ascii="Times New Roman" w:hAnsi="Times New Roman" w:cs="Times New Roman"/>
                <w:szCs w:val="21"/>
              </w:rPr>
            </w:pPr>
            <w:r>
              <w:rPr>
                <w:rFonts w:hint="default" w:ascii="Times New Roman" w:hAnsi="Times New Roman" w:cs="Times New Roman"/>
                <w:szCs w:val="21"/>
              </w:rPr>
              <w:t>4</w:t>
            </w:r>
          </w:p>
        </w:tc>
        <w:tc>
          <w:tcPr>
            <w:tcW w:w="1187" w:type="pct"/>
            <w:shd w:val="clear" w:color="auto" w:fill="auto"/>
            <w:noWrap/>
            <w:vAlign w:val="center"/>
          </w:tcPr>
          <w:p w14:paraId="314CBD6A">
            <w:pPr>
              <w:pStyle w:val="72"/>
              <w:ind w:firstLine="0" w:firstLineChars="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2029</w:t>
            </w:r>
          </w:p>
        </w:tc>
        <w:tc>
          <w:tcPr>
            <w:tcW w:w="1190" w:type="pct"/>
            <w:noWrap/>
            <w:vAlign w:val="center"/>
          </w:tcPr>
          <w:p w14:paraId="680B6BDD">
            <w:pPr>
              <w:pStyle w:val="72"/>
              <w:rPr>
                <w:rFonts w:hint="default" w:ascii="Times New Roman" w:hAnsi="Times New Roman" w:cs="Times New Roman"/>
                <w:lang w:val="en-US" w:eastAsia="zh-CN"/>
              </w:rPr>
            </w:pPr>
            <w:r>
              <w:rPr>
                <w:rFonts w:hint="eastAsia" w:ascii="Times New Roman" w:hAnsi="Times New Roman" w:cs="Times New Roman"/>
                <w:lang w:val="en-US" w:eastAsia="zh-CN"/>
              </w:rPr>
              <w:t>17.33028</w:t>
            </w:r>
          </w:p>
        </w:tc>
        <w:tc>
          <w:tcPr>
            <w:tcW w:w="2752" w:type="dxa"/>
            <w:noWrap/>
            <w:vAlign w:val="center"/>
          </w:tcPr>
          <w:p w14:paraId="1935EDC1">
            <w:pPr>
              <w:pStyle w:val="72"/>
              <w:rPr>
                <w:rFonts w:hint="default" w:ascii="Times New Roman" w:hAnsi="Times New Roman" w:cs="Times New Roman"/>
                <w:lang w:val="en-US" w:eastAsia="zh-CN"/>
              </w:rPr>
            </w:pPr>
            <w:r>
              <w:rPr>
                <w:rFonts w:hint="default" w:ascii="Times New Roman" w:hAnsi="Times New Roman" w:cs="Times New Roman"/>
                <w:lang w:val="en-US" w:eastAsia="zh-CN"/>
              </w:rPr>
              <w:t>11.43%</w:t>
            </w:r>
          </w:p>
        </w:tc>
      </w:tr>
      <w:tr w14:paraId="1455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183" w:type="pct"/>
            <w:noWrap/>
            <w:vAlign w:val="center"/>
          </w:tcPr>
          <w:p w14:paraId="298621D4">
            <w:pPr>
              <w:pStyle w:val="72"/>
              <w:rPr>
                <w:rFonts w:hint="default" w:ascii="Times New Roman" w:hAnsi="Times New Roman" w:eastAsia="仿宋" w:cs="Times New Roman"/>
                <w:szCs w:val="21"/>
                <w:lang w:val="en-US" w:eastAsia="zh-CN"/>
              </w:rPr>
            </w:pPr>
            <w:r>
              <w:rPr>
                <w:rFonts w:hint="default" w:ascii="Times New Roman" w:hAnsi="Times New Roman" w:cs="Times New Roman"/>
                <w:szCs w:val="21"/>
                <w:lang w:val="en-US" w:eastAsia="zh-CN"/>
              </w:rPr>
              <w:t>5</w:t>
            </w:r>
          </w:p>
        </w:tc>
        <w:tc>
          <w:tcPr>
            <w:tcW w:w="1187" w:type="pct"/>
            <w:shd w:val="clear" w:color="auto" w:fill="auto"/>
            <w:noWrap/>
            <w:vAlign w:val="center"/>
          </w:tcPr>
          <w:p w14:paraId="2B444498">
            <w:pPr>
              <w:pStyle w:val="72"/>
              <w:ind w:firstLine="0" w:firstLineChars="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2030</w:t>
            </w:r>
          </w:p>
        </w:tc>
        <w:tc>
          <w:tcPr>
            <w:tcW w:w="1190" w:type="pct"/>
            <w:noWrap/>
            <w:vAlign w:val="center"/>
          </w:tcPr>
          <w:p w14:paraId="6C68DB12">
            <w:pPr>
              <w:pStyle w:val="72"/>
              <w:rPr>
                <w:rFonts w:hint="default" w:ascii="Times New Roman" w:hAnsi="Times New Roman" w:cs="Times New Roman"/>
                <w:lang w:val="en-US" w:eastAsia="zh-CN"/>
              </w:rPr>
            </w:pPr>
            <w:r>
              <w:rPr>
                <w:rFonts w:hint="eastAsia" w:ascii="Times New Roman" w:hAnsi="Times New Roman" w:cs="Times New Roman"/>
                <w:lang w:val="en-US" w:eastAsia="zh-CN"/>
              </w:rPr>
              <w:t>17.33028</w:t>
            </w:r>
          </w:p>
        </w:tc>
        <w:tc>
          <w:tcPr>
            <w:tcW w:w="2752" w:type="dxa"/>
            <w:noWrap/>
            <w:vAlign w:val="center"/>
          </w:tcPr>
          <w:p w14:paraId="6419372B">
            <w:pPr>
              <w:pStyle w:val="72"/>
              <w:rPr>
                <w:rFonts w:hint="default" w:ascii="Times New Roman" w:hAnsi="Times New Roman" w:cs="Times New Roman"/>
                <w:lang w:val="en-US" w:eastAsia="zh-CN"/>
              </w:rPr>
            </w:pPr>
            <w:r>
              <w:rPr>
                <w:rFonts w:hint="default" w:ascii="Times New Roman" w:hAnsi="Times New Roman" w:cs="Times New Roman"/>
                <w:lang w:val="en-US" w:eastAsia="zh-CN"/>
              </w:rPr>
              <w:t>11.43%</w:t>
            </w:r>
          </w:p>
        </w:tc>
      </w:tr>
      <w:tr w14:paraId="4CDB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183" w:type="pct"/>
            <w:noWrap/>
            <w:vAlign w:val="center"/>
          </w:tcPr>
          <w:p w14:paraId="4E96ADD0">
            <w:pPr>
              <w:pStyle w:val="72"/>
              <w:rPr>
                <w:rFonts w:hint="default" w:ascii="Times New Roman" w:hAnsi="Times New Roman" w:eastAsia="仿宋" w:cs="Times New Roman"/>
                <w:szCs w:val="21"/>
                <w:lang w:val="en-US" w:eastAsia="zh-CN"/>
              </w:rPr>
            </w:pPr>
            <w:r>
              <w:rPr>
                <w:rFonts w:hint="default" w:ascii="Times New Roman" w:hAnsi="Times New Roman" w:cs="Times New Roman"/>
                <w:szCs w:val="21"/>
                <w:lang w:val="en-US" w:eastAsia="zh-CN"/>
              </w:rPr>
              <w:t>6</w:t>
            </w:r>
          </w:p>
        </w:tc>
        <w:tc>
          <w:tcPr>
            <w:tcW w:w="1187" w:type="pct"/>
            <w:shd w:val="clear" w:color="auto" w:fill="auto"/>
            <w:noWrap/>
            <w:vAlign w:val="center"/>
          </w:tcPr>
          <w:p w14:paraId="0915D244">
            <w:pPr>
              <w:pStyle w:val="72"/>
              <w:ind w:firstLine="0" w:firstLineChars="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2031</w:t>
            </w:r>
          </w:p>
        </w:tc>
        <w:tc>
          <w:tcPr>
            <w:tcW w:w="1190" w:type="pct"/>
            <w:noWrap/>
            <w:vAlign w:val="center"/>
          </w:tcPr>
          <w:p w14:paraId="00F623D5">
            <w:pPr>
              <w:pStyle w:val="72"/>
              <w:rPr>
                <w:rFonts w:hint="default" w:ascii="Times New Roman" w:hAnsi="Times New Roman" w:cs="Times New Roman"/>
                <w:lang w:val="en-US" w:eastAsia="zh-CN"/>
              </w:rPr>
            </w:pPr>
            <w:r>
              <w:rPr>
                <w:rFonts w:hint="eastAsia" w:ascii="Times New Roman" w:hAnsi="Times New Roman" w:cs="Times New Roman"/>
                <w:lang w:val="en-US" w:eastAsia="zh-CN"/>
              </w:rPr>
              <w:t>17.33028</w:t>
            </w:r>
          </w:p>
        </w:tc>
        <w:tc>
          <w:tcPr>
            <w:tcW w:w="2752" w:type="dxa"/>
            <w:noWrap/>
            <w:vAlign w:val="center"/>
          </w:tcPr>
          <w:p w14:paraId="5AEC2BD2">
            <w:pPr>
              <w:pStyle w:val="72"/>
              <w:rPr>
                <w:rFonts w:hint="default" w:ascii="Times New Roman" w:hAnsi="Times New Roman" w:cs="Times New Roman"/>
                <w:lang w:val="en-US" w:eastAsia="zh-CN"/>
              </w:rPr>
            </w:pPr>
            <w:r>
              <w:rPr>
                <w:rFonts w:hint="default" w:ascii="Times New Roman" w:hAnsi="Times New Roman" w:cs="Times New Roman"/>
                <w:lang w:val="en-US" w:eastAsia="zh-CN"/>
              </w:rPr>
              <w:t>11.43%</w:t>
            </w:r>
          </w:p>
        </w:tc>
      </w:tr>
      <w:tr w14:paraId="2511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183" w:type="pct"/>
            <w:noWrap/>
            <w:vAlign w:val="center"/>
          </w:tcPr>
          <w:p w14:paraId="0A61BEA3">
            <w:pPr>
              <w:pStyle w:val="72"/>
              <w:rPr>
                <w:rFonts w:hint="default" w:ascii="Times New Roman" w:hAnsi="Times New Roman" w:eastAsia="仿宋" w:cs="Times New Roman"/>
                <w:szCs w:val="21"/>
                <w:lang w:val="en-US" w:eastAsia="zh-CN"/>
              </w:rPr>
            </w:pPr>
            <w:r>
              <w:rPr>
                <w:rFonts w:hint="default" w:ascii="Times New Roman" w:hAnsi="Times New Roman" w:cs="Times New Roman"/>
                <w:szCs w:val="21"/>
                <w:lang w:val="en-US" w:eastAsia="zh-CN"/>
              </w:rPr>
              <w:t>7</w:t>
            </w:r>
          </w:p>
        </w:tc>
        <w:tc>
          <w:tcPr>
            <w:tcW w:w="1187" w:type="pct"/>
            <w:shd w:val="clear" w:color="auto" w:fill="auto"/>
            <w:noWrap/>
            <w:vAlign w:val="center"/>
          </w:tcPr>
          <w:p w14:paraId="31920726">
            <w:pPr>
              <w:pStyle w:val="72"/>
              <w:ind w:firstLine="0" w:firstLineChars="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2032</w:t>
            </w:r>
          </w:p>
        </w:tc>
        <w:tc>
          <w:tcPr>
            <w:tcW w:w="1190" w:type="pct"/>
            <w:noWrap/>
            <w:vAlign w:val="center"/>
          </w:tcPr>
          <w:p w14:paraId="5690BCD2">
            <w:pPr>
              <w:pStyle w:val="72"/>
              <w:rPr>
                <w:rFonts w:hint="default" w:ascii="Times New Roman" w:hAnsi="Times New Roman" w:cs="Times New Roman"/>
                <w:lang w:val="en-US" w:eastAsia="zh-CN"/>
              </w:rPr>
            </w:pPr>
            <w:r>
              <w:rPr>
                <w:rFonts w:hint="eastAsia" w:ascii="Times New Roman" w:hAnsi="Times New Roman" w:cs="Times New Roman"/>
                <w:lang w:val="en-US" w:eastAsia="zh-CN"/>
              </w:rPr>
              <w:t>17.33028</w:t>
            </w:r>
          </w:p>
        </w:tc>
        <w:tc>
          <w:tcPr>
            <w:tcW w:w="2752" w:type="dxa"/>
            <w:noWrap/>
            <w:vAlign w:val="center"/>
          </w:tcPr>
          <w:p w14:paraId="6E622B50">
            <w:pPr>
              <w:pStyle w:val="72"/>
              <w:rPr>
                <w:rFonts w:hint="default" w:ascii="Times New Roman" w:hAnsi="Times New Roman" w:cs="Times New Roman"/>
                <w:lang w:val="en-US" w:eastAsia="zh-CN"/>
              </w:rPr>
            </w:pPr>
            <w:r>
              <w:rPr>
                <w:rFonts w:hint="default" w:ascii="Times New Roman" w:hAnsi="Times New Roman" w:cs="Times New Roman"/>
                <w:lang w:val="en-US" w:eastAsia="zh-CN"/>
              </w:rPr>
              <w:t>11.43%</w:t>
            </w:r>
          </w:p>
        </w:tc>
      </w:tr>
      <w:tr w14:paraId="437A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183" w:type="pct"/>
            <w:noWrap/>
            <w:vAlign w:val="center"/>
          </w:tcPr>
          <w:p w14:paraId="40809E6B">
            <w:pPr>
              <w:pStyle w:val="72"/>
              <w:rPr>
                <w:rFonts w:hint="default" w:ascii="Times New Roman" w:hAnsi="Times New Roman" w:eastAsia="仿宋" w:cs="Times New Roman"/>
                <w:lang w:val="en-US" w:eastAsia="zh-CN"/>
              </w:rPr>
            </w:pPr>
            <w:r>
              <w:rPr>
                <w:rFonts w:hint="default" w:ascii="Times New Roman" w:hAnsi="Times New Roman" w:cs="Times New Roman"/>
                <w:lang w:val="en-US" w:eastAsia="zh-CN"/>
              </w:rPr>
              <w:t>8</w:t>
            </w:r>
          </w:p>
        </w:tc>
        <w:tc>
          <w:tcPr>
            <w:tcW w:w="1187" w:type="pct"/>
            <w:shd w:val="clear" w:color="auto" w:fill="auto"/>
            <w:noWrap/>
            <w:vAlign w:val="center"/>
          </w:tcPr>
          <w:p w14:paraId="214A4232">
            <w:pPr>
              <w:pStyle w:val="72"/>
              <w:ind w:firstLine="0" w:firstLineChars="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2033</w:t>
            </w:r>
          </w:p>
        </w:tc>
        <w:tc>
          <w:tcPr>
            <w:tcW w:w="1190" w:type="pct"/>
            <w:noWrap/>
            <w:vAlign w:val="center"/>
          </w:tcPr>
          <w:p w14:paraId="38DA2B0B">
            <w:pPr>
              <w:pStyle w:val="72"/>
              <w:rPr>
                <w:rFonts w:hint="default" w:ascii="Times New Roman" w:hAnsi="Times New Roman" w:cs="Times New Roman"/>
                <w:lang w:val="en-US" w:eastAsia="zh-CN"/>
              </w:rPr>
            </w:pPr>
            <w:r>
              <w:rPr>
                <w:rFonts w:hint="eastAsia" w:ascii="Times New Roman" w:hAnsi="Times New Roman" w:cs="Times New Roman"/>
                <w:lang w:val="en-US" w:eastAsia="zh-CN"/>
              </w:rPr>
              <w:t>17.33028</w:t>
            </w:r>
          </w:p>
        </w:tc>
        <w:tc>
          <w:tcPr>
            <w:tcW w:w="2752" w:type="dxa"/>
            <w:noWrap/>
            <w:vAlign w:val="center"/>
          </w:tcPr>
          <w:p w14:paraId="24B20549">
            <w:pPr>
              <w:pStyle w:val="72"/>
              <w:rPr>
                <w:rFonts w:hint="default" w:ascii="Times New Roman" w:hAnsi="Times New Roman" w:cs="Times New Roman"/>
                <w:lang w:val="en-US" w:eastAsia="zh-CN"/>
              </w:rPr>
            </w:pPr>
            <w:r>
              <w:rPr>
                <w:rFonts w:hint="default" w:ascii="Times New Roman" w:hAnsi="Times New Roman" w:cs="Times New Roman"/>
                <w:lang w:val="en-US" w:eastAsia="zh-CN"/>
              </w:rPr>
              <w:t>11.43%</w:t>
            </w:r>
          </w:p>
        </w:tc>
      </w:tr>
      <w:tr w14:paraId="0899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183" w:type="pct"/>
            <w:noWrap/>
            <w:vAlign w:val="center"/>
          </w:tcPr>
          <w:p w14:paraId="6D6A21C8">
            <w:pPr>
              <w:pStyle w:val="72"/>
              <w:rPr>
                <w:rFonts w:hint="default" w:ascii="Times New Roman" w:hAnsi="Times New Roman" w:eastAsia="仿宋" w:cs="Times New Roman"/>
                <w:szCs w:val="21"/>
                <w:lang w:val="en-US" w:eastAsia="zh-CN"/>
              </w:rPr>
            </w:pPr>
            <w:r>
              <w:rPr>
                <w:rFonts w:hint="default" w:ascii="Times New Roman" w:hAnsi="Times New Roman" w:cs="Times New Roman"/>
                <w:szCs w:val="21"/>
                <w:lang w:val="en-US" w:eastAsia="zh-CN"/>
              </w:rPr>
              <w:t>合计</w:t>
            </w:r>
          </w:p>
        </w:tc>
        <w:tc>
          <w:tcPr>
            <w:tcW w:w="1187" w:type="pct"/>
            <w:noWrap/>
            <w:vAlign w:val="center"/>
          </w:tcPr>
          <w:p w14:paraId="3300C430">
            <w:pPr>
              <w:pStyle w:val="72"/>
              <w:rPr>
                <w:rFonts w:hint="default" w:ascii="Times New Roman" w:hAnsi="Times New Roman" w:eastAsia="仿宋" w:cs="Times New Roman"/>
                <w:szCs w:val="21"/>
                <w:lang w:val="en-US" w:eastAsia="zh-CN"/>
              </w:rPr>
            </w:pPr>
          </w:p>
        </w:tc>
        <w:tc>
          <w:tcPr>
            <w:tcW w:w="1190" w:type="pct"/>
            <w:noWrap/>
            <w:vAlign w:val="center"/>
          </w:tcPr>
          <w:p w14:paraId="7B532D90">
            <w:pPr>
              <w:pStyle w:val="72"/>
              <w:rPr>
                <w:rFonts w:hint="default" w:ascii="Times New Roman" w:hAnsi="Times New Roman" w:eastAsia="仿宋" w:cs="Times New Roman"/>
                <w:lang w:val="en-US" w:eastAsia="zh-CN"/>
              </w:rPr>
            </w:pPr>
            <w:r>
              <w:rPr>
                <w:rFonts w:hint="eastAsia" w:ascii="Times New Roman" w:hAnsi="Times New Roman" w:cs="Times New Roman"/>
                <w:lang w:val="en-US" w:eastAsia="zh-CN"/>
              </w:rPr>
              <w:t>151.64</w:t>
            </w:r>
          </w:p>
        </w:tc>
        <w:tc>
          <w:tcPr>
            <w:tcW w:w="1437" w:type="pct"/>
            <w:noWrap/>
            <w:vAlign w:val="center"/>
          </w:tcPr>
          <w:p w14:paraId="42159048">
            <w:pPr>
              <w:pStyle w:val="72"/>
              <w:rPr>
                <w:rFonts w:hint="default" w:ascii="Times New Roman" w:hAnsi="Times New Roman" w:cs="Times New Roman"/>
                <w:szCs w:val="21"/>
              </w:rPr>
            </w:pPr>
          </w:p>
        </w:tc>
      </w:tr>
    </w:tbl>
    <w:p w14:paraId="41A8B4A8">
      <w:pPr>
        <w:pStyle w:val="5"/>
        <w:ind w:firstLine="562"/>
      </w:pPr>
      <w:r>
        <w:t>（四）监管保障措施</w:t>
      </w:r>
    </w:p>
    <w:p w14:paraId="002769E7">
      <w:pPr>
        <w:ind w:firstLine="560"/>
      </w:pPr>
      <w:r>
        <w:t>必须编制并实施矿山地质环境保护与土地复垦方案、阶段治理与复垦计划和年度实施计划，分阶段有步骤地安排治理与复垦项目资金的预算支出，定期向项目所在地县级以上自然资源主管部门报告当年工程情况，接受县级以上自然资源主管部门对工程实施情况监督检查，接受社会对工程实施情况监督等。当不履行其义务时，自觉接受自然资源主管部门及有关部门的处罚。</w:t>
      </w:r>
    </w:p>
    <w:p w14:paraId="0316605E">
      <w:pPr>
        <w:pStyle w:val="4"/>
        <w:ind w:firstLine="602"/>
        <w:rPr>
          <w:rFonts w:ascii="Times New Roman" w:hAnsi="Times New Roman"/>
          <w:szCs w:val="30"/>
        </w:rPr>
      </w:pPr>
      <w:bookmarkStart w:id="249" w:name="_Toc219050302"/>
      <w:bookmarkStart w:id="250" w:name="_Toc19677"/>
      <w:bookmarkStart w:id="251" w:name="_Toc215692463"/>
      <w:r>
        <w:rPr>
          <w:rFonts w:ascii="Times New Roman" w:hAnsi="Times New Roman"/>
          <w:szCs w:val="30"/>
        </w:rPr>
        <w:t>二、公众参与</w:t>
      </w:r>
      <w:bookmarkEnd w:id="249"/>
      <w:bookmarkEnd w:id="250"/>
      <w:bookmarkEnd w:id="251"/>
    </w:p>
    <w:p w14:paraId="0C7BB864">
      <w:pPr>
        <w:ind w:firstLine="560"/>
        <w:rPr>
          <w:szCs w:val="28"/>
        </w:rPr>
      </w:pPr>
      <w:r>
        <w:rPr>
          <w:szCs w:val="28"/>
        </w:rPr>
        <w:t>本方案编制前期，项目业主与方案编制人员走访了矿区附近的当地群众，充分征求了土地权属人以及当地国土、水利、农业、环保等部门或代表意见，将方案规划的目标和内容与他们相互交流，明确损毁土地的复垦方向、治理复垦标准和实施措施，得到他们的帮助和大力支持，复垦工作具有较好的社会基础。</w:t>
      </w:r>
    </w:p>
    <w:p w14:paraId="015D85B3">
      <w:pPr>
        <w:ind w:firstLine="560"/>
        <w:rPr>
          <w:szCs w:val="28"/>
        </w:rPr>
      </w:pPr>
      <w:r>
        <w:rPr>
          <w:szCs w:val="28"/>
        </w:rPr>
        <w:t>项目建设过程中积极邀请当地群众代表和相关部门对治理复垦工作进行指导，确保工作顺利开展。工程实施结束后，自然资源管理部门进行验收时，除组织相关专家外，也将邀请部分群众代表参加，确保验收工作公平、公正、公开。</w:t>
      </w:r>
    </w:p>
    <w:p w14:paraId="7BDECC26">
      <w:pPr>
        <w:pStyle w:val="4"/>
        <w:ind w:firstLine="602"/>
        <w:rPr>
          <w:rFonts w:ascii="Times New Roman" w:hAnsi="Times New Roman"/>
          <w:szCs w:val="30"/>
        </w:rPr>
      </w:pPr>
      <w:bookmarkStart w:id="252" w:name="_Toc25169"/>
      <w:bookmarkStart w:id="253" w:name="_Toc215692464"/>
      <w:bookmarkStart w:id="254" w:name="_Toc219050303"/>
      <w:bookmarkStart w:id="255" w:name="_Toc25484"/>
      <w:r>
        <w:rPr>
          <w:rFonts w:ascii="Times New Roman" w:hAnsi="Times New Roman"/>
          <w:szCs w:val="30"/>
        </w:rPr>
        <w:t>三、效益分析</w:t>
      </w:r>
      <w:bookmarkEnd w:id="252"/>
      <w:bookmarkEnd w:id="253"/>
      <w:bookmarkEnd w:id="254"/>
      <w:bookmarkEnd w:id="255"/>
    </w:p>
    <w:p w14:paraId="2D4AC521">
      <w:pPr>
        <w:ind w:firstLine="560"/>
        <w:rPr>
          <w:szCs w:val="28"/>
        </w:rPr>
      </w:pPr>
      <w:r>
        <w:rPr>
          <w:szCs w:val="28"/>
        </w:rPr>
        <w:t>1.社会效益</w:t>
      </w:r>
    </w:p>
    <w:p w14:paraId="28795F3A">
      <w:pPr>
        <w:ind w:firstLine="560"/>
        <w:rPr>
          <w:szCs w:val="28"/>
        </w:rPr>
      </w:pPr>
      <w:r>
        <w:rPr>
          <w:szCs w:val="28"/>
        </w:rPr>
        <w:t>通过本方案的实施有利于增加周边农民的收入，保证矿区及附近农林业的安全生产，实现当地社会经济的可持续发展。矿山地质环境治理和土地复垦关系到社会经济发展的大事，不仅对生态环境和国民生产有重要意义，而且是保证矿区区域可持续发展的重要组成部分。土地的大量损失，一是违背国家关于十分珍惜和合理利用土地的政策，二是将会直接影响到矿区周边居民的生活；另外，复垦后的土地调整了土地利用结构、发挥了生态系统的功能、合理利用了土地、提高了环境容量、促进了生态良性循环、维持了生态平衡。所以，矿山地质环境治理和土地复垦是关系国计民生的大事，对社会稳定发展也起到了至关重要的作用，它将是保证项目区域可持续发展的重要组成部分，因而具有重要的社会效益。</w:t>
      </w:r>
    </w:p>
    <w:p w14:paraId="5346FE8C">
      <w:pPr>
        <w:ind w:firstLine="560"/>
        <w:rPr>
          <w:szCs w:val="28"/>
        </w:rPr>
      </w:pPr>
      <w:bookmarkStart w:id="256" w:name="_Toc54086435"/>
      <w:r>
        <w:rPr>
          <w:szCs w:val="28"/>
        </w:rPr>
        <w:t>2.环境效益</w:t>
      </w:r>
      <w:bookmarkEnd w:id="256"/>
    </w:p>
    <w:p w14:paraId="65A02FD4">
      <w:pPr>
        <w:ind w:firstLine="560"/>
        <w:rPr>
          <w:szCs w:val="28"/>
        </w:rPr>
      </w:pPr>
      <w:r>
        <w:rPr>
          <w:szCs w:val="28"/>
        </w:rPr>
        <w:t>矿山地质环境治理和土地复垦的生态效益是显而易见的。矿山生产项目实施过程中，必将给矿山及周边生态环境带来一定的影响和危害。例如：在矿山生产中，由于采矿生产活动扰动和破坏了原地表植被，区域植被覆盖率降低，可引起局部地区沙化、水土流失等环境问题；生产机械、人员践踏等活动也会使矿区及周边植被受到严重的影响；各种机械和车辆排放的废气、油污以及运输车辆行驶扬尘等，也将对周围植物的正常生长产生一定的影响；此外，矿区周围植被也将受到不同程度的影响。</w:t>
      </w:r>
    </w:p>
    <w:p w14:paraId="4D57B23B">
      <w:pPr>
        <w:ind w:firstLine="560"/>
        <w:rPr>
          <w:szCs w:val="28"/>
        </w:rPr>
      </w:pPr>
      <w:r>
        <w:rPr>
          <w:szCs w:val="28"/>
        </w:rPr>
        <w:t>综合上述，矿山生产将损毁矿山的生态系统，所以对项目区进行</w:t>
      </w:r>
      <w:r>
        <w:rPr>
          <w:rStyle w:val="199"/>
          <w:rFonts w:ascii="Times New Roman" w:hAnsi="Times New Roman" w:eastAsia="宋体"/>
          <w:sz w:val="28"/>
          <w:szCs w:val="28"/>
        </w:rPr>
        <w:t>矿区生态修复</w:t>
      </w:r>
      <w:r>
        <w:rPr>
          <w:szCs w:val="28"/>
        </w:rPr>
        <w:t>是非常重要、迫不及待的。对项目区进行</w:t>
      </w:r>
      <w:r>
        <w:rPr>
          <w:rStyle w:val="199"/>
          <w:rFonts w:ascii="Times New Roman" w:hAnsi="Times New Roman" w:eastAsia="宋体"/>
          <w:sz w:val="28"/>
          <w:szCs w:val="28"/>
        </w:rPr>
        <w:t>矿区生态修复</w:t>
      </w:r>
      <w:r>
        <w:rPr>
          <w:szCs w:val="28"/>
        </w:rPr>
        <w:t>是企业发展过程中要认真面对和解决的重要问题，结合项目区土地利用规划进行</w:t>
      </w:r>
      <w:r>
        <w:rPr>
          <w:rStyle w:val="199"/>
          <w:rFonts w:ascii="Times New Roman" w:hAnsi="Times New Roman" w:eastAsia="宋体"/>
          <w:sz w:val="28"/>
          <w:szCs w:val="28"/>
        </w:rPr>
        <w:t>矿区生态修复</w:t>
      </w:r>
      <w:r>
        <w:rPr>
          <w:szCs w:val="28"/>
        </w:rPr>
        <w:t>，使矿区成为生态环境优良的生态型地区。本地区所在区域大部分为林地，对矿山生产损毁的土地应尽量恢复其原有功能，不改变其原来的使用功能。通过对项目区生态环境的恢复与建设，使占有和损毁的土地得到恢复，最终恢复土地的生产力，建成人工与自然复合的生态系统，形成新的人工和自然景观。治理后的土地经过3年，逐渐与周围土地有机地融合在一起，改善了矿区周边生态环境，土地复垦将矿山生产对生态环境影响降至最低，改善了生物群落的生态环境，恢复了生物多样性，所得到的生态效益显著。</w:t>
      </w:r>
    </w:p>
    <w:p w14:paraId="385D4F96">
      <w:pPr>
        <w:numPr>
          <w:ilvl w:val="0"/>
          <w:numId w:val="5"/>
        </w:numPr>
        <w:ind w:firstLine="560"/>
        <w:rPr>
          <w:szCs w:val="28"/>
        </w:rPr>
      </w:pPr>
      <w:bookmarkStart w:id="257" w:name="_Toc54086436"/>
      <w:r>
        <w:rPr>
          <w:szCs w:val="28"/>
        </w:rPr>
        <w:t>经济效益</w:t>
      </w:r>
      <w:bookmarkEnd w:id="257"/>
    </w:p>
    <w:p w14:paraId="1EE665D2">
      <w:pPr>
        <w:pStyle w:val="182"/>
        <w:rPr>
          <w:rFonts w:hAnsi="宋体" w:eastAsia="宋体" w:cs="Times New Roman"/>
        </w:rPr>
      </w:pPr>
      <w:r>
        <w:rPr>
          <w:rFonts w:hAnsi="宋体" w:eastAsia="宋体" w:cs="Times New Roman"/>
        </w:rPr>
        <w:t>矿山实施生态修复工程后，恢复</w:t>
      </w:r>
      <w:r>
        <w:rPr>
          <w:rFonts w:hint="eastAsia" w:hAnsi="宋体" w:eastAsia="宋体" w:cs="Times New Roman"/>
          <w:lang w:val="en-US" w:eastAsia="zh-CN"/>
        </w:rPr>
        <w:t>乔木林地</w:t>
      </w:r>
      <w:r>
        <w:rPr>
          <w:rFonts w:hint="eastAsia"/>
          <w:lang w:val="en-US" w:eastAsia="zh-CN"/>
        </w:rPr>
        <w:t>1.5288</w:t>
      </w:r>
      <w:r>
        <w:t>h</w:t>
      </w:r>
      <w:r>
        <w:rPr>
          <w:rFonts w:hint="eastAsia"/>
        </w:rPr>
        <w:t>m²</w:t>
      </w:r>
      <w:r>
        <w:t>，</w:t>
      </w:r>
      <w:r>
        <w:rPr>
          <w:rFonts w:hAnsi="宋体" w:eastAsia="宋体" w:cs="Times New Roman"/>
        </w:rPr>
        <w:t>经查询有关资料，林木一般</w:t>
      </w:r>
      <w:r>
        <w:rPr>
          <w:rFonts w:eastAsia="宋体" w:cs="Times New Roman"/>
        </w:rPr>
        <w:t>15</w:t>
      </w:r>
      <w:r>
        <w:rPr>
          <w:rFonts w:hAnsi="宋体" w:eastAsia="宋体" w:cs="Times New Roman"/>
        </w:rPr>
        <w:t>年时间可成林，按照林地种植面积、成树树径等标准，一公顷可产木材</w:t>
      </w:r>
      <w:r>
        <w:rPr>
          <w:rFonts w:eastAsia="宋体" w:cs="Times New Roman"/>
        </w:rPr>
        <w:t>280-360m</w:t>
      </w:r>
      <w:r>
        <w:rPr>
          <w:rFonts w:eastAsia="宋体" w:cs="Times New Roman"/>
          <w:vertAlign w:val="superscript"/>
        </w:rPr>
        <w:t>3</w:t>
      </w:r>
      <w:r>
        <w:rPr>
          <w:rFonts w:hAnsi="宋体" w:eastAsia="宋体" w:cs="Times New Roman"/>
        </w:rPr>
        <w:t>，平均按照</w:t>
      </w:r>
      <w:r>
        <w:rPr>
          <w:rFonts w:eastAsia="宋体" w:cs="Times New Roman"/>
        </w:rPr>
        <w:t>320m</w:t>
      </w:r>
      <w:r>
        <w:rPr>
          <w:rFonts w:eastAsia="宋体" w:cs="Times New Roman"/>
          <w:vertAlign w:val="superscript"/>
        </w:rPr>
        <w:t>3</w:t>
      </w:r>
      <w:r>
        <w:rPr>
          <w:rFonts w:hAnsi="宋体" w:eastAsia="宋体" w:cs="Times New Roman"/>
        </w:rPr>
        <w:t>作为其产量计算依据，考虑现实中存在着一定的成活率、天灾等不确定因素，林地的年产量中考虑</w:t>
      </w:r>
      <w:r>
        <w:rPr>
          <w:rFonts w:eastAsia="宋体" w:cs="Times New Roman"/>
        </w:rPr>
        <w:t>15%</w:t>
      </w:r>
      <w:r>
        <w:rPr>
          <w:rFonts w:hAnsi="宋体" w:eastAsia="宋体" w:cs="Times New Roman"/>
        </w:rPr>
        <w:t>的损失率。根据目前市场行情，林木的销售价格在</w:t>
      </w:r>
      <w:r>
        <w:rPr>
          <w:rFonts w:eastAsia="宋体" w:cs="Times New Roman"/>
        </w:rPr>
        <w:t>600</w:t>
      </w:r>
      <w:r>
        <w:rPr>
          <w:rFonts w:hAnsi="宋体" w:eastAsia="宋体" w:cs="Times New Roman"/>
        </w:rPr>
        <w:t>元</w:t>
      </w:r>
      <w:r>
        <w:rPr>
          <w:rFonts w:eastAsia="宋体" w:cs="Times New Roman"/>
        </w:rPr>
        <w:t>/m</w:t>
      </w:r>
      <w:r>
        <w:rPr>
          <w:rFonts w:eastAsia="宋体" w:cs="Times New Roman"/>
          <w:vertAlign w:val="superscript"/>
        </w:rPr>
        <w:t>3</w:t>
      </w:r>
      <w:r>
        <w:rPr>
          <w:rFonts w:hAnsi="宋体" w:eastAsia="宋体" w:cs="Times New Roman"/>
        </w:rPr>
        <w:t>左右，成材之后其经济效益将达到</w:t>
      </w:r>
      <w:r>
        <w:rPr>
          <w:rFonts w:hint="eastAsia" w:eastAsia="宋体" w:cs="Times New Roman"/>
          <w:lang w:val="en-US" w:eastAsia="zh-CN"/>
        </w:rPr>
        <w:t>24.95</w:t>
      </w:r>
      <w:r>
        <w:rPr>
          <w:rFonts w:hAnsi="宋体" w:eastAsia="宋体" w:cs="Times New Roman"/>
        </w:rPr>
        <w:t>万元左右。</w:t>
      </w:r>
    </w:p>
    <w:p w14:paraId="47D55DE4">
      <w:pPr>
        <w:ind w:firstLine="560"/>
        <w:rPr>
          <w:highlight w:val="green"/>
        </w:rPr>
        <w:sectPr>
          <w:footerReference r:id="rId21" w:type="default"/>
          <w:pgSz w:w="11906" w:h="16838"/>
          <w:pgMar w:top="1134" w:right="1134" w:bottom="1134" w:left="1418" w:header="851" w:footer="567" w:gutter="0"/>
          <w:pgNumType w:fmt="decimal"/>
          <w:cols w:space="425" w:num="1"/>
          <w:docGrid w:type="linesAndChars" w:linePitch="381" w:charSpace="0"/>
        </w:sectPr>
      </w:pPr>
    </w:p>
    <w:p w14:paraId="5F7FD469">
      <w:pPr>
        <w:pStyle w:val="3"/>
      </w:pPr>
      <w:bookmarkStart w:id="258" w:name="_Toc219050304"/>
      <w:bookmarkStart w:id="259" w:name="_Toc6292"/>
      <w:bookmarkStart w:id="260" w:name="_Toc215692465"/>
      <w:bookmarkStart w:id="261" w:name="_Toc19451"/>
      <w:r>
        <w:rPr>
          <w:rStyle w:val="89"/>
          <w:bCs/>
        </w:rPr>
        <w:t>第八章结论</w:t>
      </w:r>
      <w:bookmarkEnd w:id="258"/>
      <w:bookmarkEnd w:id="259"/>
      <w:bookmarkEnd w:id="260"/>
      <w:bookmarkEnd w:id="261"/>
    </w:p>
    <w:p w14:paraId="46049F27">
      <w:pPr>
        <w:pStyle w:val="4"/>
        <w:ind w:firstLine="602"/>
        <w:rPr>
          <w:rFonts w:ascii="Times New Roman" w:hAnsi="Times New Roman"/>
          <w:szCs w:val="30"/>
        </w:rPr>
      </w:pPr>
      <w:bookmarkStart w:id="262" w:name="_Toc215692466"/>
      <w:bookmarkStart w:id="263" w:name="_Toc20230"/>
      <w:bookmarkStart w:id="264" w:name="_Toc219050305"/>
      <w:bookmarkStart w:id="265" w:name="_Toc28146"/>
      <w:r>
        <w:rPr>
          <w:rFonts w:ascii="Times New Roman" w:hAnsi="Times New Roman"/>
          <w:szCs w:val="30"/>
        </w:rPr>
        <w:t>一、结论</w:t>
      </w:r>
      <w:bookmarkEnd w:id="262"/>
      <w:bookmarkEnd w:id="263"/>
      <w:bookmarkEnd w:id="264"/>
      <w:bookmarkEnd w:id="265"/>
    </w:p>
    <w:p w14:paraId="3A5A814C">
      <w:pPr>
        <w:ind w:firstLine="560"/>
        <w:rPr>
          <w:szCs w:val="28"/>
        </w:rPr>
      </w:pPr>
      <w:r>
        <w:rPr>
          <w:rFonts w:hint="eastAsia"/>
          <w:szCs w:val="28"/>
        </w:rPr>
        <w:t>1.</w:t>
      </w:r>
      <w:r>
        <w:rPr>
          <w:rFonts w:hint="eastAsia"/>
          <w:szCs w:val="28"/>
          <w:lang w:eastAsia="zh-CN"/>
        </w:rPr>
        <w:t>二道滑石矿</w:t>
      </w:r>
      <w:r>
        <w:rPr>
          <w:szCs w:val="28"/>
        </w:rPr>
        <w:t>为</w:t>
      </w:r>
      <w:r>
        <w:rPr>
          <w:rFonts w:hint="eastAsia"/>
          <w:szCs w:val="28"/>
          <w:lang w:eastAsia="zh-CN"/>
        </w:rPr>
        <w:t>停产矿山</w:t>
      </w:r>
      <w:r>
        <w:rPr>
          <w:rFonts w:hint="eastAsia"/>
          <w:szCs w:val="28"/>
        </w:rPr>
        <w:t>，</w:t>
      </w:r>
      <w:r>
        <w:rPr>
          <w:szCs w:val="28"/>
        </w:rPr>
        <w:t>开采矿种为</w:t>
      </w:r>
      <w:r>
        <w:rPr>
          <w:rFonts w:hint="eastAsia"/>
          <w:szCs w:val="28"/>
          <w:lang w:eastAsia="zh-CN"/>
        </w:rPr>
        <w:t>滑石</w:t>
      </w:r>
      <w:r>
        <w:rPr>
          <w:szCs w:val="28"/>
        </w:rPr>
        <w:t>；开采方式为</w:t>
      </w:r>
      <w:r>
        <w:rPr>
          <w:rFonts w:hint="eastAsia"/>
          <w:szCs w:val="28"/>
        </w:rPr>
        <w:t>地下</w:t>
      </w:r>
      <w:r>
        <w:rPr>
          <w:szCs w:val="28"/>
        </w:rPr>
        <w:t>开采；设计生产规模为</w:t>
      </w:r>
      <w:r>
        <w:rPr>
          <w:rFonts w:hint="eastAsia"/>
          <w:szCs w:val="28"/>
          <w:lang w:eastAsia="zh-CN"/>
        </w:rPr>
        <w:t>5万</w:t>
      </w:r>
      <w:r>
        <w:rPr>
          <w:szCs w:val="28"/>
        </w:rPr>
        <w:t>t/a。</w:t>
      </w:r>
    </w:p>
    <w:p w14:paraId="3D1F0A31">
      <w:pPr>
        <w:ind w:firstLine="560"/>
        <w:rPr>
          <w:szCs w:val="28"/>
        </w:rPr>
      </w:pPr>
      <w:r>
        <w:rPr>
          <w:szCs w:val="28"/>
        </w:rPr>
        <w:t>矿山采矿证</w:t>
      </w:r>
      <w:r>
        <w:rPr>
          <w:rFonts w:hint="eastAsia"/>
          <w:szCs w:val="28"/>
          <w:lang w:val="en-US" w:eastAsia="zh-CN"/>
        </w:rPr>
        <w:t>到期，变更开采方式，矿山</w:t>
      </w:r>
      <w:r>
        <w:rPr>
          <w:szCs w:val="28"/>
        </w:rPr>
        <w:t>服务年限为</w:t>
      </w:r>
      <w:r>
        <w:rPr>
          <w:rFonts w:hint="eastAsia"/>
          <w:szCs w:val="28"/>
          <w:lang w:val="en-US" w:eastAsia="zh-CN"/>
        </w:rPr>
        <w:t>8</w:t>
      </w:r>
      <w:r>
        <w:rPr>
          <w:szCs w:val="28"/>
        </w:rPr>
        <w:t>年，矿山生态修复方案服务年限为矿山采矿证服务年限的基础上增加1年复垦期，3年管护期，确定方案服务年限为</w:t>
      </w:r>
      <w:r>
        <w:rPr>
          <w:rFonts w:hint="eastAsia"/>
          <w:szCs w:val="28"/>
          <w:lang w:eastAsia="zh-CN"/>
        </w:rPr>
        <w:t>12年</w:t>
      </w:r>
      <w:r>
        <w:rPr>
          <w:szCs w:val="28"/>
        </w:rPr>
        <w:t>。</w:t>
      </w:r>
    </w:p>
    <w:p w14:paraId="05302BEE">
      <w:pPr>
        <w:ind w:firstLine="560"/>
        <w:rPr>
          <w:szCs w:val="28"/>
        </w:rPr>
      </w:pPr>
      <w:r>
        <w:rPr>
          <w:rFonts w:hint="eastAsia"/>
          <w:szCs w:val="28"/>
        </w:rPr>
        <w:t>2.</w:t>
      </w:r>
      <w:r>
        <w:rPr>
          <w:szCs w:val="28"/>
        </w:rPr>
        <w:t>矿山</w:t>
      </w:r>
      <w:r>
        <w:rPr>
          <w:rFonts w:hint="eastAsia"/>
          <w:szCs w:val="28"/>
        </w:rPr>
        <w:t>已</w:t>
      </w:r>
      <w:r>
        <w:rPr>
          <w:szCs w:val="28"/>
        </w:rPr>
        <w:t>损毁</w:t>
      </w:r>
      <w:r>
        <w:rPr>
          <w:rFonts w:hint="eastAsia"/>
          <w:szCs w:val="28"/>
        </w:rPr>
        <w:t>土地面积</w:t>
      </w:r>
      <w:r>
        <w:rPr>
          <w:rFonts w:hint="eastAsia"/>
          <w:szCs w:val="28"/>
          <w:lang w:val="en-US" w:eastAsia="zh-CN"/>
        </w:rPr>
        <w:t>0.3608</w:t>
      </w:r>
      <w:r>
        <w:rPr>
          <w:rFonts w:hint="eastAsia"/>
          <w:szCs w:val="28"/>
        </w:rPr>
        <w:t>hm</w:t>
      </w:r>
      <w:r>
        <w:rPr>
          <w:rFonts w:hint="eastAsia"/>
          <w:szCs w:val="28"/>
          <w:vertAlign w:val="superscript"/>
        </w:rPr>
        <w:t>2</w:t>
      </w:r>
      <w:r>
        <w:rPr>
          <w:szCs w:val="28"/>
        </w:rPr>
        <w:t>，</w:t>
      </w:r>
      <w:r>
        <w:rPr>
          <w:rFonts w:hint="eastAsia"/>
          <w:szCs w:val="28"/>
        </w:rPr>
        <w:t>损毁土地地类及面积：乔木林地</w:t>
      </w:r>
      <w:r>
        <w:rPr>
          <w:rFonts w:hint="eastAsia"/>
          <w:szCs w:val="28"/>
          <w:lang w:val="en-US" w:eastAsia="zh-CN"/>
        </w:rPr>
        <w:t>0.2808</w:t>
      </w:r>
      <w:r>
        <w:rPr>
          <w:rFonts w:hint="eastAsia"/>
          <w:szCs w:val="28"/>
        </w:rPr>
        <w:t>hm</w:t>
      </w:r>
      <w:r>
        <w:rPr>
          <w:rFonts w:hint="eastAsia"/>
          <w:szCs w:val="28"/>
          <w:vertAlign w:val="superscript"/>
        </w:rPr>
        <w:t>2</w:t>
      </w:r>
      <w:r>
        <w:rPr>
          <w:szCs w:val="28"/>
        </w:rPr>
        <w:t>，</w:t>
      </w:r>
      <w:r>
        <w:rPr>
          <w:rFonts w:hint="eastAsia"/>
          <w:szCs w:val="28"/>
        </w:rPr>
        <w:t>采矿用地</w:t>
      </w:r>
      <w:r>
        <w:rPr>
          <w:rFonts w:hint="eastAsia"/>
          <w:szCs w:val="28"/>
          <w:lang w:val="en-US" w:eastAsia="zh-CN"/>
        </w:rPr>
        <w:t>0.08</w:t>
      </w:r>
      <w:r>
        <w:rPr>
          <w:rFonts w:hint="eastAsia"/>
          <w:szCs w:val="28"/>
        </w:rPr>
        <w:t>hm</w:t>
      </w:r>
      <w:r>
        <w:rPr>
          <w:rFonts w:hint="eastAsia"/>
          <w:szCs w:val="28"/>
          <w:vertAlign w:val="superscript"/>
        </w:rPr>
        <w:t>2</w:t>
      </w:r>
      <w:r>
        <w:rPr>
          <w:szCs w:val="28"/>
        </w:rPr>
        <w:t>。</w:t>
      </w:r>
    </w:p>
    <w:p w14:paraId="403449BD">
      <w:pPr>
        <w:ind w:firstLine="560"/>
        <w:rPr>
          <w:szCs w:val="28"/>
        </w:rPr>
      </w:pPr>
      <w:r>
        <w:rPr>
          <w:szCs w:val="28"/>
        </w:rPr>
        <w:t>现有工业布局</w:t>
      </w:r>
      <w:r>
        <w:rPr>
          <w:rFonts w:hint="eastAsia"/>
          <w:szCs w:val="28"/>
          <w:lang w:val="en-US" w:eastAsia="zh-CN"/>
        </w:rPr>
        <w:t>不能</w:t>
      </w:r>
      <w:r>
        <w:rPr>
          <w:szCs w:val="28"/>
        </w:rPr>
        <w:t>满足矿山生产需求，</w:t>
      </w:r>
      <w:r>
        <w:rPr>
          <w:rFonts w:hint="eastAsia"/>
          <w:szCs w:val="28"/>
          <w:lang w:val="en-US" w:eastAsia="zh-CN"/>
        </w:rPr>
        <w:t>且原来三处废弃平硐部分已坍塌，重新设置490m平硐、520m平硐548m平硐及对应的工业广场</w:t>
      </w:r>
      <w:r>
        <w:rPr>
          <w:rFonts w:hint="eastAsia"/>
          <w:szCs w:val="28"/>
        </w:rPr>
        <w:t>，</w:t>
      </w:r>
      <w:r>
        <w:t>拟损毁土地</w:t>
      </w:r>
      <w:r>
        <w:rPr>
          <w:rFonts w:hint="eastAsia"/>
          <w:lang w:eastAsia="zh-CN"/>
        </w:rPr>
        <w:t>1.168</w:t>
      </w:r>
      <w:r>
        <w:t>hm</w:t>
      </w:r>
      <w:r>
        <w:rPr>
          <w:vertAlign w:val="superscript"/>
        </w:rPr>
        <w:t>2</w:t>
      </w:r>
      <w:r>
        <w:t>，损毁土地类型及面积：</w:t>
      </w:r>
      <w:r>
        <w:rPr>
          <w:rFonts w:hint="eastAsia"/>
          <w:szCs w:val="28"/>
        </w:rPr>
        <w:t>乔木林地</w:t>
      </w:r>
      <w:r>
        <w:rPr>
          <w:rFonts w:hint="eastAsia"/>
          <w:szCs w:val="28"/>
          <w:lang w:val="en-US" w:eastAsia="zh-CN"/>
        </w:rPr>
        <w:t>1.068</w:t>
      </w:r>
      <w:r>
        <w:rPr>
          <w:rFonts w:hint="eastAsia"/>
          <w:szCs w:val="28"/>
        </w:rPr>
        <w:t>hm</w:t>
      </w:r>
      <w:r>
        <w:rPr>
          <w:rFonts w:hint="eastAsia"/>
          <w:szCs w:val="28"/>
          <w:vertAlign w:val="superscript"/>
        </w:rPr>
        <w:t>2</w:t>
      </w:r>
      <w:r>
        <w:rPr>
          <w:szCs w:val="28"/>
        </w:rPr>
        <w:t>，</w:t>
      </w:r>
      <w:r>
        <w:rPr>
          <w:rFonts w:hint="eastAsia"/>
          <w:szCs w:val="28"/>
        </w:rPr>
        <w:t>采矿用地</w:t>
      </w:r>
      <w:r>
        <w:rPr>
          <w:rFonts w:hint="eastAsia"/>
          <w:szCs w:val="28"/>
          <w:lang w:val="en-US" w:eastAsia="zh-CN"/>
        </w:rPr>
        <w:t>0.1</w:t>
      </w:r>
      <w:r>
        <w:rPr>
          <w:rFonts w:hint="eastAsia"/>
          <w:szCs w:val="28"/>
        </w:rPr>
        <w:t>hm</w:t>
      </w:r>
      <w:r>
        <w:rPr>
          <w:rFonts w:hint="eastAsia"/>
          <w:szCs w:val="28"/>
          <w:vertAlign w:val="superscript"/>
        </w:rPr>
        <w:t>2</w:t>
      </w:r>
      <w:r>
        <w:rPr>
          <w:rFonts w:hint="eastAsia"/>
          <w:szCs w:val="28"/>
        </w:rPr>
        <w:t>。</w:t>
      </w:r>
    </w:p>
    <w:p w14:paraId="60405D4A">
      <w:pPr>
        <w:ind w:firstLine="560"/>
        <w:rPr>
          <w:szCs w:val="28"/>
        </w:rPr>
      </w:pPr>
      <w:r>
        <w:rPr>
          <w:rFonts w:hint="eastAsia"/>
          <w:szCs w:val="28"/>
        </w:rPr>
        <w:t>综上，</w:t>
      </w:r>
      <w:r>
        <w:rPr>
          <w:rFonts w:hint="eastAsia"/>
          <w:szCs w:val="28"/>
          <w:lang w:eastAsia="zh-CN"/>
        </w:rPr>
        <w:t>二道滑石矿</w:t>
      </w:r>
      <w:r>
        <w:rPr>
          <w:szCs w:val="28"/>
        </w:rPr>
        <w:t>总损毁土地面积</w:t>
      </w:r>
      <w:r>
        <w:rPr>
          <w:rFonts w:hint="eastAsia"/>
          <w:szCs w:val="28"/>
          <w:lang w:eastAsia="zh-CN"/>
        </w:rPr>
        <w:t>1.5288</w:t>
      </w:r>
      <w:r>
        <w:rPr>
          <w:szCs w:val="28"/>
        </w:rPr>
        <w:t>h</w:t>
      </w:r>
      <w:r>
        <w:rPr>
          <w:rFonts w:hint="eastAsia"/>
          <w:szCs w:val="28"/>
        </w:rPr>
        <w:t>m²</w:t>
      </w:r>
      <w:r>
        <w:rPr>
          <w:szCs w:val="28"/>
        </w:rPr>
        <w:t>，</w:t>
      </w:r>
      <w:r>
        <w:rPr>
          <w:rFonts w:hint="eastAsia"/>
          <w:szCs w:val="28"/>
        </w:rPr>
        <w:t>其中已损毁土地面积</w:t>
      </w:r>
      <w:r>
        <w:rPr>
          <w:rFonts w:hint="eastAsia"/>
          <w:szCs w:val="28"/>
          <w:lang w:val="en-US" w:eastAsia="zh-CN"/>
        </w:rPr>
        <w:t>0.3608</w:t>
      </w:r>
      <w:r>
        <w:rPr>
          <w:szCs w:val="28"/>
        </w:rPr>
        <w:t>h</w:t>
      </w:r>
      <w:r>
        <w:rPr>
          <w:rFonts w:hint="eastAsia"/>
          <w:szCs w:val="28"/>
        </w:rPr>
        <w:t>m²，损毁方式为挖损和压占；拟</w:t>
      </w:r>
      <w:r>
        <w:rPr>
          <w:szCs w:val="28"/>
        </w:rPr>
        <w:t>损毁土地</w:t>
      </w:r>
      <w:r>
        <w:rPr>
          <w:rFonts w:hint="eastAsia"/>
          <w:szCs w:val="28"/>
        </w:rPr>
        <w:t>面积</w:t>
      </w:r>
      <w:r>
        <w:rPr>
          <w:rFonts w:hint="eastAsia"/>
          <w:szCs w:val="28"/>
          <w:lang w:eastAsia="zh-CN"/>
        </w:rPr>
        <w:t>1.168</w:t>
      </w:r>
      <w:r>
        <w:rPr>
          <w:szCs w:val="28"/>
        </w:rPr>
        <w:t>h</w:t>
      </w:r>
      <w:r>
        <w:rPr>
          <w:rFonts w:hint="eastAsia"/>
          <w:szCs w:val="28"/>
        </w:rPr>
        <w:t>m²，损毁方式为</w:t>
      </w:r>
      <w:r>
        <w:rPr>
          <w:rFonts w:hint="eastAsia"/>
          <w:szCs w:val="28"/>
          <w:lang w:val="en-US" w:eastAsia="zh-CN"/>
        </w:rPr>
        <w:t>挖损和压占</w:t>
      </w:r>
      <w:r>
        <w:rPr>
          <w:szCs w:val="28"/>
        </w:rPr>
        <w:t>；矿区内损毁土地面积</w:t>
      </w:r>
      <w:r>
        <w:rPr>
          <w:rFonts w:hint="eastAsia"/>
          <w:szCs w:val="28"/>
          <w:lang w:eastAsia="zh-CN"/>
        </w:rPr>
        <w:t>1.4511</w:t>
      </w:r>
      <w:r>
        <w:rPr>
          <w:szCs w:val="28"/>
        </w:rPr>
        <w:t>h</w:t>
      </w:r>
      <w:r>
        <w:rPr>
          <w:rFonts w:hint="eastAsia"/>
          <w:szCs w:val="28"/>
        </w:rPr>
        <w:t>m²</w:t>
      </w:r>
      <w:r>
        <w:rPr>
          <w:szCs w:val="28"/>
        </w:rPr>
        <w:t>，矿区外损毁土地面积</w:t>
      </w:r>
      <w:r>
        <w:rPr>
          <w:rFonts w:hint="eastAsia"/>
          <w:szCs w:val="28"/>
          <w:lang w:eastAsia="zh-CN"/>
        </w:rPr>
        <w:t>0.0777</w:t>
      </w:r>
      <w:r>
        <w:rPr>
          <w:szCs w:val="28"/>
        </w:rPr>
        <w:t>h</w:t>
      </w:r>
      <w:r>
        <w:rPr>
          <w:rFonts w:hint="eastAsia"/>
          <w:szCs w:val="28"/>
        </w:rPr>
        <w:t>m²</w:t>
      </w:r>
      <w:r>
        <w:rPr>
          <w:szCs w:val="28"/>
        </w:rPr>
        <w:t>；损毁土地类型</w:t>
      </w:r>
      <w:r>
        <w:rPr>
          <w:rFonts w:hint="eastAsia"/>
          <w:szCs w:val="28"/>
        </w:rPr>
        <w:t>包括：乔木林地</w:t>
      </w:r>
      <w:r>
        <w:rPr>
          <w:rFonts w:hint="eastAsia"/>
          <w:szCs w:val="28"/>
          <w:lang w:eastAsia="zh-CN"/>
        </w:rPr>
        <w:t>1.3488</w:t>
      </w:r>
      <w:r>
        <w:rPr>
          <w:rFonts w:hint="eastAsia"/>
          <w:szCs w:val="28"/>
        </w:rPr>
        <w:t>hm</w:t>
      </w:r>
      <w:r>
        <w:rPr>
          <w:rFonts w:hint="eastAsia"/>
          <w:szCs w:val="28"/>
          <w:vertAlign w:val="superscript"/>
        </w:rPr>
        <w:t>2</w:t>
      </w:r>
      <w:r>
        <w:rPr>
          <w:szCs w:val="28"/>
        </w:rPr>
        <w:t>，</w:t>
      </w:r>
      <w:r>
        <w:rPr>
          <w:rFonts w:hint="eastAsia"/>
          <w:szCs w:val="28"/>
        </w:rPr>
        <w:t>采矿用地</w:t>
      </w:r>
      <w:r>
        <w:rPr>
          <w:rFonts w:hint="eastAsia"/>
          <w:szCs w:val="28"/>
          <w:lang w:eastAsia="zh-CN"/>
        </w:rPr>
        <w:t>0.18</w:t>
      </w:r>
      <w:r>
        <w:rPr>
          <w:rFonts w:hint="eastAsia"/>
          <w:szCs w:val="28"/>
        </w:rPr>
        <w:t>hm</w:t>
      </w:r>
      <w:r>
        <w:rPr>
          <w:rFonts w:hint="eastAsia"/>
          <w:szCs w:val="28"/>
          <w:vertAlign w:val="superscript"/>
        </w:rPr>
        <w:t>2</w:t>
      </w:r>
      <w:r>
        <w:rPr>
          <w:rFonts w:hint="eastAsia"/>
          <w:szCs w:val="28"/>
        </w:rPr>
        <w:t>。</w:t>
      </w:r>
    </w:p>
    <w:p w14:paraId="398B9BD9">
      <w:pPr>
        <w:ind w:firstLine="560"/>
        <w:jc w:val="both"/>
      </w:pPr>
      <w:r>
        <w:rPr>
          <w:rFonts w:hint="eastAsia"/>
          <w:szCs w:val="28"/>
        </w:rPr>
        <w:t>3.</w:t>
      </w:r>
      <w:r>
        <w:rPr>
          <w:szCs w:val="28"/>
        </w:rPr>
        <w:t>对本项目涉及土地进行损毁程度综合评价，共</w:t>
      </w:r>
      <w:r>
        <w:rPr>
          <w:rFonts w:hint="eastAsia"/>
          <w:szCs w:val="28"/>
          <w:lang w:val="en-US" w:eastAsia="zh-CN"/>
        </w:rPr>
        <w:t>2</w:t>
      </w:r>
      <w:r>
        <w:rPr>
          <w:szCs w:val="28"/>
        </w:rPr>
        <w:t>个受损区块，其中</w:t>
      </w:r>
      <w:r>
        <w:rPr>
          <w:rFonts w:hint="eastAsia"/>
        </w:rPr>
        <w:t>工业广场</w:t>
      </w:r>
      <w:r>
        <w:rPr>
          <w:rFonts w:hint="eastAsia"/>
          <w:lang w:eastAsia="zh-CN"/>
        </w:rPr>
        <w:t>、</w:t>
      </w:r>
      <w:r>
        <w:rPr>
          <w:rFonts w:hint="eastAsia"/>
          <w:lang w:val="en-US" w:eastAsia="zh-CN"/>
        </w:rPr>
        <w:t>三处废弃平硐、490m平硐工业广场、520m平硐工业广场、548m平硐工业广场</w:t>
      </w:r>
      <w:r>
        <w:t>分为受损区块1，面积</w:t>
      </w:r>
      <w:r>
        <w:rPr>
          <w:rFonts w:hint="eastAsia"/>
          <w:lang w:val="en-US" w:eastAsia="zh-CN"/>
        </w:rPr>
        <w:t>1.5288</w:t>
      </w:r>
      <w:r>
        <w:t>hm²，损毁程度为重度</w:t>
      </w:r>
      <w:r>
        <w:rPr>
          <w:rFonts w:hint="eastAsia"/>
        </w:rPr>
        <w:t>；</w:t>
      </w:r>
      <w:r>
        <w:rPr>
          <w:rFonts w:hint="eastAsia"/>
          <w:lang w:eastAsia="zh-CN"/>
        </w:rPr>
        <w:t>地裂缝</w:t>
      </w:r>
      <w:r>
        <w:t>划分为受损区块2，面积</w:t>
      </w:r>
      <w:r>
        <w:rPr>
          <w:rFonts w:hint="eastAsia"/>
          <w:lang w:val="en-US" w:eastAsia="zh-CN"/>
        </w:rPr>
        <w:t>0</w:t>
      </w:r>
      <w:r>
        <w:t>hm²，损毁程度为</w:t>
      </w:r>
      <w:r>
        <w:rPr>
          <w:rFonts w:hint="eastAsia"/>
        </w:rPr>
        <w:t>中</w:t>
      </w:r>
      <w:r>
        <w:t>度。</w:t>
      </w:r>
    </w:p>
    <w:p w14:paraId="3BE69C83">
      <w:pPr>
        <w:ind w:firstLine="560"/>
        <w:rPr>
          <w:szCs w:val="28"/>
        </w:rPr>
      </w:pPr>
      <w:r>
        <w:rPr>
          <w:rFonts w:hint="eastAsia"/>
          <w:szCs w:val="28"/>
        </w:rPr>
        <w:t>4.</w:t>
      </w:r>
      <w:r>
        <w:rPr>
          <w:rFonts w:hint="eastAsia"/>
          <w:szCs w:val="28"/>
          <w:lang w:eastAsia="zh-CN"/>
        </w:rPr>
        <w:t>二道滑石矿</w:t>
      </w:r>
      <w:r>
        <w:rPr>
          <w:szCs w:val="28"/>
        </w:rPr>
        <w:t>生态修复土地面积</w:t>
      </w:r>
      <w:r>
        <w:rPr>
          <w:rFonts w:hint="eastAsia"/>
          <w:szCs w:val="28"/>
          <w:lang w:eastAsia="zh-CN"/>
        </w:rPr>
        <w:t>1.5288</w:t>
      </w:r>
      <w:r>
        <w:rPr>
          <w:szCs w:val="28"/>
        </w:rPr>
        <w:t>h</w:t>
      </w:r>
      <w:r>
        <w:rPr>
          <w:rFonts w:hint="eastAsia"/>
          <w:szCs w:val="28"/>
        </w:rPr>
        <w:t>m²</w:t>
      </w:r>
      <w:r>
        <w:rPr>
          <w:szCs w:val="28"/>
        </w:rPr>
        <w:t>，矿区内土地面积</w:t>
      </w:r>
      <w:r>
        <w:rPr>
          <w:rFonts w:hint="eastAsia"/>
          <w:szCs w:val="28"/>
          <w:lang w:eastAsia="zh-CN"/>
        </w:rPr>
        <w:t>1.4511</w:t>
      </w:r>
      <w:r>
        <w:rPr>
          <w:szCs w:val="28"/>
        </w:rPr>
        <w:t>h</w:t>
      </w:r>
      <w:r>
        <w:rPr>
          <w:rFonts w:hint="eastAsia"/>
          <w:szCs w:val="28"/>
        </w:rPr>
        <w:t>m²</w:t>
      </w:r>
      <w:r>
        <w:rPr>
          <w:szCs w:val="28"/>
        </w:rPr>
        <w:t>，矿区外土地面积</w:t>
      </w:r>
      <w:r>
        <w:rPr>
          <w:rFonts w:hint="eastAsia"/>
          <w:szCs w:val="28"/>
          <w:lang w:eastAsia="zh-CN"/>
        </w:rPr>
        <w:t>0.0777</w:t>
      </w:r>
      <w:r>
        <w:rPr>
          <w:szCs w:val="28"/>
        </w:rPr>
        <w:t>h</w:t>
      </w:r>
      <w:r>
        <w:rPr>
          <w:rFonts w:hint="eastAsia"/>
          <w:szCs w:val="28"/>
        </w:rPr>
        <w:t>m²，矿山闭坑后</w:t>
      </w:r>
      <w:r>
        <w:t>没有留用项目</w:t>
      </w:r>
      <w:r>
        <w:rPr>
          <w:rFonts w:hint="eastAsia"/>
        </w:rPr>
        <w:t>，故</w:t>
      </w:r>
      <w:r>
        <w:rPr>
          <w:szCs w:val="28"/>
        </w:rPr>
        <w:t>修复面积</w:t>
      </w:r>
      <w:r>
        <w:rPr>
          <w:rFonts w:hint="eastAsia"/>
          <w:szCs w:val="28"/>
          <w:lang w:eastAsia="zh-CN"/>
        </w:rPr>
        <w:t>1.5288</w:t>
      </w:r>
      <w:r>
        <w:rPr>
          <w:szCs w:val="28"/>
        </w:rPr>
        <w:t>h</w:t>
      </w:r>
      <w:r>
        <w:rPr>
          <w:rFonts w:hint="eastAsia"/>
          <w:szCs w:val="28"/>
        </w:rPr>
        <w:t>m²</w:t>
      </w:r>
      <w:r>
        <w:rPr>
          <w:szCs w:val="28"/>
        </w:rPr>
        <w:t>，土地复垦率</w:t>
      </w:r>
      <w:r>
        <w:rPr>
          <w:rFonts w:hint="eastAsia"/>
          <w:szCs w:val="28"/>
        </w:rPr>
        <w:t>100</w:t>
      </w:r>
      <w:r>
        <w:rPr>
          <w:szCs w:val="28"/>
        </w:rPr>
        <w:t>%，修复方向为</w:t>
      </w:r>
      <w:r>
        <w:rPr>
          <w:rFonts w:hint="eastAsia"/>
          <w:szCs w:val="28"/>
        </w:rPr>
        <w:t>乔木林地</w:t>
      </w:r>
      <w:r>
        <w:rPr>
          <w:rFonts w:hint="eastAsia"/>
          <w:szCs w:val="28"/>
          <w:lang w:eastAsia="zh-CN"/>
        </w:rPr>
        <w:t>1.5288</w:t>
      </w:r>
      <w:r>
        <w:rPr>
          <w:rFonts w:hint="eastAsia"/>
          <w:szCs w:val="28"/>
        </w:rPr>
        <w:t>hm</w:t>
      </w:r>
      <w:r>
        <w:rPr>
          <w:rFonts w:hint="eastAsia"/>
          <w:szCs w:val="28"/>
          <w:vertAlign w:val="superscript"/>
        </w:rPr>
        <w:t>2</w:t>
      </w:r>
      <w:r>
        <w:rPr>
          <w:rFonts w:hint="eastAsia"/>
          <w:szCs w:val="28"/>
        </w:rPr>
        <w:t>。</w:t>
      </w:r>
    </w:p>
    <w:p w14:paraId="190F2EC6">
      <w:pPr>
        <w:tabs>
          <w:tab w:val="left" w:pos="840"/>
        </w:tabs>
        <w:ind w:firstLine="560"/>
        <w:jc w:val="both"/>
        <w:rPr>
          <w:szCs w:val="28"/>
        </w:rPr>
      </w:pPr>
      <w:r>
        <w:rPr>
          <w:rFonts w:hint="eastAsia"/>
          <w:szCs w:val="28"/>
        </w:rPr>
        <w:t>5.</w:t>
      </w:r>
      <w:r>
        <w:rPr>
          <w:szCs w:val="28"/>
        </w:rPr>
        <w:t>生态修复工程主要治理对象为</w:t>
      </w:r>
      <w:r>
        <w:rPr>
          <w:rFonts w:hint="eastAsia"/>
        </w:rPr>
        <w:t>工业广场</w:t>
      </w:r>
      <w:r>
        <w:rPr>
          <w:rFonts w:hint="eastAsia"/>
          <w:lang w:eastAsia="zh-CN"/>
        </w:rPr>
        <w:t>、</w:t>
      </w:r>
      <w:r>
        <w:rPr>
          <w:rFonts w:hint="eastAsia"/>
          <w:lang w:val="en-US" w:eastAsia="zh-CN"/>
        </w:rPr>
        <w:t>三处废弃平硐、490m平硐工业广场、520m平硐工业广场、548m平硐工业广场</w:t>
      </w:r>
      <w:r>
        <w:rPr>
          <w:szCs w:val="28"/>
        </w:rPr>
        <w:t>，主要措施为</w:t>
      </w:r>
      <w:r>
        <w:rPr>
          <w:rFonts w:hint="eastAsia"/>
          <w:szCs w:val="28"/>
        </w:rPr>
        <w:t>地质灾害治理工程、地貌重塑工程以及监测和管护工程，</w:t>
      </w:r>
      <w:r>
        <w:rPr>
          <w:szCs w:val="28"/>
        </w:rPr>
        <w:t>总工程量如下：</w:t>
      </w:r>
    </w:p>
    <w:p w14:paraId="38354732">
      <w:pPr>
        <w:ind w:firstLine="560"/>
        <w:jc w:val="both"/>
        <w:rPr>
          <w:rFonts w:hint="eastAsia"/>
          <w:szCs w:val="28"/>
          <w:lang w:eastAsia="zh-CN"/>
        </w:rPr>
      </w:pPr>
      <w:r>
        <w:rPr>
          <w:rFonts w:hint="eastAsia"/>
          <w:szCs w:val="28"/>
          <w:lang w:val="en-US" w:eastAsia="zh-CN"/>
        </w:rPr>
        <w:t>地质灾害治理</w:t>
      </w:r>
      <w:r>
        <w:rPr>
          <w:szCs w:val="28"/>
        </w:rPr>
        <w:t>工程：</w:t>
      </w:r>
      <w:r>
        <w:rPr>
          <w:rFonts w:hint="eastAsia"/>
          <w:szCs w:val="28"/>
          <w:lang w:val="en-US" w:eastAsia="zh-CN"/>
        </w:rPr>
        <w:t>表土剥离3504</w:t>
      </w:r>
      <w:r>
        <w:rPr>
          <w:rFonts w:hint="eastAsia"/>
          <w:szCs w:val="28"/>
        </w:rPr>
        <w:t>m³；</w:t>
      </w:r>
      <w:r>
        <w:rPr>
          <w:rFonts w:hint="eastAsia"/>
          <w:szCs w:val="28"/>
          <w:lang w:val="en-US" w:eastAsia="zh-CN"/>
        </w:rPr>
        <w:t>表土堆场挡墙75</w:t>
      </w:r>
      <w:r>
        <w:rPr>
          <w:rFonts w:hint="eastAsia"/>
          <w:szCs w:val="28"/>
        </w:rPr>
        <w:t>m³；</w:t>
      </w:r>
      <w:r>
        <w:rPr>
          <w:rFonts w:hint="eastAsia"/>
          <w:szCs w:val="28"/>
          <w:lang w:val="en-US" w:eastAsia="zh-CN"/>
        </w:rPr>
        <w:t>地裂缝充填270</w:t>
      </w:r>
      <w:r>
        <w:rPr>
          <w:rFonts w:hint="eastAsia"/>
          <w:szCs w:val="28"/>
        </w:rPr>
        <w:t>m³；</w:t>
      </w:r>
      <w:r>
        <w:rPr>
          <w:rFonts w:hint="eastAsia"/>
          <w:szCs w:val="28"/>
          <w:lang w:val="en-US" w:eastAsia="zh-CN"/>
        </w:rPr>
        <w:t>三处废弃平硐封堵浆砌石砌筑68.94</w:t>
      </w:r>
      <w:r>
        <w:rPr>
          <w:rFonts w:hint="eastAsia"/>
          <w:szCs w:val="28"/>
        </w:rPr>
        <w:t>m³；</w:t>
      </w:r>
      <w:r>
        <w:rPr>
          <w:rFonts w:hint="eastAsia"/>
          <w:szCs w:val="28"/>
          <w:lang w:val="en-US" w:eastAsia="zh-CN"/>
        </w:rPr>
        <w:t>三处废弃平硐运输废石3600</w:t>
      </w:r>
      <w:r>
        <w:rPr>
          <w:rFonts w:hint="eastAsia"/>
          <w:szCs w:val="28"/>
        </w:rPr>
        <w:t>m³；</w:t>
      </w:r>
      <w:r>
        <w:rPr>
          <w:rFonts w:hint="eastAsia"/>
          <w:szCs w:val="28"/>
          <w:lang w:val="en-US" w:eastAsia="zh-CN"/>
        </w:rPr>
        <w:t>场地平整2336</w:t>
      </w:r>
      <w:r>
        <w:rPr>
          <w:rFonts w:hint="eastAsia"/>
          <w:szCs w:val="28"/>
        </w:rPr>
        <w:t>m³；</w:t>
      </w:r>
      <w:r>
        <w:rPr>
          <w:rFonts w:hint="eastAsia"/>
          <w:szCs w:val="28"/>
          <w:lang w:val="en-US" w:eastAsia="zh-CN"/>
        </w:rPr>
        <w:t>购买表土1082.4</w:t>
      </w:r>
      <w:r>
        <w:rPr>
          <w:rFonts w:hint="eastAsia"/>
          <w:szCs w:val="28"/>
        </w:rPr>
        <w:t>m³；</w:t>
      </w:r>
      <w:r>
        <w:rPr>
          <w:rFonts w:hint="eastAsia"/>
          <w:szCs w:val="28"/>
          <w:lang w:val="en-US" w:eastAsia="zh-CN"/>
        </w:rPr>
        <w:t>表土回填4586.4</w:t>
      </w:r>
      <w:r>
        <w:rPr>
          <w:rFonts w:hint="eastAsia"/>
          <w:szCs w:val="28"/>
        </w:rPr>
        <w:t>m³；</w:t>
      </w:r>
      <w:r>
        <w:rPr>
          <w:rFonts w:hint="eastAsia"/>
          <w:szCs w:val="28"/>
          <w:lang w:val="en-US" w:eastAsia="zh-CN"/>
        </w:rPr>
        <w:t>栽植乔木3822株；表土堆场养护撒播紫花苜蓿2.4</w:t>
      </w:r>
      <w:r>
        <w:rPr>
          <w:rFonts w:hint="eastAsia"/>
          <w:szCs w:val="28"/>
        </w:rPr>
        <w:t>hm</w:t>
      </w:r>
      <w:r>
        <w:rPr>
          <w:rFonts w:hint="eastAsia"/>
          <w:szCs w:val="28"/>
          <w:vertAlign w:val="superscript"/>
        </w:rPr>
        <w:t>2</w:t>
      </w:r>
      <w:r>
        <w:rPr>
          <w:rFonts w:hint="eastAsia"/>
          <w:szCs w:val="28"/>
          <w:lang w:eastAsia="zh-CN"/>
        </w:rPr>
        <w:t>。</w:t>
      </w:r>
    </w:p>
    <w:p w14:paraId="33077F93">
      <w:pPr>
        <w:ind w:firstLine="560"/>
        <w:jc w:val="both"/>
        <w:rPr>
          <w:rFonts w:hint="default" w:ascii="Times New Roman" w:hAnsi="Times New Roman" w:eastAsia="宋体" w:cs="Times New Roman"/>
          <w:kern w:val="0"/>
          <w:szCs w:val="28"/>
          <w:highlight w:val="none"/>
          <w:lang w:eastAsia="zh-CN"/>
        </w:rPr>
      </w:pPr>
      <w:r>
        <w:rPr>
          <w:rFonts w:hint="default" w:ascii="Times New Roman" w:hAnsi="Times New Roman" w:cs="Times New Roman"/>
          <w:szCs w:val="28"/>
          <w:lang w:val="en-US" w:eastAsia="zh-CN"/>
        </w:rPr>
        <w:t>地质灾害治理</w:t>
      </w:r>
      <w:r>
        <w:rPr>
          <w:rFonts w:hint="default" w:ascii="Times New Roman" w:hAnsi="Times New Roman" w:cs="Times New Roman"/>
          <w:szCs w:val="28"/>
        </w:rPr>
        <w:t>工程：水泥浆砌砖建筑拆除</w:t>
      </w:r>
      <w:r>
        <w:rPr>
          <w:rFonts w:hint="default" w:ascii="Times New Roman" w:hAnsi="Times New Roman" w:cs="Times New Roman"/>
          <w:szCs w:val="28"/>
          <w:lang w:val="en-US" w:eastAsia="zh-CN"/>
        </w:rPr>
        <w:t>1692</w:t>
      </w:r>
      <w:r>
        <w:rPr>
          <w:rFonts w:hint="default" w:ascii="Times New Roman" w:hAnsi="Times New Roman" w:cs="Times New Roman"/>
          <w:szCs w:val="28"/>
        </w:rPr>
        <w:t>m³；硬覆盖清理</w:t>
      </w:r>
      <w:r>
        <w:rPr>
          <w:rFonts w:hint="default" w:ascii="Times New Roman" w:hAnsi="Times New Roman" w:cs="Times New Roman"/>
          <w:szCs w:val="28"/>
          <w:lang w:val="en-US" w:eastAsia="zh-CN"/>
        </w:rPr>
        <w:t>3057.6</w:t>
      </w:r>
      <w:r>
        <w:rPr>
          <w:rFonts w:hint="default" w:ascii="Times New Roman" w:hAnsi="Times New Roman" w:cs="Times New Roman"/>
          <w:szCs w:val="28"/>
        </w:rPr>
        <w:t>m³；</w:t>
      </w:r>
      <w:r>
        <w:rPr>
          <w:rFonts w:hint="default" w:ascii="Times New Roman" w:hAnsi="Times New Roman" w:cs="Times New Roman"/>
          <w:szCs w:val="28"/>
          <w:lang w:val="en-US" w:eastAsia="zh-CN"/>
        </w:rPr>
        <w:t>拆除建筑物及清理硬盖层回填井下4749.6</w:t>
      </w:r>
      <w:r>
        <w:rPr>
          <w:rFonts w:hint="default" w:ascii="Times New Roman" w:hAnsi="Times New Roman" w:cs="Times New Roman"/>
          <w:szCs w:val="28"/>
        </w:rPr>
        <w:t>m³，</w:t>
      </w:r>
      <w:r>
        <w:rPr>
          <w:rFonts w:hint="default" w:ascii="Times New Roman" w:hAnsi="Times New Roman" w:cs="Times New Roman"/>
          <w:szCs w:val="28"/>
          <w:lang w:val="en-US" w:eastAsia="zh-CN"/>
        </w:rPr>
        <w:t>场地平整3057.6</w:t>
      </w:r>
      <w:r>
        <w:rPr>
          <w:rFonts w:hint="default" w:ascii="Times New Roman" w:hAnsi="Times New Roman" w:cs="Times New Roman"/>
          <w:szCs w:val="28"/>
        </w:rPr>
        <w:t>m³。</w:t>
      </w:r>
      <w:r>
        <w:rPr>
          <w:rFonts w:hint="default" w:ascii="Times New Roman" w:hAnsi="Times New Roman" w:cs="Times New Roman"/>
          <w:szCs w:val="28"/>
          <w:highlight w:val="none"/>
        </w:rPr>
        <w:tab/>
      </w:r>
      <w:r>
        <w:rPr>
          <w:rFonts w:hint="default" w:ascii="Times New Roman" w:hAnsi="Times New Roman" w:cs="Times New Roman"/>
          <w:szCs w:val="28"/>
          <w:highlight w:val="none"/>
        </w:rPr>
        <w:t>监测：矿山地质环境监测</w:t>
      </w:r>
      <w:r>
        <w:rPr>
          <w:rFonts w:hint="default" w:ascii="Times New Roman" w:hAnsi="Times New Roman" w:cs="Times New Roman"/>
          <w:szCs w:val="28"/>
          <w:highlight w:val="none"/>
          <w:lang w:val="en-US" w:eastAsia="zh-CN"/>
        </w:rPr>
        <w:t>180</w:t>
      </w:r>
      <w:r>
        <w:rPr>
          <w:rFonts w:hint="default" w:ascii="Times New Roman" w:hAnsi="Times New Roman" w:cs="Times New Roman"/>
          <w:szCs w:val="28"/>
          <w:highlight w:val="none"/>
        </w:rPr>
        <w:t>次</w:t>
      </w:r>
      <w:r>
        <w:rPr>
          <w:rFonts w:hint="default" w:ascii="Times New Roman" w:hAnsi="Times New Roman" w:cs="Times New Roman"/>
          <w:kern w:val="0"/>
          <w:szCs w:val="28"/>
          <w:highlight w:val="none"/>
        </w:rPr>
        <w:t>；土地资源生态监测</w:t>
      </w:r>
      <w:r>
        <w:rPr>
          <w:rFonts w:hint="default" w:ascii="Times New Roman" w:hAnsi="Times New Roman" w:cs="Times New Roman"/>
          <w:kern w:val="0"/>
          <w:szCs w:val="28"/>
          <w:highlight w:val="none"/>
          <w:lang w:val="en-US" w:eastAsia="zh-CN"/>
        </w:rPr>
        <w:t>24</w:t>
      </w:r>
      <w:r>
        <w:rPr>
          <w:rFonts w:hint="default" w:ascii="Times New Roman" w:hAnsi="Times New Roman" w:cs="Times New Roman"/>
          <w:kern w:val="0"/>
          <w:szCs w:val="28"/>
          <w:highlight w:val="none"/>
        </w:rPr>
        <w:t>次；</w:t>
      </w:r>
      <w:r>
        <w:rPr>
          <w:rFonts w:hint="default" w:ascii="Times New Roman" w:hAnsi="Times New Roman" w:cs="Times New Roman"/>
          <w:color w:val="000000"/>
          <w:szCs w:val="28"/>
          <w:highlight w:val="none"/>
          <w:lang w:eastAsia="zh-CN"/>
        </w:rPr>
        <w:t>矿山</w:t>
      </w:r>
      <w:r>
        <w:rPr>
          <w:rFonts w:hint="default" w:ascii="Times New Roman" w:hAnsi="Times New Roman" w:cs="Times New Roman"/>
          <w:color w:val="000000"/>
          <w:szCs w:val="28"/>
          <w:highlight w:val="none"/>
        </w:rPr>
        <w:t>涌水水质监测工程量为</w:t>
      </w:r>
      <w:r>
        <w:rPr>
          <w:rFonts w:hint="default" w:ascii="Times New Roman" w:hAnsi="Times New Roman" w:cs="Times New Roman"/>
          <w:color w:val="000000"/>
          <w:szCs w:val="28"/>
          <w:highlight w:val="none"/>
          <w:lang w:val="en-US" w:eastAsia="zh-CN"/>
        </w:rPr>
        <w:t>16</w:t>
      </w:r>
      <w:r>
        <w:rPr>
          <w:rFonts w:hint="default" w:ascii="Times New Roman" w:hAnsi="Times New Roman" w:cs="Times New Roman"/>
          <w:color w:val="000000"/>
          <w:szCs w:val="28"/>
          <w:highlight w:val="none"/>
        </w:rPr>
        <w:t>次；</w:t>
      </w:r>
      <w:r>
        <w:rPr>
          <w:rFonts w:hint="default" w:ascii="Times New Roman" w:hAnsi="Times New Roman" w:cs="Times New Roman"/>
          <w:color w:val="000000"/>
          <w:szCs w:val="28"/>
          <w:highlight w:val="none"/>
          <w:lang w:eastAsia="zh-CN"/>
        </w:rPr>
        <w:t>矿山</w:t>
      </w:r>
      <w:r>
        <w:rPr>
          <w:rFonts w:hint="default" w:ascii="Times New Roman" w:hAnsi="Times New Roman" w:cs="Times New Roman"/>
          <w:color w:val="000000"/>
          <w:szCs w:val="28"/>
          <w:highlight w:val="none"/>
        </w:rPr>
        <w:t>涌水水量监测工程量为</w:t>
      </w:r>
      <w:r>
        <w:rPr>
          <w:rFonts w:hint="default" w:ascii="Times New Roman" w:hAnsi="Times New Roman" w:cs="Times New Roman"/>
          <w:color w:val="000000"/>
          <w:szCs w:val="28"/>
          <w:highlight w:val="none"/>
          <w:lang w:val="en-US" w:eastAsia="zh-CN"/>
        </w:rPr>
        <w:t>96</w:t>
      </w:r>
      <w:r>
        <w:rPr>
          <w:rFonts w:hint="default" w:ascii="Times New Roman" w:hAnsi="Times New Roman" w:cs="Times New Roman"/>
          <w:color w:val="000000"/>
          <w:szCs w:val="28"/>
          <w:highlight w:val="none"/>
        </w:rPr>
        <w:t>次；</w:t>
      </w:r>
    </w:p>
    <w:p w14:paraId="6716643C">
      <w:pPr>
        <w:ind w:firstLine="560"/>
        <w:rPr>
          <w:kern w:val="0"/>
          <w:szCs w:val="28"/>
        </w:rPr>
      </w:pPr>
      <w:r>
        <w:rPr>
          <w:kern w:val="0"/>
          <w:szCs w:val="28"/>
        </w:rPr>
        <w:t>管护</w:t>
      </w:r>
      <w:r>
        <w:rPr>
          <w:rFonts w:hint="eastAsia"/>
          <w:kern w:val="0"/>
          <w:szCs w:val="28"/>
        </w:rPr>
        <w:t>：</w:t>
      </w:r>
      <w:r>
        <w:rPr>
          <w:kern w:val="0"/>
          <w:szCs w:val="28"/>
        </w:rPr>
        <w:t>面积</w:t>
      </w:r>
      <w:r>
        <w:rPr>
          <w:rFonts w:hint="eastAsia"/>
          <w:lang w:eastAsia="zh-CN"/>
        </w:rPr>
        <w:t>1.5288</w:t>
      </w:r>
      <w:r>
        <w:rPr>
          <w:kern w:val="0"/>
          <w:szCs w:val="28"/>
        </w:rPr>
        <w:t>h</w:t>
      </w:r>
      <w:r>
        <w:rPr>
          <w:rFonts w:hint="eastAsia"/>
          <w:kern w:val="0"/>
          <w:szCs w:val="28"/>
        </w:rPr>
        <w:t>m²</w:t>
      </w:r>
      <w:r>
        <w:rPr>
          <w:kern w:val="0"/>
          <w:szCs w:val="28"/>
        </w:rPr>
        <w:t>，管护期3年。</w:t>
      </w:r>
    </w:p>
    <w:p w14:paraId="2CE6139C">
      <w:pPr>
        <w:ind w:firstLine="560"/>
        <w:rPr>
          <w:rFonts w:hint="eastAsia" w:eastAsia="宋体"/>
          <w:szCs w:val="28"/>
          <w:lang w:eastAsia="zh-CN"/>
        </w:rPr>
      </w:pPr>
      <w:bookmarkStart w:id="266" w:name="_Toc20163"/>
      <w:bookmarkStart w:id="267" w:name="_Toc12653"/>
      <w:r>
        <w:rPr>
          <w:rFonts w:hint="eastAsia"/>
          <w:szCs w:val="28"/>
        </w:rPr>
        <w:t>6.</w:t>
      </w:r>
      <w:r>
        <w:rPr>
          <w:szCs w:val="28"/>
        </w:rPr>
        <w:t>根据矿区生态修复工作部署、工程量及工程技术手段，参照相关标准</w:t>
      </w:r>
      <w:r>
        <w:rPr>
          <w:rFonts w:hint="eastAsia"/>
          <w:szCs w:val="28"/>
          <w:lang w:eastAsia="zh-CN"/>
        </w:rPr>
        <w:t>二道滑石矿</w:t>
      </w:r>
      <w:r>
        <w:rPr>
          <w:szCs w:val="28"/>
        </w:rPr>
        <w:t>矿区生态</w:t>
      </w:r>
      <w:r>
        <w:rPr>
          <w:rFonts w:hint="eastAsia"/>
          <w:szCs w:val="28"/>
        </w:rPr>
        <w:t>修复工程</w:t>
      </w:r>
      <w:r>
        <w:rPr>
          <w:szCs w:val="28"/>
        </w:rPr>
        <w:t>静态投资为</w:t>
      </w:r>
      <w:r>
        <w:rPr>
          <w:rFonts w:hint="eastAsia"/>
          <w:lang w:eastAsia="zh-CN"/>
        </w:rPr>
        <w:t>116.26</w:t>
      </w:r>
      <w:r>
        <w:rPr>
          <w:szCs w:val="28"/>
        </w:rPr>
        <w:t>万元，动态投资</w:t>
      </w:r>
      <w:r>
        <w:rPr>
          <w:rFonts w:hint="eastAsia"/>
          <w:lang w:eastAsia="zh-CN"/>
        </w:rPr>
        <w:t>161.04</w:t>
      </w:r>
      <w:r>
        <w:rPr>
          <w:szCs w:val="28"/>
        </w:rPr>
        <w:t>万元，其中工程施工费</w:t>
      </w:r>
      <w:r>
        <w:rPr>
          <w:rFonts w:hint="eastAsia"/>
          <w:lang w:eastAsia="zh-CN"/>
        </w:rPr>
        <w:t>65.49</w:t>
      </w:r>
      <w:r>
        <w:rPr>
          <w:szCs w:val="28"/>
        </w:rPr>
        <w:t>万元、监测管护费</w:t>
      </w:r>
      <w:r>
        <w:rPr>
          <w:rFonts w:hint="eastAsia"/>
          <w:lang w:eastAsia="zh-CN"/>
        </w:rPr>
        <w:t>35.52</w:t>
      </w:r>
      <w:r>
        <w:rPr>
          <w:szCs w:val="28"/>
        </w:rPr>
        <w:t>万元，其他费用</w:t>
      </w:r>
      <w:r>
        <w:rPr>
          <w:rFonts w:hint="eastAsia"/>
          <w:lang w:val="en-US" w:eastAsia="zh-CN"/>
        </w:rPr>
        <w:t>10.18</w:t>
      </w:r>
      <w:r>
        <w:rPr>
          <w:szCs w:val="28"/>
        </w:rPr>
        <w:t>万元、预备费</w:t>
      </w:r>
      <w:r>
        <w:rPr>
          <w:rFonts w:hint="eastAsia"/>
          <w:szCs w:val="28"/>
          <w:lang w:val="en-US" w:eastAsia="zh-CN"/>
        </w:rPr>
        <w:t>50.02</w:t>
      </w:r>
      <w:r>
        <w:rPr>
          <w:szCs w:val="28"/>
        </w:rPr>
        <w:t>万元</w:t>
      </w:r>
      <w:r>
        <w:rPr>
          <w:rFonts w:hint="eastAsia"/>
          <w:szCs w:val="28"/>
          <w:lang w:eastAsia="zh-CN"/>
        </w:rPr>
        <w:t>。</w:t>
      </w:r>
    </w:p>
    <w:p w14:paraId="118B2470">
      <w:pPr>
        <w:pStyle w:val="4"/>
        <w:ind w:firstLine="602"/>
        <w:rPr>
          <w:rFonts w:ascii="Times New Roman" w:hAnsi="Times New Roman"/>
          <w:szCs w:val="30"/>
        </w:rPr>
      </w:pPr>
      <w:bookmarkStart w:id="268" w:name="_Toc215692467"/>
      <w:bookmarkStart w:id="269" w:name="_Toc219050306"/>
      <w:r>
        <w:rPr>
          <w:rFonts w:ascii="Times New Roman" w:hAnsi="Times New Roman"/>
          <w:szCs w:val="30"/>
        </w:rPr>
        <w:t>二、建议</w:t>
      </w:r>
      <w:bookmarkEnd w:id="266"/>
      <w:bookmarkEnd w:id="267"/>
      <w:bookmarkEnd w:id="268"/>
      <w:bookmarkEnd w:id="269"/>
    </w:p>
    <w:p w14:paraId="3AA80DA2">
      <w:pPr>
        <w:ind w:firstLine="560"/>
      </w:pPr>
      <w:r>
        <w:rPr>
          <w:rFonts w:hint="eastAsia"/>
        </w:rPr>
        <w:t>1、建立健全矿山地质灾害及环境地质问题监测机制和预报预警系统，并始终贯穿于矿山开发的全过程，坚持边开发边治理的原则，最大限度地减少矿山开采对地质环境的影响。</w:t>
      </w:r>
    </w:p>
    <w:p w14:paraId="5C1FDA5D">
      <w:pPr>
        <w:ind w:firstLine="560"/>
      </w:pPr>
      <w:r>
        <w:rPr>
          <w:rFonts w:hint="eastAsia"/>
        </w:rPr>
        <w:t>2、本着“在开发中保护”、“在保护中开发”和“谁破坏、谁治理”的原则，矿山应积极开展矿区生态修复工作，及时存储矿山地质环境恢复治理基金。</w:t>
      </w:r>
    </w:p>
    <w:p w14:paraId="4D090BCF">
      <w:pPr>
        <w:ind w:firstLine="560"/>
      </w:pPr>
      <w:r>
        <w:rPr>
          <w:rFonts w:hint="eastAsia"/>
        </w:rPr>
        <w:t>3、在矿区生态修复治理工程的实施过程中，应注意周边地质环境的保护，避免对地质环境造成新的破坏。</w:t>
      </w:r>
    </w:p>
    <w:p w14:paraId="6F16DEDC">
      <w:pPr>
        <w:ind w:firstLine="560"/>
      </w:pPr>
      <w:r>
        <w:rPr>
          <w:rFonts w:hint="eastAsia"/>
        </w:rPr>
        <w:t>4、在今后开采过程中影响矿山生产及地质环境的因素很多，出现问题建议矿山企业对本方案及时进行修改。</w:t>
      </w:r>
    </w:p>
    <w:p w14:paraId="5B7095E1">
      <w:pPr>
        <w:ind w:firstLine="560"/>
      </w:pPr>
      <w:r>
        <w:rPr>
          <w:rFonts w:hint="eastAsia"/>
        </w:rPr>
        <w:t>5、</w:t>
      </w:r>
      <w:r>
        <w:rPr>
          <w:szCs w:val="28"/>
        </w:rPr>
        <w:t>生态</w:t>
      </w:r>
      <w:r>
        <w:rPr>
          <w:rFonts w:hint="eastAsia"/>
          <w:szCs w:val="28"/>
        </w:rPr>
        <w:t>修复工程</w:t>
      </w:r>
      <w:r>
        <w:rPr>
          <w:rFonts w:hint="eastAsia"/>
        </w:rPr>
        <w:t>费用估算参照的现有价格水平，如以后物价出现波动，治理恢复费用应以当地、当时物价水平为准。</w:t>
      </w:r>
    </w:p>
    <w:p w14:paraId="0932D19A">
      <w:pPr>
        <w:ind w:firstLine="560"/>
      </w:pPr>
      <w:r>
        <w:rPr>
          <w:rFonts w:hint="eastAsia"/>
        </w:rPr>
        <w:t>6、本方案不代替矿山地质灾害治理设计，矿山企业在进行相关工程治理时，应委托相关单位进行专项工程勘察、设计。</w:t>
      </w:r>
    </w:p>
    <w:p w14:paraId="539047C4">
      <w:pPr>
        <w:ind w:left="560" w:firstLine="0" w:firstLineChars="0"/>
      </w:pPr>
    </w:p>
    <w:sectPr>
      <w:pgSz w:w="11906" w:h="16838"/>
      <w:pgMar w:top="1134" w:right="1134" w:bottom="1134" w:left="1418" w:header="851" w:footer="992" w:gutter="0"/>
      <w:pgNumType w:fmt="decimal"/>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roman"/>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新魏">
    <w:altName w:val="宋体"/>
    <w:panose1 w:val="02010800040101010101"/>
    <w:charset w:val="86"/>
    <w:family w:val="auto"/>
    <w:pitch w:val="default"/>
    <w:sig w:usb0="00000000" w:usb1="00000000" w:usb2="00000000" w:usb3="00000000" w:csb0="00040000" w:csb1="00000000"/>
  </w:font>
  <w:font w:name="Segoe UI Symbol">
    <w:panose1 w:val="020B0502040204020203"/>
    <w:charset w:val="00"/>
    <w:family w:val="swiss"/>
    <w:pitch w:val="default"/>
    <w:sig w:usb0="8000006F" w:usb1="1200FBEF" w:usb2="0064C000" w:usb3="00000002" w:csb0="00000001" w:csb1="4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1E248">
    <w:pPr>
      <w:pStyle w:val="28"/>
      <w:ind w:left="7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13C5E">
    <w:pPr>
      <w:pStyle w:val="28"/>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C8A74">
    <w:pPr>
      <w:pStyle w:val="28"/>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9353"/>
                          </w:sdtPr>
                          <w:sdtContent>
                            <w:p w14:paraId="7AD238B1">
                              <w:pPr>
                                <w:pStyle w:val="28"/>
                                <w:ind w:firstLine="360"/>
                                <w:jc w:val="center"/>
                              </w:pPr>
                              <w:r>
                                <w:fldChar w:fldCharType="begin"/>
                              </w:r>
                              <w:r>
                                <w:instrText xml:space="preserve">PAGE   \* MERGEFORMAT</w:instrText>
                              </w:r>
                              <w:r>
                                <w:fldChar w:fldCharType="separate"/>
                              </w:r>
                              <w:r>
                                <w:rPr>
                                  <w:lang w:val="zh-CN"/>
                                </w:rPr>
                                <w:t>2</w:t>
                              </w:r>
                              <w:r>
                                <w:fldChar w:fldCharType="end"/>
                              </w:r>
                            </w:p>
                          </w:sdtContent>
                        </w:sdt>
                        <w:p w14:paraId="0117879B"/>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147479353"/>
                    </w:sdtPr>
                    <w:sdtContent>
                      <w:p w14:paraId="7AD238B1">
                        <w:pPr>
                          <w:pStyle w:val="28"/>
                          <w:ind w:firstLine="360"/>
                          <w:jc w:val="center"/>
                        </w:pPr>
                        <w:r>
                          <w:fldChar w:fldCharType="begin"/>
                        </w:r>
                        <w:r>
                          <w:instrText xml:space="preserve">PAGE   \* MERGEFORMAT</w:instrText>
                        </w:r>
                        <w:r>
                          <w:fldChar w:fldCharType="separate"/>
                        </w:r>
                        <w:r>
                          <w:rPr>
                            <w:lang w:val="zh-CN"/>
                          </w:rPr>
                          <w:t>2</w:t>
                        </w:r>
                        <w:r>
                          <w:fldChar w:fldCharType="end"/>
                        </w:r>
                      </w:p>
                    </w:sdtContent>
                  </w:sdt>
                  <w:p w14:paraId="0117879B"/>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41619">
    <w:pPr>
      <w:pStyle w:val="28"/>
      <w:ind w:left="7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5E155">
    <w:pPr>
      <w:pStyle w:val="28"/>
      <w:ind w:left="7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EB7DE">
    <w:pPr>
      <w:pStyle w:val="28"/>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79F38">
    <w:pPr>
      <w:spacing w:line="176" w:lineRule="auto"/>
      <w:ind w:left="479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187066">
                          <w:pPr>
                            <w:pStyle w:val="2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E187066">
                    <w:pPr>
                      <w:pStyle w:val="2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E4270">
    <w:pPr>
      <w:spacing w:line="176" w:lineRule="auto"/>
      <w:ind w:left="479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80E3DA">
                          <w:pPr>
                            <w:pStyle w:val="28"/>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180E3DA">
                    <w:pPr>
                      <w:pStyle w:val="28"/>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C23EB">
    <w:pPr>
      <w:spacing w:line="176" w:lineRule="auto"/>
      <w:ind w:left="45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EAC9F">
                          <w:pPr>
                            <w:pStyle w:val="28"/>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3BEAC9F">
                    <w:pPr>
                      <w:pStyle w:val="28"/>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BCD3A">
    <w:pPr>
      <w:pStyle w:val="28"/>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3578"/>
                          </w:sdtPr>
                          <w:sdtContent>
                            <w:p w14:paraId="0D3A05B9">
                              <w:pPr>
                                <w:pStyle w:val="28"/>
                                <w:ind w:firstLine="360"/>
                                <w:jc w:val="center"/>
                              </w:pPr>
                              <w:r>
                                <w:fldChar w:fldCharType="begin"/>
                              </w:r>
                              <w:r>
                                <w:instrText xml:space="preserve">PAGE   \* MERGEFORMAT</w:instrText>
                              </w:r>
                              <w:r>
                                <w:fldChar w:fldCharType="separate"/>
                              </w:r>
                              <w:r>
                                <w:rPr>
                                  <w:lang w:val="zh-CN"/>
                                </w:rPr>
                                <w:t>2</w:t>
                              </w:r>
                              <w:r>
                                <w:fldChar w:fldCharType="end"/>
                              </w:r>
                            </w:p>
                          </w:sdtContent>
                        </w:sdt>
                        <w:p w14:paraId="29742917"/>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147453578"/>
                    </w:sdtPr>
                    <w:sdtContent>
                      <w:p w14:paraId="0D3A05B9">
                        <w:pPr>
                          <w:pStyle w:val="28"/>
                          <w:ind w:firstLine="360"/>
                          <w:jc w:val="center"/>
                        </w:pPr>
                        <w:r>
                          <w:fldChar w:fldCharType="begin"/>
                        </w:r>
                        <w:r>
                          <w:instrText xml:space="preserve">PAGE   \* MERGEFORMAT</w:instrText>
                        </w:r>
                        <w:r>
                          <w:fldChar w:fldCharType="separate"/>
                        </w:r>
                        <w:r>
                          <w:rPr>
                            <w:lang w:val="zh-CN"/>
                          </w:rPr>
                          <w:t>2</w:t>
                        </w:r>
                        <w:r>
                          <w:fldChar w:fldCharType="end"/>
                        </w:r>
                      </w:p>
                    </w:sdtContent>
                  </w:sdt>
                  <w:p w14:paraId="29742917"/>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D70AD">
    <w:pPr>
      <w:pStyle w:val="2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706C9">
    <w:pPr>
      <w:pStyle w:val="2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D3F67">
    <w:pPr>
      <w:pStyle w:val="29"/>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F7FBA">
    <w:pPr>
      <w:pStyle w:val="2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5D2C7">
    <w:pPr>
      <w:ind w:left="560"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930FE">
    <w:pPr>
      <w:pStyle w:val="2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D4E9A">
    <w:pPr>
      <w:pStyle w:val="2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292211"/>
    <w:multiLevelType w:val="singleLevel"/>
    <w:tmpl w:val="D6292211"/>
    <w:lvl w:ilvl="0" w:tentative="0">
      <w:start w:val="1"/>
      <w:numFmt w:val="decimal"/>
      <w:suff w:val="nothing"/>
      <w:lvlText w:val="（%1）"/>
      <w:lvlJc w:val="left"/>
    </w:lvl>
  </w:abstractNum>
  <w:abstractNum w:abstractNumId="1">
    <w:nsid w:val="E2B7B66B"/>
    <w:multiLevelType w:val="singleLevel"/>
    <w:tmpl w:val="E2B7B66B"/>
    <w:lvl w:ilvl="0" w:tentative="0">
      <w:start w:val="1"/>
      <w:numFmt w:val="decimal"/>
      <w:suff w:val="nothing"/>
      <w:lvlText w:val="（%1）"/>
      <w:lvlJc w:val="left"/>
    </w:lvl>
  </w:abstractNum>
  <w:abstractNum w:abstractNumId="2">
    <w:nsid w:val="00000008"/>
    <w:multiLevelType w:val="multilevel"/>
    <w:tmpl w:val="00000008"/>
    <w:lvl w:ilvl="0" w:tentative="0">
      <w:start w:val="1"/>
      <w:numFmt w:val="none"/>
      <w:pStyle w:val="157"/>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A740064"/>
    <w:multiLevelType w:val="singleLevel"/>
    <w:tmpl w:val="1A740064"/>
    <w:lvl w:ilvl="0" w:tentative="0">
      <w:start w:val="2"/>
      <w:numFmt w:val="decimal"/>
      <w:lvlText w:val="%1."/>
      <w:lvlJc w:val="left"/>
      <w:pPr>
        <w:tabs>
          <w:tab w:val="left" w:pos="312"/>
        </w:tabs>
      </w:pPr>
    </w:lvl>
  </w:abstractNum>
  <w:abstractNum w:abstractNumId="4">
    <w:nsid w:val="3297D960"/>
    <w:multiLevelType w:val="singleLevel"/>
    <w:tmpl w:val="3297D960"/>
    <w:lvl w:ilvl="0" w:tentative="0">
      <w:start w:val="3"/>
      <w:numFmt w:val="decimal"/>
      <w:suff w:val="nothing"/>
      <w:lvlText w:val="%1、"/>
      <w:lvlJc w:val="left"/>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D7"/>
    <w:rsid w:val="0000045E"/>
    <w:rsid w:val="00000AF5"/>
    <w:rsid w:val="00000C20"/>
    <w:rsid w:val="000019C7"/>
    <w:rsid w:val="00001B66"/>
    <w:rsid w:val="00004428"/>
    <w:rsid w:val="000058A6"/>
    <w:rsid w:val="00006E67"/>
    <w:rsid w:val="000101E3"/>
    <w:rsid w:val="00010C09"/>
    <w:rsid w:val="000115AF"/>
    <w:rsid w:val="00011D37"/>
    <w:rsid w:val="000228A5"/>
    <w:rsid w:val="00022EFD"/>
    <w:rsid w:val="000231D9"/>
    <w:rsid w:val="00023E58"/>
    <w:rsid w:val="00025FA5"/>
    <w:rsid w:val="00031786"/>
    <w:rsid w:val="00033218"/>
    <w:rsid w:val="000338B3"/>
    <w:rsid w:val="00033B5F"/>
    <w:rsid w:val="00034AEA"/>
    <w:rsid w:val="000352E0"/>
    <w:rsid w:val="00036D55"/>
    <w:rsid w:val="00037076"/>
    <w:rsid w:val="00037E0E"/>
    <w:rsid w:val="000410DE"/>
    <w:rsid w:val="00043392"/>
    <w:rsid w:val="000528BF"/>
    <w:rsid w:val="00054394"/>
    <w:rsid w:val="000544EC"/>
    <w:rsid w:val="00055B13"/>
    <w:rsid w:val="00056F45"/>
    <w:rsid w:val="000603A8"/>
    <w:rsid w:val="000636CC"/>
    <w:rsid w:val="00063BB2"/>
    <w:rsid w:val="00063FFA"/>
    <w:rsid w:val="00064232"/>
    <w:rsid w:val="00064BC7"/>
    <w:rsid w:val="0006746C"/>
    <w:rsid w:val="00070A7B"/>
    <w:rsid w:val="00073B3F"/>
    <w:rsid w:val="00074143"/>
    <w:rsid w:val="00076DDF"/>
    <w:rsid w:val="000776BD"/>
    <w:rsid w:val="000776E0"/>
    <w:rsid w:val="00081F65"/>
    <w:rsid w:val="00082E4D"/>
    <w:rsid w:val="00083058"/>
    <w:rsid w:val="00083AD9"/>
    <w:rsid w:val="00085C8D"/>
    <w:rsid w:val="00086310"/>
    <w:rsid w:val="00087761"/>
    <w:rsid w:val="0009001F"/>
    <w:rsid w:val="00091482"/>
    <w:rsid w:val="000916B0"/>
    <w:rsid w:val="00092159"/>
    <w:rsid w:val="000927EF"/>
    <w:rsid w:val="00092CE4"/>
    <w:rsid w:val="000930A1"/>
    <w:rsid w:val="00095872"/>
    <w:rsid w:val="00095B59"/>
    <w:rsid w:val="00097939"/>
    <w:rsid w:val="000A285B"/>
    <w:rsid w:val="000A3159"/>
    <w:rsid w:val="000A3F3D"/>
    <w:rsid w:val="000A7B2D"/>
    <w:rsid w:val="000B10CF"/>
    <w:rsid w:val="000B4930"/>
    <w:rsid w:val="000C07AB"/>
    <w:rsid w:val="000C6269"/>
    <w:rsid w:val="000C626E"/>
    <w:rsid w:val="000C66A1"/>
    <w:rsid w:val="000C7D5D"/>
    <w:rsid w:val="000D01CF"/>
    <w:rsid w:val="000D18CE"/>
    <w:rsid w:val="000D19B8"/>
    <w:rsid w:val="000D52CB"/>
    <w:rsid w:val="000D7821"/>
    <w:rsid w:val="000D78A5"/>
    <w:rsid w:val="000E28AB"/>
    <w:rsid w:val="000E3528"/>
    <w:rsid w:val="000E4040"/>
    <w:rsid w:val="000E6B46"/>
    <w:rsid w:val="000F02AE"/>
    <w:rsid w:val="000F2131"/>
    <w:rsid w:val="000F26E8"/>
    <w:rsid w:val="000F2725"/>
    <w:rsid w:val="000F47EC"/>
    <w:rsid w:val="00100F0C"/>
    <w:rsid w:val="00101B6D"/>
    <w:rsid w:val="0010428D"/>
    <w:rsid w:val="00104A67"/>
    <w:rsid w:val="00104C07"/>
    <w:rsid w:val="00105141"/>
    <w:rsid w:val="00111652"/>
    <w:rsid w:val="001116E7"/>
    <w:rsid w:val="00113917"/>
    <w:rsid w:val="0011642C"/>
    <w:rsid w:val="0011743F"/>
    <w:rsid w:val="00122B4F"/>
    <w:rsid w:val="0012453F"/>
    <w:rsid w:val="00126AA6"/>
    <w:rsid w:val="00130509"/>
    <w:rsid w:val="00132980"/>
    <w:rsid w:val="00132A48"/>
    <w:rsid w:val="00136DF3"/>
    <w:rsid w:val="001375D6"/>
    <w:rsid w:val="001434EF"/>
    <w:rsid w:val="00144ABE"/>
    <w:rsid w:val="001459C9"/>
    <w:rsid w:val="001516C0"/>
    <w:rsid w:val="00153E9C"/>
    <w:rsid w:val="00153ECA"/>
    <w:rsid w:val="00157400"/>
    <w:rsid w:val="00162B19"/>
    <w:rsid w:val="0016780F"/>
    <w:rsid w:val="00167E59"/>
    <w:rsid w:val="00170B1D"/>
    <w:rsid w:val="00171399"/>
    <w:rsid w:val="00171496"/>
    <w:rsid w:val="00171C8E"/>
    <w:rsid w:val="00172B29"/>
    <w:rsid w:val="00173513"/>
    <w:rsid w:val="001739E1"/>
    <w:rsid w:val="00182100"/>
    <w:rsid w:val="001824FE"/>
    <w:rsid w:val="00184115"/>
    <w:rsid w:val="00184CF9"/>
    <w:rsid w:val="001905F4"/>
    <w:rsid w:val="00190816"/>
    <w:rsid w:val="00190BFC"/>
    <w:rsid w:val="00192649"/>
    <w:rsid w:val="00192B9B"/>
    <w:rsid w:val="0019442A"/>
    <w:rsid w:val="00194B04"/>
    <w:rsid w:val="001A0AFB"/>
    <w:rsid w:val="001A0CCF"/>
    <w:rsid w:val="001A1CFC"/>
    <w:rsid w:val="001A69E6"/>
    <w:rsid w:val="001B1E1F"/>
    <w:rsid w:val="001C1AD6"/>
    <w:rsid w:val="001C2D5E"/>
    <w:rsid w:val="001C3AEC"/>
    <w:rsid w:val="001C69C8"/>
    <w:rsid w:val="001C7694"/>
    <w:rsid w:val="001C77D7"/>
    <w:rsid w:val="001D05B6"/>
    <w:rsid w:val="001D1317"/>
    <w:rsid w:val="001D4A85"/>
    <w:rsid w:val="001D5548"/>
    <w:rsid w:val="001D6C22"/>
    <w:rsid w:val="001D7824"/>
    <w:rsid w:val="001E0739"/>
    <w:rsid w:val="001E2AFC"/>
    <w:rsid w:val="001F027D"/>
    <w:rsid w:val="001F1D0A"/>
    <w:rsid w:val="001F1DE6"/>
    <w:rsid w:val="001F2EE7"/>
    <w:rsid w:val="001F36AE"/>
    <w:rsid w:val="001F4AAA"/>
    <w:rsid w:val="001F699E"/>
    <w:rsid w:val="001F73E9"/>
    <w:rsid w:val="001F7BCD"/>
    <w:rsid w:val="00201027"/>
    <w:rsid w:val="002014E6"/>
    <w:rsid w:val="00210AA1"/>
    <w:rsid w:val="002111C2"/>
    <w:rsid w:val="00214EB6"/>
    <w:rsid w:val="0021518E"/>
    <w:rsid w:val="00215413"/>
    <w:rsid w:val="00215AFA"/>
    <w:rsid w:val="002202AF"/>
    <w:rsid w:val="002214BE"/>
    <w:rsid w:val="00223903"/>
    <w:rsid w:val="002276AB"/>
    <w:rsid w:val="00230DAE"/>
    <w:rsid w:val="0023599A"/>
    <w:rsid w:val="00240A09"/>
    <w:rsid w:val="00240AFF"/>
    <w:rsid w:val="00242983"/>
    <w:rsid w:val="00243770"/>
    <w:rsid w:val="00246818"/>
    <w:rsid w:val="00246DC3"/>
    <w:rsid w:val="00246EB8"/>
    <w:rsid w:val="00247822"/>
    <w:rsid w:val="00252676"/>
    <w:rsid w:val="00255BE1"/>
    <w:rsid w:val="00256534"/>
    <w:rsid w:val="002573E4"/>
    <w:rsid w:val="00262A3B"/>
    <w:rsid w:val="00262F61"/>
    <w:rsid w:val="00263FD7"/>
    <w:rsid w:val="00264A54"/>
    <w:rsid w:val="0027032D"/>
    <w:rsid w:val="00270758"/>
    <w:rsid w:val="00271843"/>
    <w:rsid w:val="002728F7"/>
    <w:rsid w:val="00273374"/>
    <w:rsid w:val="00273A89"/>
    <w:rsid w:val="00273ADA"/>
    <w:rsid w:val="0027785F"/>
    <w:rsid w:val="00280F18"/>
    <w:rsid w:val="0028155D"/>
    <w:rsid w:val="00283545"/>
    <w:rsid w:val="00285971"/>
    <w:rsid w:val="00285D1A"/>
    <w:rsid w:val="00286092"/>
    <w:rsid w:val="002869B8"/>
    <w:rsid w:val="00286F0C"/>
    <w:rsid w:val="002902CE"/>
    <w:rsid w:val="00292143"/>
    <w:rsid w:val="002923BC"/>
    <w:rsid w:val="002951D8"/>
    <w:rsid w:val="002954AE"/>
    <w:rsid w:val="00296171"/>
    <w:rsid w:val="002A2A93"/>
    <w:rsid w:val="002A4117"/>
    <w:rsid w:val="002A43A5"/>
    <w:rsid w:val="002A6898"/>
    <w:rsid w:val="002A6ED9"/>
    <w:rsid w:val="002A7592"/>
    <w:rsid w:val="002B1AC1"/>
    <w:rsid w:val="002B1E13"/>
    <w:rsid w:val="002B2795"/>
    <w:rsid w:val="002B2967"/>
    <w:rsid w:val="002B2975"/>
    <w:rsid w:val="002B6978"/>
    <w:rsid w:val="002B7951"/>
    <w:rsid w:val="002C0D72"/>
    <w:rsid w:val="002C1218"/>
    <w:rsid w:val="002C16D7"/>
    <w:rsid w:val="002C1AB1"/>
    <w:rsid w:val="002C1CE6"/>
    <w:rsid w:val="002C4B19"/>
    <w:rsid w:val="002C580C"/>
    <w:rsid w:val="002C6F89"/>
    <w:rsid w:val="002C7CA4"/>
    <w:rsid w:val="002C7EC1"/>
    <w:rsid w:val="002D05AC"/>
    <w:rsid w:val="002D172D"/>
    <w:rsid w:val="002D1AB2"/>
    <w:rsid w:val="002D3320"/>
    <w:rsid w:val="002E030D"/>
    <w:rsid w:val="002E11C2"/>
    <w:rsid w:val="002E5789"/>
    <w:rsid w:val="002E5BB8"/>
    <w:rsid w:val="002E61E1"/>
    <w:rsid w:val="002F0176"/>
    <w:rsid w:val="002F13EE"/>
    <w:rsid w:val="002F1E13"/>
    <w:rsid w:val="002F4604"/>
    <w:rsid w:val="002F4FFF"/>
    <w:rsid w:val="002F5C4D"/>
    <w:rsid w:val="002F6BF4"/>
    <w:rsid w:val="003024A0"/>
    <w:rsid w:val="00302C45"/>
    <w:rsid w:val="00305009"/>
    <w:rsid w:val="00305C19"/>
    <w:rsid w:val="00306082"/>
    <w:rsid w:val="00320CED"/>
    <w:rsid w:val="0032285D"/>
    <w:rsid w:val="003247BD"/>
    <w:rsid w:val="00324AC4"/>
    <w:rsid w:val="00326477"/>
    <w:rsid w:val="00327076"/>
    <w:rsid w:val="00327D30"/>
    <w:rsid w:val="0033246E"/>
    <w:rsid w:val="00333D5C"/>
    <w:rsid w:val="00340200"/>
    <w:rsid w:val="0034079E"/>
    <w:rsid w:val="00341B9E"/>
    <w:rsid w:val="00342AD2"/>
    <w:rsid w:val="00342CF4"/>
    <w:rsid w:val="003430A1"/>
    <w:rsid w:val="00345B1A"/>
    <w:rsid w:val="0035157F"/>
    <w:rsid w:val="00353877"/>
    <w:rsid w:val="0035427E"/>
    <w:rsid w:val="003550AC"/>
    <w:rsid w:val="003570A2"/>
    <w:rsid w:val="003601B4"/>
    <w:rsid w:val="003606A8"/>
    <w:rsid w:val="00360B18"/>
    <w:rsid w:val="003671FE"/>
    <w:rsid w:val="00367844"/>
    <w:rsid w:val="00367DAE"/>
    <w:rsid w:val="003706E2"/>
    <w:rsid w:val="00370C36"/>
    <w:rsid w:val="00374A9D"/>
    <w:rsid w:val="00374B3E"/>
    <w:rsid w:val="00375351"/>
    <w:rsid w:val="00376A4B"/>
    <w:rsid w:val="0037740C"/>
    <w:rsid w:val="00380748"/>
    <w:rsid w:val="00385E6E"/>
    <w:rsid w:val="00386410"/>
    <w:rsid w:val="00387C7C"/>
    <w:rsid w:val="00387C8B"/>
    <w:rsid w:val="0039136C"/>
    <w:rsid w:val="0039288F"/>
    <w:rsid w:val="0039311C"/>
    <w:rsid w:val="00393694"/>
    <w:rsid w:val="00394A57"/>
    <w:rsid w:val="00394B0B"/>
    <w:rsid w:val="00397542"/>
    <w:rsid w:val="00397B0E"/>
    <w:rsid w:val="003A0D3A"/>
    <w:rsid w:val="003A2520"/>
    <w:rsid w:val="003A2F29"/>
    <w:rsid w:val="003A3333"/>
    <w:rsid w:val="003A3E1B"/>
    <w:rsid w:val="003A5925"/>
    <w:rsid w:val="003A7240"/>
    <w:rsid w:val="003A7812"/>
    <w:rsid w:val="003A78FC"/>
    <w:rsid w:val="003A7E84"/>
    <w:rsid w:val="003B046D"/>
    <w:rsid w:val="003B1C26"/>
    <w:rsid w:val="003B27A8"/>
    <w:rsid w:val="003B4B51"/>
    <w:rsid w:val="003C0B09"/>
    <w:rsid w:val="003C13B7"/>
    <w:rsid w:val="003C3079"/>
    <w:rsid w:val="003C6720"/>
    <w:rsid w:val="003D0AB9"/>
    <w:rsid w:val="003D1CC7"/>
    <w:rsid w:val="003D283E"/>
    <w:rsid w:val="003D3F67"/>
    <w:rsid w:val="003D4D3B"/>
    <w:rsid w:val="003D55DE"/>
    <w:rsid w:val="003E04FA"/>
    <w:rsid w:val="003E0678"/>
    <w:rsid w:val="003E34EC"/>
    <w:rsid w:val="003E4D67"/>
    <w:rsid w:val="003E647F"/>
    <w:rsid w:val="003E78DC"/>
    <w:rsid w:val="003F0902"/>
    <w:rsid w:val="003F1092"/>
    <w:rsid w:val="003F5357"/>
    <w:rsid w:val="003F5C7B"/>
    <w:rsid w:val="0040457C"/>
    <w:rsid w:val="004115B8"/>
    <w:rsid w:val="00412A78"/>
    <w:rsid w:val="00412EEB"/>
    <w:rsid w:val="00413CF3"/>
    <w:rsid w:val="00414858"/>
    <w:rsid w:val="00416873"/>
    <w:rsid w:val="004173C0"/>
    <w:rsid w:val="00420607"/>
    <w:rsid w:val="0042275A"/>
    <w:rsid w:val="004245E4"/>
    <w:rsid w:val="00426820"/>
    <w:rsid w:val="004269B8"/>
    <w:rsid w:val="00430BA5"/>
    <w:rsid w:val="00433CC4"/>
    <w:rsid w:val="004350FE"/>
    <w:rsid w:val="0043580D"/>
    <w:rsid w:val="00437825"/>
    <w:rsid w:val="00441915"/>
    <w:rsid w:val="00441B49"/>
    <w:rsid w:val="004440F3"/>
    <w:rsid w:val="0044451A"/>
    <w:rsid w:val="00446A3F"/>
    <w:rsid w:val="00447139"/>
    <w:rsid w:val="00451907"/>
    <w:rsid w:val="00452548"/>
    <w:rsid w:val="00452C15"/>
    <w:rsid w:val="00453B72"/>
    <w:rsid w:val="00460605"/>
    <w:rsid w:val="0046221B"/>
    <w:rsid w:val="004661BF"/>
    <w:rsid w:val="00466BC0"/>
    <w:rsid w:val="00467AEC"/>
    <w:rsid w:val="00470CB4"/>
    <w:rsid w:val="004714E8"/>
    <w:rsid w:val="004727F7"/>
    <w:rsid w:val="00473D8F"/>
    <w:rsid w:val="004769DC"/>
    <w:rsid w:val="0047729B"/>
    <w:rsid w:val="00477BA5"/>
    <w:rsid w:val="004812B8"/>
    <w:rsid w:val="00481F66"/>
    <w:rsid w:val="00482177"/>
    <w:rsid w:val="004825F1"/>
    <w:rsid w:val="004832F7"/>
    <w:rsid w:val="004868A4"/>
    <w:rsid w:val="0048698E"/>
    <w:rsid w:val="00491A96"/>
    <w:rsid w:val="004920D0"/>
    <w:rsid w:val="00492F19"/>
    <w:rsid w:val="00494A4A"/>
    <w:rsid w:val="00496C5B"/>
    <w:rsid w:val="004A0C75"/>
    <w:rsid w:val="004A5547"/>
    <w:rsid w:val="004B46FB"/>
    <w:rsid w:val="004B57A1"/>
    <w:rsid w:val="004B640A"/>
    <w:rsid w:val="004B65AD"/>
    <w:rsid w:val="004B692B"/>
    <w:rsid w:val="004C71A7"/>
    <w:rsid w:val="004C72A4"/>
    <w:rsid w:val="004D082E"/>
    <w:rsid w:val="004D2523"/>
    <w:rsid w:val="004D34BD"/>
    <w:rsid w:val="004D5633"/>
    <w:rsid w:val="004D67BD"/>
    <w:rsid w:val="004D7421"/>
    <w:rsid w:val="004D7D1F"/>
    <w:rsid w:val="004E085F"/>
    <w:rsid w:val="004E1FD3"/>
    <w:rsid w:val="004E2D09"/>
    <w:rsid w:val="004E44AD"/>
    <w:rsid w:val="004E4D7C"/>
    <w:rsid w:val="004E5CA3"/>
    <w:rsid w:val="004E616A"/>
    <w:rsid w:val="004F04A8"/>
    <w:rsid w:val="004F0613"/>
    <w:rsid w:val="004F27D4"/>
    <w:rsid w:val="004F3221"/>
    <w:rsid w:val="004F4892"/>
    <w:rsid w:val="004F48DA"/>
    <w:rsid w:val="004F4F27"/>
    <w:rsid w:val="004F52E0"/>
    <w:rsid w:val="004F5E49"/>
    <w:rsid w:val="004F629A"/>
    <w:rsid w:val="004F6576"/>
    <w:rsid w:val="004F7B4D"/>
    <w:rsid w:val="00500F5E"/>
    <w:rsid w:val="005017C7"/>
    <w:rsid w:val="00501BBA"/>
    <w:rsid w:val="00501C76"/>
    <w:rsid w:val="00502BA4"/>
    <w:rsid w:val="00502C74"/>
    <w:rsid w:val="00502C88"/>
    <w:rsid w:val="0050360F"/>
    <w:rsid w:val="00505AA7"/>
    <w:rsid w:val="0050606F"/>
    <w:rsid w:val="00506501"/>
    <w:rsid w:val="005075A9"/>
    <w:rsid w:val="005118C0"/>
    <w:rsid w:val="00511FD4"/>
    <w:rsid w:val="00513399"/>
    <w:rsid w:val="0052194B"/>
    <w:rsid w:val="00521E7E"/>
    <w:rsid w:val="00522FD6"/>
    <w:rsid w:val="00523639"/>
    <w:rsid w:val="0052401F"/>
    <w:rsid w:val="00524276"/>
    <w:rsid w:val="00525449"/>
    <w:rsid w:val="005254A0"/>
    <w:rsid w:val="00525B34"/>
    <w:rsid w:val="00525CFD"/>
    <w:rsid w:val="00527AFE"/>
    <w:rsid w:val="00527E35"/>
    <w:rsid w:val="005305C7"/>
    <w:rsid w:val="005309BE"/>
    <w:rsid w:val="00531FEC"/>
    <w:rsid w:val="00532551"/>
    <w:rsid w:val="00537417"/>
    <w:rsid w:val="00537982"/>
    <w:rsid w:val="005404ED"/>
    <w:rsid w:val="00542230"/>
    <w:rsid w:val="005425CD"/>
    <w:rsid w:val="00543346"/>
    <w:rsid w:val="0054474F"/>
    <w:rsid w:val="00544C08"/>
    <w:rsid w:val="005470AF"/>
    <w:rsid w:val="00551EC1"/>
    <w:rsid w:val="00553460"/>
    <w:rsid w:val="00553A2A"/>
    <w:rsid w:val="005570BA"/>
    <w:rsid w:val="0056074D"/>
    <w:rsid w:val="005618E3"/>
    <w:rsid w:val="00565F85"/>
    <w:rsid w:val="0056668B"/>
    <w:rsid w:val="00567BC1"/>
    <w:rsid w:val="005700E4"/>
    <w:rsid w:val="005707A6"/>
    <w:rsid w:val="00572539"/>
    <w:rsid w:val="00573080"/>
    <w:rsid w:val="00574C36"/>
    <w:rsid w:val="00574FC1"/>
    <w:rsid w:val="005803DA"/>
    <w:rsid w:val="0058073C"/>
    <w:rsid w:val="00580DEE"/>
    <w:rsid w:val="00582CCD"/>
    <w:rsid w:val="00583BA0"/>
    <w:rsid w:val="00586FEC"/>
    <w:rsid w:val="00587EE6"/>
    <w:rsid w:val="00592FB2"/>
    <w:rsid w:val="00593E09"/>
    <w:rsid w:val="00594FDE"/>
    <w:rsid w:val="005953A3"/>
    <w:rsid w:val="00596F7C"/>
    <w:rsid w:val="005A0433"/>
    <w:rsid w:val="005A073A"/>
    <w:rsid w:val="005A3C6D"/>
    <w:rsid w:val="005A45A9"/>
    <w:rsid w:val="005A632C"/>
    <w:rsid w:val="005A7705"/>
    <w:rsid w:val="005A7728"/>
    <w:rsid w:val="005B06CE"/>
    <w:rsid w:val="005B0909"/>
    <w:rsid w:val="005B150B"/>
    <w:rsid w:val="005B15DF"/>
    <w:rsid w:val="005B347A"/>
    <w:rsid w:val="005B4C74"/>
    <w:rsid w:val="005C2A4E"/>
    <w:rsid w:val="005C3D0F"/>
    <w:rsid w:val="005C513A"/>
    <w:rsid w:val="005C5167"/>
    <w:rsid w:val="005C5558"/>
    <w:rsid w:val="005D042B"/>
    <w:rsid w:val="005D264A"/>
    <w:rsid w:val="005D5EF3"/>
    <w:rsid w:val="005D67D5"/>
    <w:rsid w:val="005E002E"/>
    <w:rsid w:val="005E0B28"/>
    <w:rsid w:val="005E1503"/>
    <w:rsid w:val="005E394F"/>
    <w:rsid w:val="005E60B3"/>
    <w:rsid w:val="005F01EB"/>
    <w:rsid w:val="005F0DFE"/>
    <w:rsid w:val="005F20AB"/>
    <w:rsid w:val="005F31D3"/>
    <w:rsid w:val="005F4529"/>
    <w:rsid w:val="005F5986"/>
    <w:rsid w:val="0060123C"/>
    <w:rsid w:val="006012B3"/>
    <w:rsid w:val="00602977"/>
    <w:rsid w:val="006035F5"/>
    <w:rsid w:val="00603E47"/>
    <w:rsid w:val="00604995"/>
    <w:rsid w:val="00604B54"/>
    <w:rsid w:val="00606258"/>
    <w:rsid w:val="00606ADF"/>
    <w:rsid w:val="00606FF9"/>
    <w:rsid w:val="00607DCC"/>
    <w:rsid w:val="00610787"/>
    <w:rsid w:val="0061178C"/>
    <w:rsid w:val="00611861"/>
    <w:rsid w:val="00613475"/>
    <w:rsid w:val="00614241"/>
    <w:rsid w:val="00614299"/>
    <w:rsid w:val="0061560E"/>
    <w:rsid w:val="006168FB"/>
    <w:rsid w:val="00617A36"/>
    <w:rsid w:val="00620285"/>
    <w:rsid w:val="00623AE4"/>
    <w:rsid w:val="00626683"/>
    <w:rsid w:val="00626D1F"/>
    <w:rsid w:val="00627D89"/>
    <w:rsid w:val="0063017F"/>
    <w:rsid w:val="00632EDD"/>
    <w:rsid w:val="00635247"/>
    <w:rsid w:val="00635273"/>
    <w:rsid w:val="00636542"/>
    <w:rsid w:val="0063682F"/>
    <w:rsid w:val="00642CCA"/>
    <w:rsid w:val="0064306E"/>
    <w:rsid w:val="00644CEA"/>
    <w:rsid w:val="006469C0"/>
    <w:rsid w:val="00646ECD"/>
    <w:rsid w:val="00650596"/>
    <w:rsid w:val="00652388"/>
    <w:rsid w:val="00652DBA"/>
    <w:rsid w:val="0065406B"/>
    <w:rsid w:val="0065496C"/>
    <w:rsid w:val="00654A32"/>
    <w:rsid w:val="00655E09"/>
    <w:rsid w:val="0065648C"/>
    <w:rsid w:val="00657DA9"/>
    <w:rsid w:val="00657F7F"/>
    <w:rsid w:val="0066270B"/>
    <w:rsid w:val="006646BE"/>
    <w:rsid w:val="006646C9"/>
    <w:rsid w:val="00664F65"/>
    <w:rsid w:val="00665FA2"/>
    <w:rsid w:val="0066760D"/>
    <w:rsid w:val="00670E34"/>
    <w:rsid w:val="00677985"/>
    <w:rsid w:val="006803F9"/>
    <w:rsid w:val="0068423E"/>
    <w:rsid w:val="006864A8"/>
    <w:rsid w:val="0069054C"/>
    <w:rsid w:val="006930F3"/>
    <w:rsid w:val="006953EE"/>
    <w:rsid w:val="006960EB"/>
    <w:rsid w:val="00697DEE"/>
    <w:rsid w:val="006A2CDE"/>
    <w:rsid w:val="006A4A18"/>
    <w:rsid w:val="006A72B3"/>
    <w:rsid w:val="006B0694"/>
    <w:rsid w:val="006B0A3C"/>
    <w:rsid w:val="006B11B2"/>
    <w:rsid w:val="006B17BC"/>
    <w:rsid w:val="006B2C09"/>
    <w:rsid w:val="006B2F41"/>
    <w:rsid w:val="006B743B"/>
    <w:rsid w:val="006C0F2E"/>
    <w:rsid w:val="006C2721"/>
    <w:rsid w:val="006C2AC3"/>
    <w:rsid w:val="006C2CD4"/>
    <w:rsid w:val="006C38BA"/>
    <w:rsid w:val="006C39F7"/>
    <w:rsid w:val="006C4D1E"/>
    <w:rsid w:val="006C675F"/>
    <w:rsid w:val="006C6C78"/>
    <w:rsid w:val="006C7EBE"/>
    <w:rsid w:val="006D06F7"/>
    <w:rsid w:val="006D081E"/>
    <w:rsid w:val="006D085D"/>
    <w:rsid w:val="006D1A59"/>
    <w:rsid w:val="006D21B5"/>
    <w:rsid w:val="006D2B87"/>
    <w:rsid w:val="006D3885"/>
    <w:rsid w:val="006D3E7D"/>
    <w:rsid w:val="006D4608"/>
    <w:rsid w:val="006D7857"/>
    <w:rsid w:val="006E0251"/>
    <w:rsid w:val="006E0458"/>
    <w:rsid w:val="006E22A7"/>
    <w:rsid w:val="006E4003"/>
    <w:rsid w:val="006F0AFF"/>
    <w:rsid w:val="006F367B"/>
    <w:rsid w:val="006F679E"/>
    <w:rsid w:val="006F79B9"/>
    <w:rsid w:val="00701B0C"/>
    <w:rsid w:val="0070362B"/>
    <w:rsid w:val="00705511"/>
    <w:rsid w:val="00713BEE"/>
    <w:rsid w:val="007144C9"/>
    <w:rsid w:val="00715799"/>
    <w:rsid w:val="00716B26"/>
    <w:rsid w:val="00723058"/>
    <w:rsid w:val="00723257"/>
    <w:rsid w:val="00723BF5"/>
    <w:rsid w:val="00731692"/>
    <w:rsid w:val="00731F48"/>
    <w:rsid w:val="00732284"/>
    <w:rsid w:val="00733858"/>
    <w:rsid w:val="00736E6D"/>
    <w:rsid w:val="0073751A"/>
    <w:rsid w:val="007378D0"/>
    <w:rsid w:val="0074107F"/>
    <w:rsid w:val="00741B93"/>
    <w:rsid w:val="00747232"/>
    <w:rsid w:val="007477FE"/>
    <w:rsid w:val="00750E51"/>
    <w:rsid w:val="0075246D"/>
    <w:rsid w:val="00752AF8"/>
    <w:rsid w:val="0075373C"/>
    <w:rsid w:val="0075654F"/>
    <w:rsid w:val="0075797F"/>
    <w:rsid w:val="0076331B"/>
    <w:rsid w:val="0076640A"/>
    <w:rsid w:val="00766741"/>
    <w:rsid w:val="007667C4"/>
    <w:rsid w:val="00766BC3"/>
    <w:rsid w:val="00766CA5"/>
    <w:rsid w:val="00767F42"/>
    <w:rsid w:val="00772A58"/>
    <w:rsid w:val="00774D42"/>
    <w:rsid w:val="007767D4"/>
    <w:rsid w:val="00776A10"/>
    <w:rsid w:val="00777443"/>
    <w:rsid w:val="00780A02"/>
    <w:rsid w:val="00780A24"/>
    <w:rsid w:val="007811BD"/>
    <w:rsid w:val="0078247E"/>
    <w:rsid w:val="007853B9"/>
    <w:rsid w:val="00785C12"/>
    <w:rsid w:val="0079003A"/>
    <w:rsid w:val="00790E8F"/>
    <w:rsid w:val="00791CA7"/>
    <w:rsid w:val="00792051"/>
    <w:rsid w:val="00792585"/>
    <w:rsid w:val="00794945"/>
    <w:rsid w:val="00794FDB"/>
    <w:rsid w:val="00797B3C"/>
    <w:rsid w:val="007A1662"/>
    <w:rsid w:val="007A2AF6"/>
    <w:rsid w:val="007A4592"/>
    <w:rsid w:val="007A53E2"/>
    <w:rsid w:val="007A5D8F"/>
    <w:rsid w:val="007B2C0E"/>
    <w:rsid w:val="007B39B0"/>
    <w:rsid w:val="007B69C0"/>
    <w:rsid w:val="007C15AD"/>
    <w:rsid w:val="007C16FB"/>
    <w:rsid w:val="007C5E19"/>
    <w:rsid w:val="007C7ADA"/>
    <w:rsid w:val="007D3F33"/>
    <w:rsid w:val="007D43AC"/>
    <w:rsid w:val="007D4717"/>
    <w:rsid w:val="007D485C"/>
    <w:rsid w:val="007D6EC7"/>
    <w:rsid w:val="007D7E41"/>
    <w:rsid w:val="007D7ED5"/>
    <w:rsid w:val="007E0D6D"/>
    <w:rsid w:val="007E1CC5"/>
    <w:rsid w:val="007E20DB"/>
    <w:rsid w:val="007E5EDA"/>
    <w:rsid w:val="007E72F7"/>
    <w:rsid w:val="007F0F12"/>
    <w:rsid w:val="007F2F70"/>
    <w:rsid w:val="007F4328"/>
    <w:rsid w:val="008058A9"/>
    <w:rsid w:val="00805BB8"/>
    <w:rsid w:val="00811E29"/>
    <w:rsid w:val="00812BDD"/>
    <w:rsid w:val="0081488E"/>
    <w:rsid w:val="008157EC"/>
    <w:rsid w:val="00815FAC"/>
    <w:rsid w:val="008163B9"/>
    <w:rsid w:val="00816437"/>
    <w:rsid w:val="00816680"/>
    <w:rsid w:val="0081736A"/>
    <w:rsid w:val="0082101D"/>
    <w:rsid w:val="00823CBA"/>
    <w:rsid w:val="008255AC"/>
    <w:rsid w:val="00827B69"/>
    <w:rsid w:val="00831BD9"/>
    <w:rsid w:val="0083648E"/>
    <w:rsid w:val="008371FD"/>
    <w:rsid w:val="008417D5"/>
    <w:rsid w:val="0084432B"/>
    <w:rsid w:val="0084496E"/>
    <w:rsid w:val="0084555A"/>
    <w:rsid w:val="00845990"/>
    <w:rsid w:val="00845B6A"/>
    <w:rsid w:val="00846B2D"/>
    <w:rsid w:val="0084705D"/>
    <w:rsid w:val="0085022D"/>
    <w:rsid w:val="00852826"/>
    <w:rsid w:val="00856A58"/>
    <w:rsid w:val="00856BCD"/>
    <w:rsid w:val="008573C8"/>
    <w:rsid w:val="008637B1"/>
    <w:rsid w:val="00865201"/>
    <w:rsid w:val="0086541D"/>
    <w:rsid w:val="008658E0"/>
    <w:rsid w:val="00866A1E"/>
    <w:rsid w:val="008715B1"/>
    <w:rsid w:val="00871D7E"/>
    <w:rsid w:val="008726D7"/>
    <w:rsid w:val="00874A4B"/>
    <w:rsid w:val="00875394"/>
    <w:rsid w:val="00877328"/>
    <w:rsid w:val="00877C58"/>
    <w:rsid w:val="008805AC"/>
    <w:rsid w:val="00883BB0"/>
    <w:rsid w:val="0088410A"/>
    <w:rsid w:val="008854FB"/>
    <w:rsid w:val="008869AC"/>
    <w:rsid w:val="0089070F"/>
    <w:rsid w:val="00890869"/>
    <w:rsid w:val="008928F6"/>
    <w:rsid w:val="008951B2"/>
    <w:rsid w:val="008A1670"/>
    <w:rsid w:val="008A19C6"/>
    <w:rsid w:val="008A64A9"/>
    <w:rsid w:val="008A69A7"/>
    <w:rsid w:val="008B17BB"/>
    <w:rsid w:val="008B250F"/>
    <w:rsid w:val="008B2E74"/>
    <w:rsid w:val="008B3BA3"/>
    <w:rsid w:val="008B4754"/>
    <w:rsid w:val="008B4D06"/>
    <w:rsid w:val="008B560E"/>
    <w:rsid w:val="008B7094"/>
    <w:rsid w:val="008C065A"/>
    <w:rsid w:val="008C4B82"/>
    <w:rsid w:val="008C669B"/>
    <w:rsid w:val="008C787A"/>
    <w:rsid w:val="008D16EF"/>
    <w:rsid w:val="008D2F8C"/>
    <w:rsid w:val="008D51CE"/>
    <w:rsid w:val="008D5B42"/>
    <w:rsid w:val="008E19D2"/>
    <w:rsid w:val="008E4213"/>
    <w:rsid w:val="008E7EBB"/>
    <w:rsid w:val="008F0630"/>
    <w:rsid w:val="008F13A1"/>
    <w:rsid w:val="008F15F3"/>
    <w:rsid w:val="008F5A77"/>
    <w:rsid w:val="00900D46"/>
    <w:rsid w:val="009031A6"/>
    <w:rsid w:val="009053F0"/>
    <w:rsid w:val="00905545"/>
    <w:rsid w:val="00907296"/>
    <w:rsid w:val="0090764C"/>
    <w:rsid w:val="0091106F"/>
    <w:rsid w:val="0091198E"/>
    <w:rsid w:val="0091313C"/>
    <w:rsid w:val="00915440"/>
    <w:rsid w:val="00915647"/>
    <w:rsid w:val="00915B3C"/>
    <w:rsid w:val="00920BDA"/>
    <w:rsid w:val="009230CF"/>
    <w:rsid w:val="00923F62"/>
    <w:rsid w:val="0092478C"/>
    <w:rsid w:val="00925439"/>
    <w:rsid w:val="00925517"/>
    <w:rsid w:val="009351B3"/>
    <w:rsid w:val="009351BB"/>
    <w:rsid w:val="009407D1"/>
    <w:rsid w:val="00941065"/>
    <w:rsid w:val="00943954"/>
    <w:rsid w:val="009441F1"/>
    <w:rsid w:val="00945DB9"/>
    <w:rsid w:val="0095534D"/>
    <w:rsid w:val="00960CD8"/>
    <w:rsid w:val="00963072"/>
    <w:rsid w:val="009639E4"/>
    <w:rsid w:val="0096527A"/>
    <w:rsid w:val="00965385"/>
    <w:rsid w:val="00965AE8"/>
    <w:rsid w:val="00967297"/>
    <w:rsid w:val="009713A8"/>
    <w:rsid w:val="009718E4"/>
    <w:rsid w:val="00971CCB"/>
    <w:rsid w:val="00971F1E"/>
    <w:rsid w:val="00972355"/>
    <w:rsid w:val="009754F4"/>
    <w:rsid w:val="0097680B"/>
    <w:rsid w:val="00977B0F"/>
    <w:rsid w:val="009869B5"/>
    <w:rsid w:val="00987ECE"/>
    <w:rsid w:val="0099268B"/>
    <w:rsid w:val="00995376"/>
    <w:rsid w:val="00995960"/>
    <w:rsid w:val="00996355"/>
    <w:rsid w:val="00997A2A"/>
    <w:rsid w:val="009A169A"/>
    <w:rsid w:val="009A2939"/>
    <w:rsid w:val="009A3D4E"/>
    <w:rsid w:val="009A579B"/>
    <w:rsid w:val="009A5983"/>
    <w:rsid w:val="009A6736"/>
    <w:rsid w:val="009A6D99"/>
    <w:rsid w:val="009A727B"/>
    <w:rsid w:val="009B1525"/>
    <w:rsid w:val="009B40AB"/>
    <w:rsid w:val="009B5566"/>
    <w:rsid w:val="009C0ACD"/>
    <w:rsid w:val="009C1202"/>
    <w:rsid w:val="009C3A70"/>
    <w:rsid w:val="009C5058"/>
    <w:rsid w:val="009D2175"/>
    <w:rsid w:val="009D49A3"/>
    <w:rsid w:val="009D54AB"/>
    <w:rsid w:val="009D5865"/>
    <w:rsid w:val="009E0010"/>
    <w:rsid w:val="009E1380"/>
    <w:rsid w:val="009E1714"/>
    <w:rsid w:val="009E1D7F"/>
    <w:rsid w:val="009E215D"/>
    <w:rsid w:val="009E2599"/>
    <w:rsid w:val="009E3C91"/>
    <w:rsid w:val="009E5FBF"/>
    <w:rsid w:val="009E7CEC"/>
    <w:rsid w:val="00A014D4"/>
    <w:rsid w:val="00A01FF0"/>
    <w:rsid w:val="00A03CE7"/>
    <w:rsid w:val="00A0553E"/>
    <w:rsid w:val="00A05DD8"/>
    <w:rsid w:val="00A075F3"/>
    <w:rsid w:val="00A10CC2"/>
    <w:rsid w:val="00A1206A"/>
    <w:rsid w:val="00A144F1"/>
    <w:rsid w:val="00A16C76"/>
    <w:rsid w:val="00A17216"/>
    <w:rsid w:val="00A213B9"/>
    <w:rsid w:val="00A2326A"/>
    <w:rsid w:val="00A24AC0"/>
    <w:rsid w:val="00A26967"/>
    <w:rsid w:val="00A31308"/>
    <w:rsid w:val="00A33425"/>
    <w:rsid w:val="00A366AD"/>
    <w:rsid w:val="00A40C6F"/>
    <w:rsid w:val="00A40FB6"/>
    <w:rsid w:val="00A41D2A"/>
    <w:rsid w:val="00A43425"/>
    <w:rsid w:val="00A45E83"/>
    <w:rsid w:val="00A5067F"/>
    <w:rsid w:val="00A509E0"/>
    <w:rsid w:val="00A55F2F"/>
    <w:rsid w:val="00A64637"/>
    <w:rsid w:val="00A65084"/>
    <w:rsid w:val="00A65BDE"/>
    <w:rsid w:val="00A66219"/>
    <w:rsid w:val="00A66342"/>
    <w:rsid w:val="00A67E7C"/>
    <w:rsid w:val="00A71D3E"/>
    <w:rsid w:val="00A727D7"/>
    <w:rsid w:val="00A73117"/>
    <w:rsid w:val="00A765A6"/>
    <w:rsid w:val="00A82B3D"/>
    <w:rsid w:val="00A83B43"/>
    <w:rsid w:val="00A844B5"/>
    <w:rsid w:val="00A86063"/>
    <w:rsid w:val="00A86273"/>
    <w:rsid w:val="00A911F3"/>
    <w:rsid w:val="00A95F19"/>
    <w:rsid w:val="00A96BD8"/>
    <w:rsid w:val="00AA0AA7"/>
    <w:rsid w:val="00AA30A0"/>
    <w:rsid w:val="00AA4D50"/>
    <w:rsid w:val="00AA5B90"/>
    <w:rsid w:val="00AA62D3"/>
    <w:rsid w:val="00AA78BC"/>
    <w:rsid w:val="00AB0611"/>
    <w:rsid w:val="00AB163F"/>
    <w:rsid w:val="00AB2B36"/>
    <w:rsid w:val="00AB2EDC"/>
    <w:rsid w:val="00AB46AD"/>
    <w:rsid w:val="00AB5782"/>
    <w:rsid w:val="00AB654F"/>
    <w:rsid w:val="00AB7CF3"/>
    <w:rsid w:val="00AC1600"/>
    <w:rsid w:val="00AC1EF9"/>
    <w:rsid w:val="00AC266D"/>
    <w:rsid w:val="00AC37E2"/>
    <w:rsid w:val="00AC5EEC"/>
    <w:rsid w:val="00AD0369"/>
    <w:rsid w:val="00AD1234"/>
    <w:rsid w:val="00AD5075"/>
    <w:rsid w:val="00AD50A3"/>
    <w:rsid w:val="00AE2B65"/>
    <w:rsid w:val="00AE368C"/>
    <w:rsid w:val="00AE3D5A"/>
    <w:rsid w:val="00AF0DB2"/>
    <w:rsid w:val="00AF2380"/>
    <w:rsid w:val="00AF35D4"/>
    <w:rsid w:val="00AF414F"/>
    <w:rsid w:val="00AF490E"/>
    <w:rsid w:val="00AF5DCA"/>
    <w:rsid w:val="00AF7CFA"/>
    <w:rsid w:val="00B0272E"/>
    <w:rsid w:val="00B02BF6"/>
    <w:rsid w:val="00B032A7"/>
    <w:rsid w:val="00B04194"/>
    <w:rsid w:val="00B05ADB"/>
    <w:rsid w:val="00B118EE"/>
    <w:rsid w:val="00B138B7"/>
    <w:rsid w:val="00B16F45"/>
    <w:rsid w:val="00B1757F"/>
    <w:rsid w:val="00B2055F"/>
    <w:rsid w:val="00B2144D"/>
    <w:rsid w:val="00B21BCF"/>
    <w:rsid w:val="00B25216"/>
    <w:rsid w:val="00B25AA3"/>
    <w:rsid w:val="00B25C28"/>
    <w:rsid w:val="00B27798"/>
    <w:rsid w:val="00B27B31"/>
    <w:rsid w:val="00B30B91"/>
    <w:rsid w:val="00B33026"/>
    <w:rsid w:val="00B4084B"/>
    <w:rsid w:val="00B42802"/>
    <w:rsid w:val="00B432A6"/>
    <w:rsid w:val="00B43418"/>
    <w:rsid w:val="00B43677"/>
    <w:rsid w:val="00B45387"/>
    <w:rsid w:val="00B47E8A"/>
    <w:rsid w:val="00B5025C"/>
    <w:rsid w:val="00B5385C"/>
    <w:rsid w:val="00B550CD"/>
    <w:rsid w:val="00B5631D"/>
    <w:rsid w:val="00B56BEF"/>
    <w:rsid w:val="00B60553"/>
    <w:rsid w:val="00B63425"/>
    <w:rsid w:val="00B63DD2"/>
    <w:rsid w:val="00B64620"/>
    <w:rsid w:val="00B665B6"/>
    <w:rsid w:val="00B66748"/>
    <w:rsid w:val="00B70075"/>
    <w:rsid w:val="00B70328"/>
    <w:rsid w:val="00B744A6"/>
    <w:rsid w:val="00B75C5D"/>
    <w:rsid w:val="00B76B1E"/>
    <w:rsid w:val="00B76DA4"/>
    <w:rsid w:val="00B80073"/>
    <w:rsid w:val="00B80DAC"/>
    <w:rsid w:val="00B83294"/>
    <w:rsid w:val="00B83A5A"/>
    <w:rsid w:val="00B84604"/>
    <w:rsid w:val="00B85B47"/>
    <w:rsid w:val="00B87B08"/>
    <w:rsid w:val="00B90955"/>
    <w:rsid w:val="00B92FAE"/>
    <w:rsid w:val="00B940BB"/>
    <w:rsid w:val="00B94B99"/>
    <w:rsid w:val="00B9553F"/>
    <w:rsid w:val="00B95FFA"/>
    <w:rsid w:val="00BA09EF"/>
    <w:rsid w:val="00BA2CC7"/>
    <w:rsid w:val="00BA379C"/>
    <w:rsid w:val="00BA49FE"/>
    <w:rsid w:val="00BA7647"/>
    <w:rsid w:val="00BB0104"/>
    <w:rsid w:val="00BB1F36"/>
    <w:rsid w:val="00BB3920"/>
    <w:rsid w:val="00BB49F9"/>
    <w:rsid w:val="00BB4C2C"/>
    <w:rsid w:val="00BB596F"/>
    <w:rsid w:val="00BB622A"/>
    <w:rsid w:val="00BB72DA"/>
    <w:rsid w:val="00BC0445"/>
    <w:rsid w:val="00BC131B"/>
    <w:rsid w:val="00BC1A47"/>
    <w:rsid w:val="00BC2D09"/>
    <w:rsid w:val="00BC3262"/>
    <w:rsid w:val="00BC63F1"/>
    <w:rsid w:val="00BD0B2C"/>
    <w:rsid w:val="00BD34C5"/>
    <w:rsid w:val="00BD4761"/>
    <w:rsid w:val="00BF056D"/>
    <w:rsid w:val="00BF0CAB"/>
    <w:rsid w:val="00BF22D5"/>
    <w:rsid w:val="00BF35C8"/>
    <w:rsid w:val="00BF3984"/>
    <w:rsid w:val="00BF493E"/>
    <w:rsid w:val="00BF49C0"/>
    <w:rsid w:val="00C0137A"/>
    <w:rsid w:val="00C05B45"/>
    <w:rsid w:val="00C06851"/>
    <w:rsid w:val="00C11D04"/>
    <w:rsid w:val="00C12FC1"/>
    <w:rsid w:val="00C1443C"/>
    <w:rsid w:val="00C15BFE"/>
    <w:rsid w:val="00C17021"/>
    <w:rsid w:val="00C20762"/>
    <w:rsid w:val="00C21EC0"/>
    <w:rsid w:val="00C238CC"/>
    <w:rsid w:val="00C2533E"/>
    <w:rsid w:val="00C27F67"/>
    <w:rsid w:val="00C31D67"/>
    <w:rsid w:val="00C32428"/>
    <w:rsid w:val="00C33D91"/>
    <w:rsid w:val="00C34EE8"/>
    <w:rsid w:val="00C3605A"/>
    <w:rsid w:val="00C371A0"/>
    <w:rsid w:val="00C40950"/>
    <w:rsid w:val="00C419E2"/>
    <w:rsid w:val="00C42A81"/>
    <w:rsid w:val="00C477D2"/>
    <w:rsid w:val="00C50929"/>
    <w:rsid w:val="00C50C3F"/>
    <w:rsid w:val="00C5350C"/>
    <w:rsid w:val="00C559EB"/>
    <w:rsid w:val="00C57E72"/>
    <w:rsid w:val="00C57ECC"/>
    <w:rsid w:val="00C629C1"/>
    <w:rsid w:val="00C62F61"/>
    <w:rsid w:val="00C63074"/>
    <w:rsid w:val="00C6356F"/>
    <w:rsid w:val="00C6407E"/>
    <w:rsid w:val="00C64C01"/>
    <w:rsid w:val="00C6518D"/>
    <w:rsid w:val="00C70ACF"/>
    <w:rsid w:val="00C737A3"/>
    <w:rsid w:val="00C742C3"/>
    <w:rsid w:val="00C74840"/>
    <w:rsid w:val="00C74D03"/>
    <w:rsid w:val="00C7584A"/>
    <w:rsid w:val="00C76901"/>
    <w:rsid w:val="00C76B73"/>
    <w:rsid w:val="00C807BA"/>
    <w:rsid w:val="00C843D0"/>
    <w:rsid w:val="00C85D40"/>
    <w:rsid w:val="00C87A31"/>
    <w:rsid w:val="00C912C9"/>
    <w:rsid w:val="00C93114"/>
    <w:rsid w:val="00C94277"/>
    <w:rsid w:val="00C95D83"/>
    <w:rsid w:val="00C970D7"/>
    <w:rsid w:val="00C972C3"/>
    <w:rsid w:val="00CA0FE3"/>
    <w:rsid w:val="00CA1FB8"/>
    <w:rsid w:val="00CA4C6B"/>
    <w:rsid w:val="00CA5D19"/>
    <w:rsid w:val="00CB04F0"/>
    <w:rsid w:val="00CB0866"/>
    <w:rsid w:val="00CB15A9"/>
    <w:rsid w:val="00CB2417"/>
    <w:rsid w:val="00CB390E"/>
    <w:rsid w:val="00CB4E77"/>
    <w:rsid w:val="00CB7BE4"/>
    <w:rsid w:val="00CB7D54"/>
    <w:rsid w:val="00CC08B0"/>
    <w:rsid w:val="00CC1475"/>
    <w:rsid w:val="00CC35B9"/>
    <w:rsid w:val="00CC5417"/>
    <w:rsid w:val="00CC761F"/>
    <w:rsid w:val="00CD27CC"/>
    <w:rsid w:val="00CD61BC"/>
    <w:rsid w:val="00CD6294"/>
    <w:rsid w:val="00CD6682"/>
    <w:rsid w:val="00CD6BA2"/>
    <w:rsid w:val="00CD6D95"/>
    <w:rsid w:val="00CE0C8A"/>
    <w:rsid w:val="00CE1D6A"/>
    <w:rsid w:val="00CE3F28"/>
    <w:rsid w:val="00CE4504"/>
    <w:rsid w:val="00CE4933"/>
    <w:rsid w:val="00CE5E30"/>
    <w:rsid w:val="00CE629B"/>
    <w:rsid w:val="00CE7F71"/>
    <w:rsid w:val="00CF34AA"/>
    <w:rsid w:val="00CF4870"/>
    <w:rsid w:val="00D000A6"/>
    <w:rsid w:val="00D02100"/>
    <w:rsid w:val="00D0372E"/>
    <w:rsid w:val="00D048D7"/>
    <w:rsid w:val="00D04D95"/>
    <w:rsid w:val="00D06ECE"/>
    <w:rsid w:val="00D07E37"/>
    <w:rsid w:val="00D07EB7"/>
    <w:rsid w:val="00D07EC4"/>
    <w:rsid w:val="00D1010A"/>
    <w:rsid w:val="00D1287E"/>
    <w:rsid w:val="00D138D7"/>
    <w:rsid w:val="00D155CA"/>
    <w:rsid w:val="00D1571B"/>
    <w:rsid w:val="00D173F1"/>
    <w:rsid w:val="00D202D0"/>
    <w:rsid w:val="00D24ECA"/>
    <w:rsid w:val="00D25FE6"/>
    <w:rsid w:val="00D2606A"/>
    <w:rsid w:val="00D27D65"/>
    <w:rsid w:val="00D27E05"/>
    <w:rsid w:val="00D30237"/>
    <w:rsid w:val="00D30CEC"/>
    <w:rsid w:val="00D32D75"/>
    <w:rsid w:val="00D3371D"/>
    <w:rsid w:val="00D33953"/>
    <w:rsid w:val="00D339E5"/>
    <w:rsid w:val="00D33FEF"/>
    <w:rsid w:val="00D37425"/>
    <w:rsid w:val="00D37471"/>
    <w:rsid w:val="00D41C8D"/>
    <w:rsid w:val="00D451A0"/>
    <w:rsid w:val="00D51082"/>
    <w:rsid w:val="00D5516D"/>
    <w:rsid w:val="00D55250"/>
    <w:rsid w:val="00D55DE3"/>
    <w:rsid w:val="00D576C2"/>
    <w:rsid w:val="00D61CF0"/>
    <w:rsid w:val="00D62A6D"/>
    <w:rsid w:val="00D640C5"/>
    <w:rsid w:val="00D65187"/>
    <w:rsid w:val="00D65C5B"/>
    <w:rsid w:val="00D67BF1"/>
    <w:rsid w:val="00D7196F"/>
    <w:rsid w:val="00D72615"/>
    <w:rsid w:val="00D72967"/>
    <w:rsid w:val="00D75279"/>
    <w:rsid w:val="00D75421"/>
    <w:rsid w:val="00D766EE"/>
    <w:rsid w:val="00D82610"/>
    <w:rsid w:val="00D82FD5"/>
    <w:rsid w:val="00D848C6"/>
    <w:rsid w:val="00D858A3"/>
    <w:rsid w:val="00D9547E"/>
    <w:rsid w:val="00D97EBC"/>
    <w:rsid w:val="00DA1767"/>
    <w:rsid w:val="00DB0EC1"/>
    <w:rsid w:val="00DB0FB4"/>
    <w:rsid w:val="00DB112E"/>
    <w:rsid w:val="00DB1CFE"/>
    <w:rsid w:val="00DB3AC0"/>
    <w:rsid w:val="00DB3D69"/>
    <w:rsid w:val="00DB6706"/>
    <w:rsid w:val="00DB6E4A"/>
    <w:rsid w:val="00DB7B41"/>
    <w:rsid w:val="00DC0365"/>
    <w:rsid w:val="00DC4847"/>
    <w:rsid w:val="00DC5CCF"/>
    <w:rsid w:val="00DC785D"/>
    <w:rsid w:val="00DC7C1C"/>
    <w:rsid w:val="00DD3FE2"/>
    <w:rsid w:val="00DD4B04"/>
    <w:rsid w:val="00DD56E6"/>
    <w:rsid w:val="00DD6E02"/>
    <w:rsid w:val="00DD7957"/>
    <w:rsid w:val="00DE1496"/>
    <w:rsid w:val="00DE24FD"/>
    <w:rsid w:val="00DE3E04"/>
    <w:rsid w:val="00DE4358"/>
    <w:rsid w:val="00DE69B5"/>
    <w:rsid w:val="00DE7B32"/>
    <w:rsid w:val="00DF244D"/>
    <w:rsid w:val="00DF343E"/>
    <w:rsid w:val="00E01250"/>
    <w:rsid w:val="00E02A0B"/>
    <w:rsid w:val="00E03C98"/>
    <w:rsid w:val="00E04739"/>
    <w:rsid w:val="00E04753"/>
    <w:rsid w:val="00E04DC7"/>
    <w:rsid w:val="00E05A85"/>
    <w:rsid w:val="00E079A8"/>
    <w:rsid w:val="00E1033D"/>
    <w:rsid w:val="00E1096F"/>
    <w:rsid w:val="00E125B8"/>
    <w:rsid w:val="00E13562"/>
    <w:rsid w:val="00E1774F"/>
    <w:rsid w:val="00E17CDF"/>
    <w:rsid w:val="00E209D2"/>
    <w:rsid w:val="00E226BC"/>
    <w:rsid w:val="00E2655D"/>
    <w:rsid w:val="00E272E9"/>
    <w:rsid w:val="00E31CA6"/>
    <w:rsid w:val="00E33F2E"/>
    <w:rsid w:val="00E3504C"/>
    <w:rsid w:val="00E35E10"/>
    <w:rsid w:val="00E37A55"/>
    <w:rsid w:val="00E40BB2"/>
    <w:rsid w:val="00E4396B"/>
    <w:rsid w:val="00E44DC3"/>
    <w:rsid w:val="00E50D8C"/>
    <w:rsid w:val="00E51061"/>
    <w:rsid w:val="00E533D8"/>
    <w:rsid w:val="00E554AF"/>
    <w:rsid w:val="00E57B9D"/>
    <w:rsid w:val="00E60669"/>
    <w:rsid w:val="00E613AE"/>
    <w:rsid w:val="00E6364F"/>
    <w:rsid w:val="00E6388C"/>
    <w:rsid w:val="00E63C16"/>
    <w:rsid w:val="00E66080"/>
    <w:rsid w:val="00E67B47"/>
    <w:rsid w:val="00E7065E"/>
    <w:rsid w:val="00E72038"/>
    <w:rsid w:val="00E72EF7"/>
    <w:rsid w:val="00E73DCC"/>
    <w:rsid w:val="00E75A46"/>
    <w:rsid w:val="00E776CF"/>
    <w:rsid w:val="00E77D6D"/>
    <w:rsid w:val="00E77F49"/>
    <w:rsid w:val="00E803AD"/>
    <w:rsid w:val="00E863AC"/>
    <w:rsid w:val="00E909D8"/>
    <w:rsid w:val="00E913B1"/>
    <w:rsid w:val="00E93125"/>
    <w:rsid w:val="00E94C34"/>
    <w:rsid w:val="00E96DA8"/>
    <w:rsid w:val="00E97A82"/>
    <w:rsid w:val="00EA2FC2"/>
    <w:rsid w:val="00EA3B7C"/>
    <w:rsid w:val="00EA454D"/>
    <w:rsid w:val="00EA7345"/>
    <w:rsid w:val="00EB14A8"/>
    <w:rsid w:val="00EB25C0"/>
    <w:rsid w:val="00EB2939"/>
    <w:rsid w:val="00EB3AB0"/>
    <w:rsid w:val="00EB4E38"/>
    <w:rsid w:val="00EB578A"/>
    <w:rsid w:val="00EB6A3B"/>
    <w:rsid w:val="00EB758D"/>
    <w:rsid w:val="00EC04F7"/>
    <w:rsid w:val="00EC18D6"/>
    <w:rsid w:val="00EC1A3F"/>
    <w:rsid w:val="00EC1D2F"/>
    <w:rsid w:val="00EC214D"/>
    <w:rsid w:val="00EC3455"/>
    <w:rsid w:val="00EC41C5"/>
    <w:rsid w:val="00EC5CFA"/>
    <w:rsid w:val="00ED1450"/>
    <w:rsid w:val="00ED3011"/>
    <w:rsid w:val="00ED3DCE"/>
    <w:rsid w:val="00EE1154"/>
    <w:rsid w:val="00EE1E0A"/>
    <w:rsid w:val="00EE1EA9"/>
    <w:rsid w:val="00EE30BF"/>
    <w:rsid w:val="00EE468C"/>
    <w:rsid w:val="00EE68D5"/>
    <w:rsid w:val="00EE6E52"/>
    <w:rsid w:val="00EE785B"/>
    <w:rsid w:val="00EF172D"/>
    <w:rsid w:val="00EF20AF"/>
    <w:rsid w:val="00EF27FF"/>
    <w:rsid w:val="00EF3B67"/>
    <w:rsid w:val="00EF477C"/>
    <w:rsid w:val="00EF7A61"/>
    <w:rsid w:val="00F00367"/>
    <w:rsid w:val="00F017C5"/>
    <w:rsid w:val="00F0207E"/>
    <w:rsid w:val="00F024FF"/>
    <w:rsid w:val="00F06D8D"/>
    <w:rsid w:val="00F140F2"/>
    <w:rsid w:val="00F14E78"/>
    <w:rsid w:val="00F16D31"/>
    <w:rsid w:val="00F1730A"/>
    <w:rsid w:val="00F22010"/>
    <w:rsid w:val="00F23385"/>
    <w:rsid w:val="00F27D21"/>
    <w:rsid w:val="00F300EA"/>
    <w:rsid w:val="00F304F4"/>
    <w:rsid w:val="00F30558"/>
    <w:rsid w:val="00F30948"/>
    <w:rsid w:val="00F35A61"/>
    <w:rsid w:val="00F3766B"/>
    <w:rsid w:val="00F4134A"/>
    <w:rsid w:val="00F4161E"/>
    <w:rsid w:val="00F41861"/>
    <w:rsid w:val="00F41C95"/>
    <w:rsid w:val="00F42647"/>
    <w:rsid w:val="00F43B1B"/>
    <w:rsid w:val="00F43B7B"/>
    <w:rsid w:val="00F442C9"/>
    <w:rsid w:val="00F46C16"/>
    <w:rsid w:val="00F479BB"/>
    <w:rsid w:val="00F504E4"/>
    <w:rsid w:val="00F529DC"/>
    <w:rsid w:val="00F52D45"/>
    <w:rsid w:val="00F53A2F"/>
    <w:rsid w:val="00F5616D"/>
    <w:rsid w:val="00F57B86"/>
    <w:rsid w:val="00F64180"/>
    <w:rsid w:val="00F64678"/>
    <w:rsid w:val="00F648A4"/>
    <w:rsid w:val="00F65740"/>
    <w:rsid w:val="00F67B58"/>
    <w:rsid w:val="00F706B2"/>
    <w:rsid w:val="00F71FE5"/>
    <w:rsid w:val="00F723C2"/>
    <w:rsid w:val="00F81005"/>
    <w:rsid w:val="00F817D4"/>
    <w:rsid w:val="00F833F4"/>
    <w:rsid w:val="00F8423C"/>
    <w:rsid w:val="00F84F13"/>
    <w:rsid w:val="00F8557F"/>
    <w:rsid w:val="00F878A3"/>
    <w:rsid w:val="00F90831"/>
    <w:rsid w:val="00F93A00"/>
    <w:rsid w:val="00F9467E"/>
    <w:rsid w:val="00F9470D"/>
    <w:rsid w:val="00F94F7D"/>
    <w:rsid w:val="00F95160"/>
    <w:rsid w:val="00F95B5F"/>
    <w:rsid w:val="00FA09BB"/>
    <w:rsid w:val="00FA1DA4"/>
    <w:rsid w:val="00FA30CE"/>
    <w:rsid w:val="00FA3C38"/>
    <w:rsid w:val="00FA4070"/>
    <w:rsid w:val="00FA44DE"/>
    <w:rsid w:val="00FA6E72"/>
    <w:rsid w:val="00FB467C"/>
    <w:rsid w:val="00FB6674"/>
    <w:rsid w:val="00FC048F"/>
    <w:rsid w:val="00FC04D5"/>
    <w:rsid w:val="00FC0FCB"/>
    <w:rsid w:val="00FC1755"/>
    <w:rsid w:val="00FC2A1C"/>
    <w:rsid w:val="00FC3700"/>
    <w:rsid w:val="00FC3706"/>
    <w:rsid w:val="00FC3884"/>
    <w:rsid w:val="00FC3965"/>
    <w:rsid w:val="00FC536C"/>
    <w:rsid w:val="00FC5564"/>
    <w:rsid w:val="00FC57E8"/>
    <w:rsid w:val="00FC7294"/>
    <w:rsid w:val="00FC7860"/>
    <w:rsid w:val="00FD0B26"/>
    <w:rsid w:val="00FD1055"/>
    <w:rsid w:val="00FD15A3"/>
    <w:rsid w:val="00FD2612"/>
    <w:rsid w:val="00FD2632"/>
    <w:rsid w:val="00FD2C85"/>
    <w:rsid w:val="00FD6379"/>
    <w:rsid w:val="00FD67D2"/>
    <w:rsid w:val="00FD7D26"/>
    <w:rsid w:val="00FE1706"/>
    <w:rsid w:val="00FE4407"/>
    <w:rsid w:val="00FE5279"/>
    <w:rsid w:val="00FE59E5"/>
    <w:rsid w:val="00FE5AF4"/>
    <w:rsid w:val="00FF0531"/>
    <w:rsid w:val="00FF0639"/>
    <w:rsid w:val="00FF4664"/>
    <w:rsid w:val="00FF5960"/>
    <w:rsid w:val="00FF61DF"/>
    <w:rsid w:val="00FF7AAB"/>
    <w:rsid w:val="01170C55"/>
    <w:rsid w:val="0119677B"/>
    <w:rsid w:val="01227D26"/>
    <w:rsid w:val="01260E98"/>
    <w:rsid w:val="012D0479"/>
    <w:rsid w:val="016848D2"/>
    <w:rsid w:val="01987FE8"/>
    <w:rsid w:val="01C74429"/>
    <w:rsid w:val="02145195"/>
    <w:rsid w:val="022C00E1"/>
    <w:rsid w:val="022F2438"/>
    <w:rsid w:val="02421649"/>
    <w:rsid w:val="02510BDC"/>
    <w:rsid w:val="02783ED8"/>
    <w:rsid w:val="02913D1B"/>
    <w:rsid w:val="030671D3"/>
    <w:rsid w:val="03265180"/>
    <w:rsid w:val="03323B24"/>
    <w:rsid w:val="035F4ABA"/>
    <w:rsid w:val="03680E1F"/>
    <w:rsid w:val="036D6257"/>
    <w:rsid w:val="037441B6"/>
    <w:rsid w:val="038E05E4"/>
    <w:rsid w:val="03933817"/>
    <w:rsid w:val="03B522A3"/>
    <w:rsid w:val="03DC41B1"/>
    <w:rsid w:val="040522EB"/>
    <w:rsid w:val="042C3965"/>
    <w:rsid w:val="04472455"/>
    <w:rsid w:val="0463696C"/>
    <w:rsid w:val="046D6604"/>
    <w:rsid w:val="04A503F1"/>
    <w:rsid w:val="04CE1F73"/>
    <w:rsid w:val="04E24BCC"/>
    <w:rsid w:val="04EB042F"/>
    <w:rsid w:val="04EB26DA"/>
    <w:rsid w:val="04FA4B16"/>
    <w:rsid w:val="051E03DC"/>
    <w:rsid w:val="05616943"/>
    <w:rsid w:val="056F72B2"/>
    <w:rsid w:val="0622534C"/>
    <w:rsid w:val="069669C7"/>
    <w:rsid w:val="06A55A83"/>
    <w:rsid w:val="06B07B82"/>
    <w:rsid w:val="06C278B5"/>
    <w:rsid w:val="06DE592F"/>
    <w:rsid w:val="06E4782C"/>
    <w:rsid w:val="06E710CA"/>
    <w:rsid w:val="07003DC4"/>
    <w:rsid w:val="070659F4"/>
    <w:rsid w:val="07293490"/>
    <w:rsid w:val="07297CE6"/>
    <w:rsid w:val="07480E14"/>
    <w:rsid w:val="074A3B33"/>
    <w:rsid w:val="07591FC8"/>
    <w:rsid w:val="075D4AA1"/>
    <w:rsid w:val="076A5F83"/>
    <w:rsid w:val="076F080A"/>
    <w:rsid w:val="077225D1"/>
    <w:rsid w:val="07AE4FCF"/>
    <w:rsid w:val="07E63665"/>
    <w:rsid w:val="07FB4797"/>
    <w:rsid w:val="080B7C4B"/>
    <w:rsid w:val="0817778D"/>
    <w:rsid w:val="08367CC1"/>
    <w:rsid w:val="08406CE4"/>
    <w:rsid w:val="084E5D49"/>
    <w:rsid w:val="08762705"/>
    <w:rsid w:val="08872B64"/>
    <w:rsid w:val="088C2A8D"/>
    <w:rsid w:val="08AB4E3F"/>
    <w:rsid w:val="08E04023"/>
    <w:rsid w:val="090E293E"/>
    <w:rsid w:val="09215687"/>
    <w:rsid w:val="09646A02"/>
    <w:rsid w:val="098431C0"/>
    <w:rsid w:val="09976DD7"/>
    <w:rsid w:val="09C82DE9"/>
    <w:rsid w:val="09CF1D46"/>
    <w:rsid w:val="09CF6AA4"/>
    <w:rsid w:val="09F621E7"/>
    <w:rsid w:val="0A0A06B5"/>
    <w:rsid w:val="0A19629E"/>
    <w:rsid w:val="0A2262F9"/>
    <w:rsid w:val="0A277E94"/>
    <w:rsid w:val="0A5E5DEA"/>
    <w:rsid w:val="0A621193"/>
    <w:rsid w:val="0A92134D"/>
    <w:rsid w:val="0A9F23E7"/>
    <w:rsid w:val="0AA34BBC"/>
    <w:rsid w:val="0AAA2B3A"/>
    <w:rsid w:val="0AAA61B7"/>
    <w:rsid w:val="0AAB0D8C"/>
    <w:rsid w:val="0AFA520F"/>
    <w:rsid w:val="0B2E72C7"/>
    <w:rsid w:val="0B416FFB"/>
    <w:rsid w:val="0B520B0D"/>
    <w:rsid w:val="0B6158EF"/>
    <w:rsid w:val="0B89688A"/>
    <w:rsid w:val="0B97468A"/>
    <w:rsid w:val="0BA852CC"/>
    <w:rsid w:val="0BBE4AEF"/>
    <w:rsid w:val="0BF21A3C"/>
    <w:rsid w:val="0C0149DC"/>
    <w:rsid w:val="0C077A2C"/>
    <w:rsid w:val="0C0842CA"/>
    <w:rsid w:val="0C0D3381"/>
    <w:rsid w:val="0C344DB1"/>
    <w:rsid w:val="0C530E96"/>
    <w:rsid w:val="0C996A9F"/>
    <w:rsid w:val="0CF12CA2"/>
    <w:rsid w:val="0CF64295"/>
    <w:rsid w:val="0CF859D4"/>
    <w:rsid w:val="0D444E52"/>
    <w:rsid w:val="0D586E73"/>
    <w:rsid w:val="0D650A65"/>
    <w:rsid w:val="0DA3347D"/>
    <w:rsid w:val="0DB42481"/>
    <w:rsid w:val="0DF70178"/>
    <w:rsid w:val="0E1E25B6"/>
    <w:rsid w:val="0E21517D"/>
    <w:rsid w:val="0EA131D8"/>
    <w:rsid w:val="0EBD108E"/>
    <w:rsid w:val="0EE851DC"/>
    <w:rsid w:val="0EFC68BD"/>
    <w:rsid w:val="0F4942A2"/>
    <w:rsid w:val="0F522A6F"/>
    <w:rsid w:val="0F6C113B"/>
    <w:rsid w:val="0F701672"/>
    <w:rsid w:val="0FA63DB0"/>
    <w:rsid w:val="0FBF2BE4"/>
    <w:rsid w:val="0FC92877"/>
    <w:rsid w:val="0FD21EC0"/>
    <w:rsid w:val="0FEA43C1"/>
    <w:rsid w:val="0FEB5AE1"/>
    <w:rsid w:val="0FF07241"/>
    <w:rsid w:val="101B7DC8"/>
    <w:rsid w:val="10400E4A"/>
    <w:rsid w:val="10CB7366"/>
    <w:rsid w:val="10DE7A29"/>
    <w:rsid w:val="11270A41"/>
    <w:rsid w:val="1164103E"/>
    <w:rsid w:val="11776C5D"/>
    <w:rsid w:val="119360D6"/>
    <w:rsid w:val="11A0255B"/>
    <w:rsid w:val="11B038B5"/>
    <w:rsid w:val="11C22033"/>
    <w:rsid w:val="11F227D9"/>
    <w:rsid w:val="11F23CF7"/>
    <w:rsid w:val="12180A6A"/>
    <w:rsid w:val="12225E6D"/>
    <w:rsid w:val="126327B7"/>
    <w:rsid w:val="129B16E6"/>
    <w:rsid w:val="12BA2945"/>
    <w:rsid w:val="1315735E"/>
    <w:rsid w:val="13420EB1"/>
    <w:rsid w:val="13515FD7"/>
    <w:rsid w:val="13733A6E"/>
    <w:rsid w:val="137D4216"/>
    <w:rsid w:val="138A360A"/>
    <w:rsid w:val="139058C1"/>
    <w:rsid w:val="13AC16D1"/>
    <w:rsid w:val="13AF4D1D"/>
    <w:rsid w:val="13DD48DD"/>
    <w:rsid w:val="13DD7ADC"/>
    <w:rsid w:val="13F6026F"/>
    <w:rsid w:val="13F61681"/>
    <w:rsid w:val="14373691"/>
    <w:rsid w:val="143E12BF"/>
    <w:rsid w:val="144D4C85"/>
    <w:rsid w:val="147C10A3"/>
    <w:rsid w:val="149527D6"/>
    <w:rsid w:val="14CA6D32"/>
    <w:rsid w:val="14DD569A"/>
    <w:rsid w:val="14DF6F08"/>
    <w:rsid w:val="14E20211"/>
    <w:rsid w:val="14E657FA"/>
    <w:rsid w:val="14EE4051"/>
    <w:rsid w:val="14FB2910"/>
    <w:rsid w:val="151869CC"/>
    <w:rsid w:val="15A703A2"/>
    <w:rsid w:val="15AD0685"/>
    <w:rsid w:val="15D908D7"/>
    <w:rsid w:val="15EF0174"/>
    <w:rsid w:val="163F52AF"/>
    <w:rsid w:val="16902D4C"/>
    <w:rsid w:val="169A7F07"/>
    <w:rsid w:val="16C242B8"/>
    <w:rsid w:val="16D451C7"/>
    <w:rsid w:val="175611FD"/>
    <w:rsid w:val="176C6F1B"/>
    <w:rsid w:val="17935082"/>
    <w:rsid w:val="17A84463"/>
    <w:rsid w:val="17B42F96"/>
    <w:rsid w:val="17C957B1"/>
    <w:rsid w:val="17E31439"/>
    <w:rsid w:val="180D373C"/>
    <w:rsid w:val="185145F5"/>
    <w:rsid w:val="185C4947"/>
    <w:rsid w:val="187F73B4"/>
    <w:rsid w:val="188B2E05"/>
    <w:rsid w:val="18A10027"/>
    <w:rsid w:val="18A137CE"/>
    <w:rsid w:val="18AC5CCF"/>
    <w:rsid w:val="18D56FD4"/>
    <w:rsid w:val="18E5205E"/>
    <w:rsid w:val="18F16B08"/>
    <w:rsid w:val="190C5D71"/>
    <w:rsid w:val="190E24E6"/>
    <w:rsid w:val="192D4982"/>
    <w:rsid w:val="193E1025"/>
    <w:rsid w:val="19541AE6"/>
    <w:rsid w:val="197255CC"/>
    <w:rsid w:val="197C6DE2"/>
    <w:rsid w:val="198C3F77"/>
    <w:rsid w:val="19A052BC"/>
    <w:rsid w:val="19A4034B"/>
    <w:rsid w:val="19BA37C2"/>
    <w:rsid w:val="19C24B6B"/>
    <w:rsid w:val="19D03997"/>
    <w:rsid w:val="19D674A8"/>
    <w:rsid w:val="19E73476"/>
    <w:rsid w:val="1A3B730B"/>
    <w:rsid w:val="1A575B00"/>
    <w:rsid w:val="1A715CDF"/>
    <w:rsid w:val="1A781935"/>
    <w:rsid w:val="1A7F18ED"/>
    <w:rsid w:val="1AA50C28"/>
    <w:rsid w:val="1AB7679C"/>
    <w:rsid w:val="1AC45552"/>
    <w:rsid w:val="1AC54EFF"/>
    <w:rsid w:val="1B324BEE"/>
    <w:rsid w:val="1B4949CD"/>
    <w:rsid w:val="1B572F6A"/>
    <w:rsid w:val="1B8F41B8"/>
    <w:rsid w:val="1BB04D0E"/>
    <w:rsid w:val="1BEE7EDE"/>
    <w:rsid w:val="1C1422DA"/>
    <w:rsid w:val="1C1B59BA"/>
    <w:rsid w:val="1C364DB7"/>
    <w:rsid w:val="1C3F7586"/>
    <w:rsid w:val="1C9378D2"/>
    <w:rsid w:val="1C950DC0"/>
    <w:rsid w:val="1C9553F8"/>
    <w:rsid w:val="1C983AFB"/>
    <w:rsid w:val="1CC052B0"/>
    <w:rsid w:val="1CCE26B8"/>
    <w:rsid w:val="1CCF0851"/>
    <w:rsid w:val="1CCF30F3"/>
    <w:rsid w:val="1D4478A7"/>
    <w:rsid w:val="1D475678"/>
    <w:rsid w:val="1D5C501C"/>
    <w:rsid w:val="1D5C799E"/>
    <w:rsid w:val="1D6A1F13"/>
    <w:rsid w:val="1D8F1C13"/>
    <w:rsid w:val="1DB74AC0"/>
    <w:rsid w:val="1E116AEB"/>
    <w:rsid w:val="1E2F3063"/>
    <w:rsid w:val="1E682698"/>
    <w:rsid w:val="1E763007"/>
    <w:rsid w:val="1EA110DA"/>
    <w:rsid w:val="1EC021F7"/>
    <w:rsid w:val="1EC24C7C"/>
    <w:rsid w:val="1EC51899"/>
    <w:rsid w:val="1EC8325D"/>
    <w:rsid w:val="1EDF6DFF"/>
    <w:rsid w:val="1F362114"/>
    <w:rsid w:val="1F6A2B6C"/>
    <w:rsid w:val="1F807554"/>
    <w:rsid w:val="1FC72E8E"/>
    <w:rsid w:val="1FE549AB"/>
    <w:rsid w:val="20052644"/>
    <w:rsid w:val="2050101A"/>
    <w:rsid w:val="20C77A25"/>
    <w:rsid w:val="20D44015"/>
    <w:rsid w:val="20EF0E4F"/>
    <w:rsid w:val="20F66604"/>
    <w:rsid w:val="210112AE"/>
    <w:rsid w:val="213435D0"/>
    <w:rsid w:val="214D0B44"/>
    <w:rsid w:val="214E3DC8"/>
    <w:rsid w:val="21792FBB"/>
    <w:rsid w:val="21A22FB7"/>
    <w:rsid w:val="21A52BEF"/>
    <w:rsid w:val="21A56FE5"/>
    <w:rsid w:val="22162872"/>
    <w:rsid w:val="22245E0F"/>
    <w:rsid w:val="22421B7E"/>
    <w:rsid w:val="22753CE6"/>
    <w:rsid w:val="227F50D5"/>
    <w:rsid w:val="228F60C3"/>
    <w:rsid w:val="22A939AB"/>
    <w:rsid w:val="22AC05CF"/>
    <w:rsid w:val="22AD0A9F"/>
    <w:rsid w:val="231828DF"/>
    <w:rsid w:val="231C7FCD"/>
    <w:rsid w:val="233065B1"/>
    <w:rsid w:val="2375388E"/>
    <w:rsid w:val="23803915"/>
    <w:rsid w:val="239434E5"/>
    <w:rsid w:val="23DC40A3"/>
    <w:rsid w:val="23E27B64"/>
    <w:rsid w:val="23F46EA8"/>
    <w:rsid w:val="24003A9F"/>
    <w:rsid w:val="242F6570"/>
    <w:rsid w:val="245628AC"/>
    <w:rsid w:val="24583F19"/>
    <w:rsid w:val="247D6E43"/>
    <w:rsid w:val="24E52C95"/>
    <w:rsid w:val="25180974"/>
    <w:rsid w:val="25B61F3B"/>
    <w:rsid w:val="25E371D4"/>
    <w:rsid w:val="25E63E03"/>
    <w:rsid w:val="25EB2F03"/>
    <w:rsid w:val="25F53236"/>
    <w:rsid w:val="25FD5DBC"/>
    <w:rsid w:val="26054BBA"/>
    <w:rsid w:val="260B7611"/>
    <w:rsid w:val="260E7FC9"/>
    <w:rsid w:val="26233A75"/>
    <w:rsid w:val="26280DF4"/>
    <w:rsid w:val="26485289"/>
    <w:rsid w:val="265231DC"/>
    <w:rsid w:val="265B0256"/>
    <w:rsid w:val="267C6B2D"/>
    <w:rsid w:val="26887D7C"/>
    <w:rsid w:val="26B14564"/>
    <w:rsid w:val="26B96187"/>
    <w:rsid w:val="26DC42EE"/>
    <w:rsid w:val="26EA4592"/>
    <w:rsid w:val="27662D25"/>
    <w:rsid w:val="278521D3"/>
    <w:rsid w:val="279E6032"/>
    <w:rsid w:val="27C46ED2"/>
    <w:rsid w:val="27EB4EDE"/>
    <w:rsid w:val="27F21951"/>
    <w:rsid w:val="27F531EF"/>
    <w:rsid w:val="28113A35"/>
    <w:rsid w:val="2847031A"/>
    <w:rsid w:val="28700AC7"/>
    <w:rsid w:val="287626BA"/>
    <w:rsid w:val="289538E0"/>
    <w:rsid w:val="28C6363B"/>
    <w:rsid w:val="28EC566D"/>
    <w:rsid w:val="28F05023"/>
    <w:rsid w:val="28F1489E"/>
    <w:rsid w:val="291B0A33"/>
    <w:rsid w:val="29257B04"/>
    <w:rsid w:val="292D173D"/>
    <w:rsid w:val="293305AB"/>
    <w:rsid w:val="29354B7B"/>
    <w:rsid w:val="293F1020"/>
    <w:rsid w:val="296E1DBF"/>
    <w:rsid w:val="298567F4"/>
    <w:rsid w:val="2987256D"/>
    <w:rsid w:val="29A547A1"/>
    <w:rsid w:val="29AC1FD3"/>
    <w:rsid w:val="29C05928"/>
    <w:rsid w:val="29C410CB"/>
    <w:rsid w:val="29EF3C6E"/>
    <w:rsid w:val="2A4F29D2"/>
    <w:rsid w:val="2A7F1496"/>
    <w:rsid w:val="2AA60B4A"/>
    <w:rsid w:val="2AAE5111"/>
    <w:rsid w:val="2AD83BB6"/>
    <w:rsid w:val="2AE0593E"/>
    <w:rsid w:val="2B514D73"/>
    <w:rsid w:val="2B6B3A7D"/>
    <w:rsid w:val="2B7A22E2"/>
    <w:rsid w:val="2BBC6DB0"/>
    <w:rsid w:val="2C3A38C6"/>
    <w:rsid w:val="2C5F50DB"/>
    <w:rsid w:val="2C9A2ABC"/>
    <w:rsid w:val="2C9D0B2A"/>
    <w:rsid w:val="2CAC09AD"/>
    <w:rsid w:val="2CC3566A"/>
    <w:rsid w:val="2CD418C9"/>
    <w:rsid w:val="2CEF2903"/>
    <w:rsid w:val="2CFE271A"/>
    <w:rsid w:val="2D9B4590"/>
    <w:rsid w:val="2DAA4A7C"/>
    <w:rsid w:val="2DB11966"/>
    <w:rsid w:val="2DB24674"/>
    <w:rsid w:val="2DB33930"/>
    <w:rsid w:val="2DC31151"/>
    <w:rsid w:val="2E2312BE"/>
    <w:rsid w:val="2E733336"/>
    <w:rsid w:val="2EB575BC"/>
    <w:rsid w:val="2EC977EC"/>
    <w:rsid w:val="2F1A353B"/>
    <w:rsid w:val="2F23785A"/>
    <w:rsid w:val="2F2E6FE6"/>
    <w:rsid w:val="2F4607D4"/>
    <w:rsid w:val="2F4E216D"/>
    <w:rsid w:val="2F61116A"/>
    <w:rsid w:val="2F6C023B"/>
    <w:rsid w:val="2F7F305A"/>
    <w:rsid w:val="2FA15A0A"/>
    <w:rsid w:val="2FB20276"/>
    <w:rsid w:val="2FCE6D7B"/>
    <w:rsid w:val="301A6EA0"/>
    <w:rsid w:val="30260999"/>
    <w:rsid w:val="3039724E"/>
    <w:rsid w:val="303F66E2"/>
    <w:rsid w:val="30A457B2"/>
    <w:rsid w:val="30A612CD"/>
    <w:rsid w:val="30FF50DE"/>
    <w:rsid w:val="31104BF6"/>
    <w:rsid w:val="316A69FC"/>
    <w:rsid w:val="317168A4"/>
    <w:rsid w:val="317B7510"/>
    <w:rsid w:val="320417A7"/>
    <w:rsid w:val="321C2B97"/>
    <w:rsid w:val="322070BA"/>
    <w:rsid w:val="32285F6F"/>
    <w:rsid w:val="3246740A"/>
    <w:rsid w:val="324B402B"/>
    <w:rsid w:val="327822D7"/>
    <w:rsid w:val="32A61DA7"/>
    <w:rsid w:val="32C65EB4"/>
    <w:rsid w:val="32E22A42"/>
    <w:rsid w:val="32E31C0C"/>
    <w:rsid w:val="32F32A21"/>
    <w:rsid w:val="32F56799"/>
    <w:rsid w:val="334C47E1"/>
    <w:rsid w:val="33694A91"/>
    <w:rsid w:val="33A77124"/>
    <w:rsid w:val="33BA709B"/>
    <w:rsid w:val="33C3421A"/>
    <w:rsid w:val="33C5386C"/>
    <w:rsid w:val="33D5788D"/>
    <w:rsid w:val="33D740F0"/>
    <w:rsid w:val="33D77C4D"/>
    <w:rsid w:val="33F60D22"/>
    <w:rsid w:val="34313801"/>
    <w:rsid w:val="343B467F"/>
    <w:rsid w:val="344E1C6F"/>
    <w:rsid w:val="347436ED"/>
    <w:rsid w:val="34897199"/>
    <w:rsid w:val="34CE1050"/>
    <w:rsid w:val="350478CF"/>
    <w:rsid w:val="351A5DAE"/>
    <w:rsid w:val="35243365"/>
    <w:rsid w:val="353F2671"/>
    <w:rsid w:val="35491610"/>
    <w:rsid w:val="355F671C"/>
    <w:rsid w:val="357745B2"/>
    <w:rsid w:val="35A81066"/>
    <w:rsid w:val="364A7982"/>
    <w:rsid w:val="366F23BE"/>
    <w:rsid w:val="36807657"/>
    <w:rsid w:val="36820344"/>
    <w:rsid w:val="372E2279"/>
    <w:rsid w:val="373950A9"/>
    <w:rsid w:val="374E6FB9"/>
    <w:rsid w:val="37667DC9"/>
    <w:rsid w:val="37B3452D"/>
    <w:rsid w:val="37C4673A"/>
    <w:rsid w:val="37CE30A6"/>
    <w:rsid w:val="37D23FA3"/>
    <w:rsid w:val="37D42E21"/>
    <w:rsid w:val="37DC56CD"/>
    <w:rsid w:val="37F450D2"/>
    <w:rsid w:val="38024294"/>
    <w:rsid w:val="3870436D"/>
    <w:rsid w:val="38815040"/>
    <w:rsid w:val="389A3CCD"/>
    <w:rsid w:val="389D1465"/>
    <w:rsid w:val="38B13162"/>
    <w:rsid w:val="38D46E50"/>
    <w:rsid w:val="38D66F00"/>
    <w:rsid w:val="38E173A8"/>
    <w:rsid w:val="38F11218"/>
    <w:rsid w:val="38F20BB6"/>
    <w:rsid w:val="3915328B"/>
    <w:rsid w:val="393D49F6"/>
    <w:rsid w:val="394F02CB"/>
    <w:rsid w:val="3974645A"/>
    <w:rsid w:val="3982046D"/>
    <w:rsid w:val="39897470"/>
    <w:rsid w:val="39AE76A2"/>
    <w:rsid w:val="39B527DE"/>
    <w:rsid w:val="39C25083"/>
    <w:rsid w:val="3A0472C2"/>
    <w:rsid w:val="3A116A50"/>
    <w:rsid w:val="3A1204A1"/>
    <w:rsid w:val="3A5271C6"/>
    <w:rsid w:val="3A8B353F"/>
    <w:rsid w:val="3AB54FE0"/>
    <w:rsid w:val="3AD1108C"/>
    <w:rsid w:val="3AD250BD"/>
    <w:rsid w:val="3B093CD5"/>
    <w:rsid w:val="3B3F2CA7"/>
    <w:rsid w:val="3B9C6A51"/>
    <w:rsid w:val="3BBA2AA9"/>
    <w:rsid w:val="3BE21884"/>
    <w:rsid w:val="3BED565D"/>
    <w:rsid w:val="3C247D49"/>
    <w:rsid w:val="3CB7644B"/>
    <w:rsid w:val="3CC6538C"/>
    <w:rsid w:val="3CD92C87"/>
    <w:rsid w:val="3CF4361D"/>
    <w:rsid w:val="3CFB26A5"/>
    <w:rsid w:val="3D015D3A"/>
    <w:rsid w:val="3D485717"/>
    <w:rsid w:val="3D7529B0"/>
    <w:rsid w:val="3D7C3338"/>
    <w:rsid w:val="3D864BBD"/>
    <w:rsid w:val="3D9902ED"/>
    <w:rsid w:val="3DAA0180"/>
    <w:rsid w:val="3DB334D8"/>
    <w:rsid w:val="3DB4132E"/>
    <w:rsid w:val="3DC85C2F"/>
    <w:rsid w:val="3DE94DFA"/>
    <w:rsid w:val="3E29430C"/>
    <w:rsid w:val="3E2B7513"/>
    <w:rsid w:val="3E5C39CD"/>
    <w:rsid w:val="3E5E3CB4"/>
    <w:rsid w:val="3E614CE2"/>
    <w:rsid w:val="3E730A85"/>
    <w:rsid w:val="3E7376BE"/>
    <w:rsid w:val="3E7A5DA4"/>
    <w:rsid w:val="3E940B72"/>
    <w:rsid w:val="3EBE3C01"/>
    <w:rsid w:val="3ED750CD"/>
    <w:rsid w:val="3EE63739"/>
    <w:rsid w:val="3EEC6CA2"/>
    <w:rsid w:val="3EF35847"/>
    <w:rsid w:val="3F06588A"/>
    <w:rsid w:val="3F3D7A8A"/>
    <w:rsid w:val="3F6041AA"/>
    <w:rsid w:val="3F633C15"/>
    <w:rsid w:val="3F650802"/>
    <w:rsid w:val="3F8A0269"/>
    <w:rsid w:val="3F980BD8"/>
    <w:rsid w:val="3FA14A4F"/>
    <w:rsid w:val="3FA71C20"/>
    <w:rsid w:val="3FB52B66"/>
    <w:rsid w:val="3FC3761C"/>
    <w:rsid w:val="3FD036BE"/>
    <w:rsid w:val="3FDC2362"/>
    <w:rsid w:val="3FE0432D"/>
    <w:rsid w:val="3FE756BB"/>
    <w:rsid w:val="401B7113"/>
    <w:rsid w:val="402204A1"/>
    <w:rsid w:val="40273D0A"/>
    <w:rsid w:val="407E7DCE"/>
    <w:rsid w:val="40D43E92"/>
    <w:rsid w:val="40FF1BB1"/>
    <w:rsid w:val="41401527"/>
    <w:rsid w:val="41475C22"/>
    <w:rsid w:val="41677B4A"/>
    <w:rsid w:val="41727207"/>
    <w:rsid w:val="4183754F"/>
    <w:rsid w:val="419D4283"/>
    <w:rsid w:val="41DA4587"/>
    <w:rsid w:val="42336996"/>
    <w:rsid w:val="424D6905"/>
    <w:rsid w:val="424E37D0"/>
    <w:rsid w:val="42717770"/>
    <w:rsid w:val="42DC527F"/>
    <w:rsid w:val="42F8373B"/>
    <w:rsid w:val="43034564"/>
    <w:rsid w:val="431F0F19"/>
    <w:rsid w:val="43291B47"/>
    <w:rsid w:val="433A4FFB"/>
    <w:rsid w:val="433F0C7E"/>
    <w:rsid w:val="434A3F97"/>
    <w:rsid w:val="43615785"/>
    <w:rsid w:val="4364101B"/>
    <w:rsid w:val="436558D0"/>
    <w:rsid w:val="43D16466"/>
    <w:rsid w:val="43E819D5"/>
    <w:rsid w:val="43F05BE4"/>
    <w:rsid w:val="44055877"/>
    <w:rsid w:val="441427F7"/>
    <w:rsid w:val="442742D8"/>
    <w:rsid w:val="442C18EF"/>
    <w:rsid w:val="44507CD3"/>
    <w:rsid w:val="445157F9"/>
    <w:rsid w:val="448F41CA"/>
    <w:rsid w:val="44AD7B6C"/>
    <w:rsid w:val="44E328F5"/>
    <w:rsid w:val="450A60D4"/>
    <w:rsid w:val="45364134"/>
    <w:rsid w:val="45467A41"/>
    <w:rsid w:val="454B2248"/>
    <w:rsid w:val="45562AD0"/>
    <w:rsid w:val="45717C1A"/>
    <w:rsid w:val="45837C34"/>
    <w:rsid w:val="45BE3A53"/>
    <w:rsid w:val="45C94918"/>
    <w:rsid w:val="45E42DDE"/>
    <w:rsid w:val="45ED1D4A"/>
    <w:rsid w:val="45F34DBA"/>
    <w:rsid w:val="46295A03"/>
    <w:rsid w:val="46753A21"/>
    <w:rsid w:val="46A64FFD"/>
    <w:rsid w:val="46AE6F33"/>
    <w:rsid w:val="46BD2CD2"/>
    <w:rsid w:val="46BE6468"/>
    <w:rsid w:val="46DD1482"/>
    <w:rsid w:val="46F8311B"/>
    <w:rsid w:val="47041DB5"/>
    <w:rsid w:val="470A2D16"/>
    <w:rsid w:val="472B3A30"/>
    <w:rsid w:val="47372A84"/>
    <w:rsid w:val="47411B55"/>
    <w:rsid w:val="477171F4"/>
    <w:rsid w:val="47721D0E"/>
    <w:rsid w:val="477E19A4"/>
    <w:rsid w:val="47954FA9"/>
    <w:rsid w:val="47B8413C"/>
    <w:rsid w:val="47CC34D9"/>
    <w:rsid w:val="47DE3ECB"/>
    <w:rsid w:val="47EF27E4"/>
    <w:rsid w:val="47F87820"/>
    <w:rsid w:val="481F2280"/>
    <w:rsid w:val="484511D1"/>
    <w:rsid w:val="48957B2C"/>
    <w:rsid w:val="48BA7146"/>
    <w:rsid w:val="48D304E1"/>
    <w:rsid w:val="48FA645F"/>
    <w:rsid w:val="49052092"/>
    <w:rsid w:val="49083882"/>
    <w:rsid w:val="490A7EAF"/>
    <w:rsid w:val="493306AB"/>
    <w:rsid w:val="49496A9F"/>
    <w:rsid w:val="498521CD"/>
    <w:rsid w:val="498E0956"/>
    <w:rsid w:val="4991263B"/>
    <w:rsid w:val="49B04D70"/>
    <w:rsid w:val="49B40EE0"/>
    <w:rsid w:val="49CE4453"/>
    <w:rsid w:val="49DC1795"/>
    <w:rsid w:val="49DF3CFD"/>
    <w:rsid w:val="49FD6207"/>
    <w:rsid w:val="4A462381"/>
    <w:rsid w:val="4A5D6CA6"/>
    <w:rsid w:val="4AFD5D93"/>
    <w:rsid w:val="4B02377E"/>
    <w:rsid w:val="4B3C56F2"/>
    <w:rsid w:val="4B3D719F"/>
    <w:rsid w:val="4B543A83"/>
    <w:rsid w:val="4B6C4CC7"/>
    <w:rsid w:val="4B737AD7"/>
    <w:rsid w:val="4B8678A9"/>
    <w:rsid w:val="4BC06560"/>
    <w:rsid w:val="4BF6262F"/>
    <w:rsid w:val="4BF963BB"/>
    <w:rsid w:val="4C221261"/>
    <w:rsid w:val="4C550EDA"/>
    <w:rsid w:val="4C7C7576"/>
    <w:rsid w:val="4C88610C"/>
    <w:rsid w:val="4CA40537"/>
    <w:rsid w:val="4CBC1206"/>
    <w:rsid w:val="4CC76658"/>
    <w:rsid w:val="4CE216E4"/>
    <w:rsid w:val="4CE36F4D"/>
    <w:rsid w:val="4CE950A6"/>
    <w:rsid w:val="4D500427"/>
    <w:rsid w:val="4D6E30FB"/>
    <w:rsid w:val="4D7B064A"/>
    <w:rsid w:val="4DD80FDB"/>
    <w:rsid w:val="4DE3533E"/>
    <w:rsid w:val="4DEA6AA2"/>
    <w:rsid w:val="4E19574A"/>
    <w:rsid w:val="4E38388D"/>
    <w:rsid w:val="4E5B57EC"/>
    <w:rsid w:val="4ED166E8"/>
    <w:rsid w:val="4F4D5BA9"/>
    <w:rsid w:val="4FB530E0"/>
    <w:rsid w:val="4FC7696F"/>
    <w:rsid w:val="4FD94E00"/>
    <w:rsid w:val="4FF37764"/>
    <w:rsid w:val="503C59E2"/>
    <w:rsid w:val="5064156E"/>
    <w:rsid w:val="507375BC"/>
    <w:rsid w:val="5075461D"/>
    <w:rsid w:val="50836D3A"/>
    <w:rsid w:val="508B3E41"/>
    <w:rsid w:val="50A301C7"/>
    <w:rsid w:val="50BA546C"/>
    <w:rsid w:val="50BF5CCD"/>
    <w:rsid w:val="50CC1360"/>
    <w:rsid w:val="50EF2890"/>
    <w:rsid w:val="510734C7"/>
    <w:rsid w:val="51215A09"/>
    <w:rsid w:val="5139389D"/>
    <w:rsid w:val="51426BF5"/>
    <w:rsid w:val="5147420C"/>
    <w:rsid w:val="51603128"/>
    <w:rsid w:val="518A09D7"/>
    <w:rsid w:val="51C94C21"/>
    <w:rsid w:val="51D320A3"/>
    <w:rsid w:val="51FD2B1C"/>
    <w:rsid w:val="51FE2432"/>
    <w:rsid w:val="52625B00"/>
    <w:rsid w:val="52684A47"/>
    <w:rsid w:val="52750800"/>
    <w:rsid w:val="52953F5A"/>
    <w:rsid w:val="52B01D3B"/>
    <w:rsid w:val="52B7716F"/>
    <w:rsid w:val="52ED4137"/>
    <w:rsid w:val="530B77CA"/>
    <w:rsid w:val="53193986"/>
    <w:rsid w:val="531B5950"/>
    <w:rsid w:val="532F4F57"/>
    <w:rsid w:val="536A4292"/>
    <w:rsid w:val="53AC0356"/>
    <w:rsid w:val="53B77CE7"/>
    <w:rsid w:val="53C11BA9"/>
    <w:rsid w:val="53C92CCD"/>
    <w:rsid w:val="53D31D87"/>
    <w:rsid w:val="53EA0E7E"/>
    <w:rsid w:val="54012974"/>
    <w:rsid w:val="54352A41"/>
    <w:rsid w:val="545509EE"/>
    <w:rsid w:val="54606E7B"/>
    <w:rsid w:val="547A26E9"/>
    <w:rsid w:val="548D6C7E"/>
    <w:rsid w:val="54B27BEE"/>
    <w:rsid w:val="5538365E"/>
    <w:rsid w:val="55B70495"/>
    <w:rsid w:val="55B8083D"/>
    <w:rsid w:val="55C25A6F"/>
    <w:rsid w:val="55D43B94"/>
    <w:rsid w:val="55DB29DC"/>
    <w:rsid w:val="560165A7"/>
    <w:rsid w:val="562A4416"/>
    <w:rsid w:val="562C1BF2"/>
    <w:rsid w:val="5637484F"/>
    <w:rsid w:val="56443FDE"/>
    <w:rsid w:val="565B363B"/>
    <w:rsid w:val="56A86F71"/>
    <w:rsid w:val="56AD37E3"/>
    <w:rsid w:val="56C41E5B"/>
    <w:rsid w:val="56D27B8C"/>
    <w:rsid w:val="57296EEC"/>
    <w:rsid w:val="573214BA"/>
    <w:rsid w:val="573934B4"/>
    <w:rsid w:val="573C7C43"/>
    <w:rsid w:val="57450148"/>
    <w:rsid w:val="575B7BC6"/>
    <w:rsid w:val="575E1D1B"/>
    <w:rsid w:val="57E01A8B"/>
    <w:rsid w:val="57E60086"/>
    <w:rsid w:val="57F970E5"/>
    <w:rsid w:val="58392FD8"/>
    <w:rsid w:val="58733B38"/>
    <w:rsid w:val="589F0489"/>
    <w:rsid w:val="58B34115"/>
    <w:rsid w:val="58C972BA"/>
    <w:rsid w:val="592E4B27"/>
    <w:rsid w:val="593A2A85"/>
    <w:rsid w:val="59441031"/>
    <w:rsid w:val="596F2552"/>
    <w:rsid w:val="59837DAB"/>
    <w:rsid w:val="59935CB2"/>
    <w:rsid w:val="59A0095D"/>
    <w:rsid w:val="59AA292D"/>
    <w:rsid w:val="59B2069E"/>
    <w:rsid w:val="59B241EC"/>
    <w:rsid w:val="5A074538"/>
    <w:rsid w:val="5A225181"/>
    <w:rsid w:val="5A722FE0"/>
    <w:rsid w:val="5A781F79"/>
    <w:rsid w:val="5AA47FD9"/>
    <w:rsid w:val="5AD758B9"/>
    <w:rsid w:val="5B150ED7"/>
    <w:rsid w:val="5B81022D"/>
    <w:rsid w:val="5B980CB9"/>
    <w:rsid w:val="5BA67D81"/>
    <w:rsid w:val="5BAA50AB"/>
    <w:rsid w:val="5BC052E6"/>
    <w:rsid w:val="5BC62EA9"/>
    <w:rsid w:val="5BC6762F"/>
    <w:rsid w:val="5BFC7A7E"/>
    <w:rsid w:val="5BFE196B"/>
    <w:rsid w:val="5BFE7BBD"/>
    <w:rsid w:val="5C3747E5"/>
    <w:rsid w:val="5C551AB2"/>
    <w:rsid w:val="5C7A30CB"/>
    <w:rsid w:val="5C837D51"/>
    <w:rsid w:val="5CA0231D"/>
    <w:rsid w:val="5CC42BB4"/>
    <w:rsid w:val="5D091B75"/>
    <w:rsid w:val="5D213B63"/>
    <w:rsid w:val="5D21796D"/>
    <w:rsid w:val="5D323FC2"/>
    <w:rsid w:val="5D450E12"/>
    <w:rsid w:val="5D4D4958"/>
    <w:rsid w:val="5D706898"/>
    <w:rsid w:val="5DA20C92"/>
    <w:rsid w:val="5DCA427C"/>
    <w:rsid w:val="5DD832A1"/>
    <w:rsid w:val="5DE27796"/>
    <w:rsid w:val="5DFC1EDA"/>
    <w:rsid w:val="5DFE5C52"/>
    <w:rsid w:val="5E2B2C40"/>
    <w:rsid w:val="5E2F0501"/>
    <w:rsid w:val="5E346C10"/>
    <w:rsid w:val="5E8B5AC7"/>
    <w:rsid w:val="5EBA426F"/>
    <w:rsid w:val="5EDB7FAF"/>
    <w:rsid w:val="5EE906B0"/>
    <w:rsid w:val="5F13572D"/>
    <w:rsid w:val="5F2C4C16"/>
    <w:rsid w:val="5F781A34"/>
    <w:rsid w:val="5F7C67D2"/>
    <w:rsid w:val="5F84250C"/>
    <w:rsid w:val="5F85487D"/>
    <w:rsid w:val="5F9A5E4E"/>
    <w:rsid w:val="5F9A62A0"/>
    <w:rsid w:val="5FB17F94"/>
    <w:rsid w:val="5FEC59D3"/>
    <w:rsid w:val="5FF26ACB"/>
    <w:rsid w:val="601B4DC9"/>
    <w:rsid w:val="60485BB9"/>
    <w:rsid w:val="60B46BD1"/>
    <w:rsid w:val="60B54542"/>
    <w:rsid w:val="60ED1779"/>
    <w:rsid w:val="60FE708C"/>
    <w:rsid w:val="60FF6494"/>
    <w:rsid w:val="610F4066"/>
    <w:rsid w:val="612754C0"/>
    <w:rsid w:val="61412A26"/>
    <w:rsid w:val="61517419"/>
    <w:rsid w:val="618F68F6"/>
    <w:rsid w:val="61D94A0C"/>
    <w:rsid w:val="624A069A"/>
    <w:rsid w:val="625D388F"/>
    <w:rsid w:val="62717C46"/>
    <w:rsid w:val="62816E52"/>
    <w:rsid w:val="62BA2508"/>
    <w:rsid w:val="62BC21B7"/>
    <w:rsid w:val="62C169B9"/>
    <w:rsid w:val="62C475B9"/>
    <w:rsid w:val="63170851"/>
    <w:rsid w:val="634A36E8"/>
    <w:rsid w:val="63731CE7"/>
    <w:rsid w:val="63754C08"/>
    <w:rsid w:val="637D59BA"/>
    <w:rsid w:val="638766EA"/>
    <w:rsid w:val="638825CB"/>
    <w:rsid w:val="638E5CCA"/>
    <w:rsid w:val="639C7ED5"/>
    <w:rsid w:val="63B84AF5"/>
    <w:rsid w:val="63ED29F1"/>
    <w:rsid w:val="64081A1F"/>
    <w:rsid w:val="64102DDE"/>
    <w:rsid w:val="64504D2E"/>
    <w:rsid w:val="64936004"/>
    <w:rsid w:val="649C4420"/>
    <w:rsid w:val="64A13976"/>
    <w:rsid w:val="64B85EA2"/>
    <w:rsid w:val="64D5643B"/>
    <w:rsid w:val="64EA68D9"/>
    <w:rsid w:val="64FF6124"/>
    <w:rsid w:val="651D10B4"/>
    <w:rsid w:val="65730E8D"/>
    <w:rsid w:val="657B64AF"/>
    <w:rsid w:val="65801643"/>
    <w:rsid w:val="65983469"/>
    <w:rsid w:val="660539D2"/>
    <w:rsid w:val="66557471"/>
    <w:rsid w:val="66BA2932"/>
    <w:rsid w:val="66CA77F2"/>
    <w:rsid w:val="670C0300"/>
    <w:rsid w:val="67770271"/>
    <w:rsid w:val="679D472E"/>
    <w:rsid w:val="67A36AE4"/>
    <w:rsid w:val="67A94E81"/>
    <w:rsid w:val="67AB3C8F"/>
    <w:rsid w:val="67AB6E4B"/>
    <w:rsid w:val="67C1666E"/>
    <w:rsid w:val="67D55C76"/>
    <w:rsid w:val="68050429"/>
    <w:rsid w:val="681A3FDE"/>
    <w:rsid w:val="681B59F8"/>
    <w:rsid w:val="68306E82"/>
    <w:rsid w:val="68517B11"/>
    <w:rsid w:val="6876037C"/>
    <w:rsid w:val="68B2373B"/>
    <w:rsid w:val="68F148CF"/>
    <w:rsid w:val="68F24605"/>
    <w:rsid w:val="69160588"/>
    <w:rsid w:val="694F7CAA"/>
    <w:rsid w:val="69863787"/>
    <w:rsid w:val="69B343B3"/>
    <w:rsid w:val="69C064B2"/>
    <w:rsid w:val="6A1F5C44"/>
    <w:rsid w:val="6A2353BE"/>
    <w:rsid w:val="6A2904FB"/>
    <w:rsid w:val="6A3E10B0"/>
    <w:rsid w:val="6A4964A7"/>
    <w:rsid w:val="6A6A2BB1"/>
    <w:rsid w:val="6A7151DF"/>
    <w:rsid w:val="6A9516EC"/>
    <w:rsid w:val="6AA162E3"/>
    <w:rsid w:val="6AAF0A00"/>
    <w:rsid w:val="6AB4471D"/>
    <w:rsid w:val="6AE20E39"/>
    <w:rsid w:val="6B0C0C5C"/>
    <w:rsid w:val="6B292079"/>
    <w:rsid w:val="6B467E6F"/>
    <w:rsid w:val="6BAA605B"/>
    <w:rsid w:val="6BE02E3B"/>
    <w:rsid w:val="6C0C59DE"/>
    <w:rsid w:val="6C1F74A7"/>
    <w:rsid w:val="6C521745"/>
    <w:rsid w:val="6C5309A3"/>
    <w:rsid w:val="6CB47A23"/>
    <w:rsid w:val="6CC938CF"/>
    <w:rsid w:val="6CED5810"/>
    <w:rsid w:val="6D1014FE"/>
    <w:rsid w:val="6D33797F"/>
    <w:rsid w:val="6D3C6797"/>
    <w:rsid w:val="6D562512"/>
    <w:rsid w:val="6D5B09CB"/>
    <w:rsid w:val="6D9A2A48"/>
    <w:rsid w:val="6DA305C4"/>
    <w:rsid w:val="6DB80994"/>
    <w:rsid w:val="6DB8406F"/>
    <w:rsid w:val="6DC60BBB"/>
    <w:rsid w:val="6DC742B3"/>
    <w:rsid w:val="6DE851B1"/>
    <w:rsid w:val="6E0F3C02"/>
    <w:rsid w:val="6E2D71A3"/>
    <w:rsid w:val="6E677844"/>
    <w:rsid w:val="6E79786D"/>
    <w:rsid w:val="6E7C1985"/>
    <w:rsid w:val="6EA12D56"/>
    <w:rsid w:val="6EA1776B"/>
    <w:rsid w:val="6EC539CE"/>
    <w:rsid w:val="6EDF3B73"/>
    <w:rsid w:val="6EE5611E"/>
    <w:rsid w:val="6EF914F5"/>
    <w:rsid w:val="6FC32969"/>
    <w:rsid w:val="700A66D9"/>
    <w:rsid w:val="700E441B"/>
    <w:rsid w:val="70131A31"/>
    <w:rsid w:val="70443189"/>
    <w:rsid w:val="706109EE"/>
    <w:rsid w:val="70647888"/>
    <w:rsid w:val="70701516"/>
    <w:rsid w:val="707A0DD5"/>
    <w:rsid w:val="70974410"/>
    <w:rsid w:val="709B3ABD"/>
    <w:rsid w:val="70A03A94"/>
    <w:rsid w:val="71120570"/>
    <w:rsid w:val="71310AC2"/>
    <w:rsid w:val="714D0842"/>
    <w:rsid w:val="718814E9"/>
    <w:rsid w:val="71974BE0"/>
    <w:rsid w:val="71C75218"/>
    <w:rsid w:val="720D24B0"/>
    <w:rsid w:val="721E646B"/>
    <w:rsid w:val="72312285"/>
    <w:rsid w:val="724C3314"/>
    <w:rsid w:val="72664E5B"/>
    <w:rsid w:val="726A16B0"/>
    <w:rsid w:val="72C47013"/>
    <w:rsid w:val="72D17CEA"/>
    <w:rsid w:val="72EB4117"/>
    <w:rsid w:val="72FE5336"/>
    <w:rsid w:val="73A429A0"/>
    <w:rsid w:val="73CF71A8"/>
    <w:rsid w:val="73F80521"/>
    <w:rsid w:val="741713C4"/>
    <w:rsid w:val="74213FF1"/>
    <w:rsid w:val="74566390"/>
    <w:rsid w:val="74683CF5"/>
    <w:rsid w:val="746C5BB4"/>
    <w:rsid w:val="74884354"/>
    <w:rsid w:val="7499671F"/>
    <w:rsid w:val="749E5641"/>
    <w:rsid w:val="74AF57A2"/>
    <w:rsid w:val="74B86703"/>
    <w:rsid w:val="74F636CF"/>
    <w:rsid w:val="74FE6101"/>
    <w:rsid w:val="75003290"/>
    <w:rsid w:val="75306BE1"/>
    <w:rsid w:val="753A4311"/>
    <w:rsid w:val="75526B58"/>
    <w:rsid w:val="758A00FB"/>
    <w:rsid w:val="75AC3DC3"/>
    <w:rsid w:val="75C80BC8"/>
    <w:rsid w:val="75D35B60"/>
    <w:rsid w:val="75D43A11"/>
    <w:rsid w:val="75D457BF"/>
    <w:rsid w:val="75D752AF"/>
    <w:rsid w:val="76285B0A"/>
    <w:rsid w:val="76AF1D88"/>
    <w:rsid w:val="76EC75C5"/>
    <w:rsid w:val="77362F15"/>
    <w:rsid w:val="77383B2B"/>
    <w:rsid w:val="774626EC"/>
    <w:rsid w:val="77514BED"/>
    <w:rsid w:val="77531160"/>
    <w:rsid w:val="775A7F45"/>
    <w:rsid w:val="77BB4637"/>
    <w:rsid w:val="77C82F01"/>
    <w:rsid w:val="77E553A8"/>
    <w:rsid w:val="77FE2FC7"/>
    <w:rsid w:val="782F17EF"/>
    <w:rsid w:val="78433660"/>
    <w:rsid w:val="78462AE9"/>
    <w:rsid w:val="784B0E08"/>
    <w:rsid w:val="786D4A31"/>
    <w:rsid w:val="78B92171"/>
    <w:rsid w:val="78BE2756"/>
    <w:rsid w:val="78D83818"/>
    <w:rsid w:val="79096425"/>
    <w:rsid w:val="792E03F6"/>
    <w:rsid w:val="79ED5B46"/>
    <w:rsid w:val="7A30625E"/>
    <w:rsid w:val="7A446C6E"/>
    <w:rsid w:val="7A454EDD"/>
    <w:rsid w:val="7A6335B5"/>
    <w:rsid w:val="7A6A66F1"/>
    <w:rsid w:val="7A6F5AB6"/>
    <w:rsid w:val="7A886A8A"/>
    <w:rsid w:val="7A9D6AC7"/>
    <w:rsid w:val="7AAC05DE"/>
    <w:rsid w:val="7B145A11"/>
    <w:rsid w:val="7B206849"/>
    <w:rsid w:val="7B735D15"/>
    <w:rsid w:val="7BCD518A"/>
    <w:rsid w:val="7BFC15CB"/>
    <w:rsid w:val="7C156612"/>
    <w:rsid w:val="7C2C4136"/>
    <w:rsid w:val="7C3B575E"/>
    <w:rsid w:val="7C655D5E"/>
    <w:rsid w:val="7C8A307B"/>
    <w:rsid w:val="7CAA1027"/>
    <w:rsid w:val="7CB2612E"/>
    <w:rsid w:val="7CBC5BAF"/>
    <w:rsid w:val="7CF75F3E"/>
    <w:rsid w:val="7D1110A6"/>
    <w:rsid w:val="7D717D97"/>
    <w:rsid w:val="7DCF13F7"/>
    <w:rsid w:val="7DFA4230"/>
    <w:rsid w:val="7E69126D"/>
    <w:rsid w:val="7EAA3560"/>
    <w:rsid w:val="7EBA4E3B"/>
    <w:rsid w:val="7ED6157A"/>
    <w:rsid w:val="7EDA196C"/>
    <w:rsid w:val="7EE10F4C"/>
    <w:rsid w:val="7F0C3488"/>
    <w:rsid w:val="7F111831"/>
    <w:rsid w:val="7F150158"/>
    <w:rsid w:val="7F54171E"/>
    <w:rsid w:val="7F631B2A"/>
    <w:rsid w:val="7F685CA6"/>
    <w:rsid w:val="7FBA7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iPriority="99"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pPr>
    <w:rPr>
      <w:rFonts w:ascii="Times New Roman" w:hAnsi="Times New Roman" w:eastAsia="宋体" w:cs="Times New Roman"/>
      <w:kern w:val="2"/>
      <w:sz w:val="28"/>
      <w:szCs w:val="24"/>
      <w:lang w:val="en-US" w:eastAsia="zh-CN" w:bidi="ar-SA"/>
    </w:rPr>
  </w:style>
  <w:style w:type="paragraph" w:styleId="3">
    <w:name w:val="heading 1"/>
    <w:basedOn w:val="1"/>
    <w:next w:val="1"/>
    <w:link w:val="89"/>
    <w:qFormat/>
    <w:uiPriority w:val="0"/>
    <w:pPr>
      <w:pageBreakBefore/>
      <w:spacing w:before="120" w:after="240"/>
      <w:ind w:firstLine="0" w:firstLineChars="0"/>
      <w:jc w:val="center"/>
      <w:outlineLvl w:val="0"/>
    </w:pPr>
    <w:rPr>
      <w:rFonts w:eastAsia="黑体"/>
      <w:bCs/>
      <w:kern w:val="44"/>
      <w:sz w:val="32"/>
      <w:szCs w:val="44"/>
    </w:rPr>
  </w:style>
  <w:style w:type="paragraph" w:styleId="4">
    <w:name w:val="heading 2"/>
    <w:basedOn w:val="1"/>
    <w:next w:val="1"/>
    <w:link w:val="90"/>
    <w:unhideWhenUsed/>
    <w:qFormat/>
    <w:uiPriority w:val="0"/>
    <w:pPr>
      <w:keepNext/>
      <w:keepLines/>
      <w:spacing w:before="120" w:after="120"/>
      <w:outlineLvl w:val="1"/>
    </w:pPr>
    <w:rPr>
      <w:rFonts w:ascii="Arial" w:hAnsi="Arial"/>
      <w:b/>
      <w:sz w:val="30"/>
    </w:rPr>
  </w:style>
  <w:style w:type="paragraph" w:styleId="5">
    <w:name w:val="heading 3"/>
    <w:basedOn w:val="1"/>
    <w:next w:val="1"/>
    <w:link w:val="91"/>
    <w:unhideWhenUsed/>
    <w:qFormat/>
    <w:uiPriority w:val="0"/>
    <w:pPr>
      <w:keepNext/>
      <w:keepLines/>
      <w:spacing w:after="120"/>
      <w:outlineLvl w:val="2"/>
    </w:pPr>
    <w:rPr>
      <w:b/>
    </w:rPr>
  </w:style>
  <w:style w:type="paragraph" w:styleId="6">
    <w:name w:val="heading 4"/>
    <w:basedOn w:val="1"/>
    <w:next w:val="1"/>
    <w:link w:val="92"/>
    <w:qFormat/>
    <w:uiPriority w:val="0"/>
    <w:pPr>
      <w:keepNext/>
      <w:keepLines/>
      <w:spacing w:before="280" w:after="290" w:line="376" w:lineRule="auto"/>
      <w:jc w:val="both"/>
      <w:outlineLvl w:val="3"/>
    </w:pPr>
    <w:rPr>
      <w:rFonts w:ascii="Arial" w:hAnsi="Arial" w:eastAsia="黑体"/>
      <w:b/>
      <w:bCs/>
      <w:szCs w:val="28"/>
    </w:rPr>
  </w:style>
  <w:style w:type="paragraph" w:styleId="7">
    <w:name w:val="heading 5"/>
    <w:basedOn w:val="1"/>
    <w:next w:val="1"/>
    <w:link w:val="93"/>
    <w:qFormat/>
    <w:uiPriority w:val="0"/>
    <w:pPr>
      <w:keepNext/>
      <w:keepLines/>
      <w:spacing w:before="280" w:after="290" w:line="376" w:lineRule="auto"/>
      <w:jc w:val="both"/>
      <w:outlineLvl w:val="4"/>
    </w:pPr>
    <w:rPr>
      <w:b/>
      <w:bCs/>
      <w:szCs w:val="28"/>
    </w:rPr>
  </w:style>
  <w:style w:type="paragraph" w:styleId="8">
    <w:name w:val="heading 6"/>
    <w:basedOn w:val="1"/>
    <w:next w:val="1"/>
    <w:link w:val="211"/>
    <w:qFormat/>
    <w:uiPriority w:val="0"/>
    <w:pPr>
      <w:keepNext/>
      <w:keepLines/>
      <w:tabs>
        <w:tab w:val="left" w:pos="1152"/>
      </w:tabs>
      <w:adjustRightInd/>
      <w:snapToGrid/>
      <w:spacing w:before="240" w:after="64" w:line="320" w:lineRule="auto"/>
      <w:ind w:left="1152" w:hanging="1152" w:firstLineChars="0"/>
      <w:jc w:val="both"/>
      <w:outlineLvl w:val="5"/>
    </w:pPr>
    <w:rPr>
      <w:rFonts w:ascii="Arial" w:hAnsi="Arial" w:eastAsia="黑体"/>
      <w:b/>
      <w:bCs/>
      <w:sz w:val="24"/>
    </w:rPr>
  </w:style>
  <w:style w:type="paragraph" w:styleId="9">
    <w:name w:val="heading 7"/>
    <w:basedOn w:val="1"/>
    <w:next w:val="1"/>
    <w:link w:val="212"/>
    <w:qFormat/>
    <w:uiPriority w:val="0"/>
    <w:pPr>
      <w:keepNext/>
      <w:keepLines/>
      <w:tabs>
        <w:tab w:val="left" w:pos="1296"/>
      </w:tabs>
      <w:adjustRightInd/>
      <w:snapToGrid/>
      <w:spacing w:before="240" w:after="64" w:line="320" w:lineRule="auto"/>
      <w:ind w:left="1296" w:hanging="1296" w:firstLineChars="0"/>
      <w:jc w:val="both"/>
      <w:outlineLvl w:val="6"/>
    </w:pPr>
    <w:rPr>
      <w:b/>
      <w:bCs/>
      <w:sz w:val="24"/>
    </w:rPr>
  </w:style>
  <w:style w:type="paragraph" w:styleId="10">
    <w:name w:val="heading 8"/>
    <w:basedOn w:val="1"/>
    <w:next w:val="1"/>
    <w:link w:val="213"/>
    <w:qFormat/>
    <w:uiPriority w:val="0"/>
    <w:pPr>
      <w:keepNext/>
      <w:keepLines/>
      <w:tabs>
        <w:tab w:val="left" w:pos="1440"/>
      </w:tabs>
      <w:adjustRightInd/>
      <w:snapToGrid/>
      <w:spacing w:before="240" w:after="64" w:line="320" w:lineRule="auto"/>
      <w:ind w:left="1440" w:hanging="1440" w:firstLineChars="0"/>
      <w:jc w:val="both"/>
      <w:outlineLvl w:val="7"/>
    </w:pPr>
    <w:rPr>
      <w:rFonts w:ascii="Arial" w:hAnsi="Arial" w:eastAsia="黑体"/>
      <w:sz w:val="24"/>
    </w:rPr>
  </w:style>
  <w:style w:type="paragraph" w:styleId="11">
    <w:name w:val="heading 9"/>
    <w:basedOn w:val="1"/>
    <w:next w:val="1"/>
    <w:link w:val="214"/>
    <w:qFormat/>
    <w:uiPriority w:val="0"/>
    <w:pPr>
      <w:keepNext/>
      <w:keepLines/>
      <w:tabs>
        <w:tab w:val="left" w:pos="1584"/>
      </w:tabs>
      <w:adjustRightInd/>
      <w:snapToGrid/>
      <w:spacing w:before="240" w:after="64" w:line="320" w:lineRule="auto"/>
      <w:ind w:left="1584" w:hanging="1584" w:firstLineChars="0"/>
      <w:jc w:val="both"/>
      <w:outlineLvl w:val="8"/>
    </w:pPr>
    <w:rPr>
      <w:rFonts w:ascii="Arial" w:hAnsi="Arial" w:eastAsia="黑体"/>
      <w:sz w:val="21"/>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macro"/>
    <w:link w:val="82"/>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200" w:firstLineChars="200"/>
    </w:pPr>
    <w:rPr>
      <w:rFonts w:ascii="Courier New" w:hAnsi="Courier New" w:eastAsia="宋体" w:cs="Times New Roman"/>
      <w:kern w:val="2"/>
      <w:sz w:val="24"/>
      <w:szCs w:val="24"/>
      <w:lang w:val="en-US" w:eastAsia="zh-CN" w:bidi="ar-SA"/>
    </w:rPr>
  </w:style>
  <w:style w:type="paragraph" w:styleId="12">
    <w:name w:val="toc 7"/>
    <w:basedOn w:val="1"/>
    <w:next w:val="1"/>
    <w:qFormat/>
    <w:uiPriority w:val="39"/>
    <w:pPr>
      <w:ind w:left="2520" w:leftChars="1200"/>
      <w:jc w:val="both"/>
    </w:pPr>
  </w:style>
  <w:style w:type="paragraph" w:styleId="13">
    <w:name w:val="Normal Indent"/>
    <w:basedOn w:val="1"/>
    <w:link w:val="94"/>
    <w:qFormat/>
    <w:uiPriority w:val="0"/>
    <w:pPr>
      <w:spacing w:line="360" w:lineRule="atLeast"/>
      <w:ind w:firstLine="420"/>
      <w:textAlignment w:val="baseline"/>
    </w:pPr>
    <w:rPr>
      <w:kern w:val="0"/>
      <w:sz w:val="24"/>
      <w:szCs w:val="20"/>
    </w:rPr>
  </w:style>
  <w:style w:type="paragraph" w:styleId="14">
    <w:name w:val="caption"/>
    <w:basedOn w:val="1"/>
    <w:next w:val="1"/>
    <w:qFormat/>
    <w:uiPriority w:val="35"/>
    <w:pPr>
      <w:adjustRightInd/>
      <w:snapToGrid/>
      <w:spacing w:line="240" w:lineRule="auto"/>
      <w:ind w:firstLine="0" w:firstLineChars="0"/>
      <w:jc w:val="both"/>
    </w:pPr>
    <w:rPr>
      <w:rFonts w:ascii="Arial" w:hAnsi="Arial" w:eastAsia="黑体"/>
      <w:sz w:val="20"/>
      <w:szCs w:val="20"/>
    </w:rPr>
  </w:style>
  <w:style w:type="paragraph" w:styleId="15">
    <w:name w:val="Document Map"/>
    <w:basedOn w:val="1"/>
    <w:link w:val="95"/>
    <w:unhideWhenUsed/>
    <w:qFormat/>
    <w:uiPriority w:val="99"/>
    <w:pPr>
      <w:shd w:val="clear" w:color="auto" w:fill="FFFFFF"/>
    </w:pPr>
  </w:style>
  <w:style w:type="paragraph" w:styleId="16">
    <w:name w:val="annotation text"/>
    <w:basedOn w:val="1"/>
    <w:link w:val="83"/>
    <w:qFormat/>
    <w:uiPriority w:val="99"/>
  </w:style>
  <w:style w:type="paragraph" w:styleId="17">
    <w:name w:val="Body Text 3"/>
    <w:basedOn w:val="1"/>
    <w:link w:val="84"/>
    <w:qFormat/>
    <w:uiPriority w:val="0"/>
    <w:pPr>
      <w:spacing w:after="120"/>
      <w:jc w:val="both"/>
    </w:pPr>
    <w:rPr>
      <w:sz w:val="16"/>
      <w:szCs w:val="16"/>
    </w:rPr>
  </w:style>
  <w:style w:type="paragraph" w:styleId="18">
    <w:name w:val="Body Text"/>
    <w:basedOn w:val="1"/>
    <w:link w:val="76"/>
    <w:qFormat/>
    <w:uiPriority w:val="0"/>
    <w:pPr>
      <w:spacing w:line="500" w:lineRule="exact"/>
    </w:pPr>
    <w:rPr>
      <w:szCs w:val="30"/>
    </w:rPr>
  </w:style>
  <w:style w:type="paragraph" w:styleId="19">
    <w:name w:val="Body Text Indent"/>
    <w:basedOn w:val="1"/>
    <w:link w:val="96"/>
    <w:qFormat/>
    <w:uiPriority w:val="0"/>
    <w:pPr>
      <w:ind w:firstLine="560"/>
    </w:pPr>
  </w:style>
  <w:style w:type="paragraph" w:styleId="20">
    <w:name w:val="List 2"/>
    <w:basedOn w:val="1"/>
    <w:qFormat/>
    <w:uiPriority w:val="0"/>
    <w:pPr>
      <w:adjustRightInd/>
      <w:snapToGrid/>
      <w:spacing w:line="240" w:lineRule="auto"/>
      <w:ind w:left="100" w:leftChars="200" w:hanging="200" w:hangingChars="200"/>
      <w:jc w:val="both"/>
    </w:pPr>
    <w:rPr>
      <w:rFonts w:eastAsia="仿宋_GB2312"/>
    </w:rPr>
  </w:style>
  <w:style w:type="paragraph" w:styleId="21">
    <w:name w:val="toc 5"/>
    <w:basedOn w:val="1"/>
    <w:next w:val="1"/>
    <w:qFormat/>
    <w:uiPriority w:val="39"/>
    <w:pPr>
      <w:ind w:left="1680" w:leftChars="800"/>
      <w:jc w:val="both"/>
    </w:pPr>
  </w:style>
  <w:style w:type="paragraph" w:styleId="22">
    <w:name w:val="toc 3"/>
    <w:basedOn w:val="1"/>
    <w:next w:val="1"/>
    <w:qFormat/>
    <w:uiPriority w:val="39"/>
    <w:pPr>
      <w:ind w:left="840" w:leftChars="400"/>
      <w:jc w:val="both"/>
    </w:pPr>
  </w:style>
  <w:style w:type="paragraph" w:styleId="23">
    <w:name w:val="Plain Text"/>
    <w:basedOn w:val="1"/>
    <w:link w:val="97"/>
    <w:qFormat/>
    <w:uiPriority w:val="0"/>
    <w:pPr>
      <w:jc w:val="both"/>
    </w:pPr>
    <w:rPr>
      <w:rFonts w:ascii="宋体" w:hAnsi="Courier New"/>
      <w:sz w:val="21"/>
      <w:szCs w:val="20"/>
    </w:rPr>
  </w:style>
  <w:style w:type="paragraph" w:styleId="24">
    <w:name w:val="toc 8"/>
    <w:basedOn w:val="1"/>
    <w:next w:val="1"/>
    <w:qFormat/>
    <w:uiPriority w:val="39"/>
    <w:pPr>
      <w:ind w:left="2940" w:leftChars="1400"/>
      <w:jc w:val="both"/>
    </w:pPr>
  </w:style>
  <w:style w:type="paragraph" w:styleId="25">
    <w:name w:val="Date"/>
    <w:basedOn w:val="1"/>
    <w:next w:val="1"/>
    <w:link w:val="215"/>
    <w:qFormat/>
    <w:uiPriority w:val="0"/>
    <w:pPr>
      <w:adjustRightInd/>
      <w:snapToGrid/>
      <w:spacing w:line="480" w:lineRule="exact"/>
      <w:ind w:left="100" w:leftChars="2500" w:firstLine="640"/>
      <w:jc w:val="both"/>
    </w:pPr>
    <w:rPr>
      <w:spacing w:val="20"/>
    </w:rPr>
  </w:style>
  <w:style w:type="paragraph" w:styleId="26">
    <w:name w:val="Body Text Indent 2"/>
    <w:basedOn w:val="1"/>
    <w:link w:val="216"/>
    <w:qFormat/>
    <w:uiPriority w:val="0"/>
    <w:pPr>
      <w:adjustRightInd/>
      <w:snapToGrid/>
      <w:spacing w:line="480" w:lineRule="exact"/>
      <w:ind w:firstLine="631"/>
      <w:jc w:val="both"/>
    </w:pPr>
    <w:rPr>
      <w:b/>
      <w:bCs/>
      <w:spacing w:val="20"/>
    </w:rPr>
  </w:style>
  <w:style w:type="paragraph" w:styleId="27">
    <w:name w:val="Balloon Text"/>
    <w:basedOn w:val="1"/>
    <w:link w:val="86"/>
    <w:qFormat/>
    <w:uiPriority w:val="99"/>
    <w:pPr>
      <w:jc w:val="both"/>
    </w:pPr>
    <w:rPr>
      <w:sz w:val="18"/>
      <w:szCs w:val="18"/>
    </w:rPr>
  </w:style>
  <w:style w:type="paragraph" w:styleId="28">
    <w:name w:val="footer"/>
    <w:basedOn w:val="1"/>
    <w:link w:val="68"/>
    <w:qFormat/>
    <w:uiPriority w:val="99"/>
    <w:pPr>
      <w:tabs>
        <w:tab w:val="center" w:pos="4153"/>
        <w:tab w:val="right" w:pos="8306"/>
      </w:tabs>
    </w:pPr>
    <w:rPr>
      <w:sz w:val="18"/>
      <w:szCs w:val="18"/>
    </w:rPr>
  </w:style>
  <w:style w:type="paragraph" w:styleId="29">
    <w:name w:val="header"/>
    <w:basedOn w:val="1"/>
    <w:link w:val="99"/>
    <w:qFormat/>
    <w:uiPriority w:val="0"/>
    <w:pPr>
      <w:pBdr>
        <w:bottom w:val="single" w:color="auto" w:sz="6" w:space="1"/>
      </w:pBdr>
      <w:tabs>
        <w:tab w:val="center" w:pos="4153"/>
        <w:tab w:val="right" w:pos="8306"/>
      </w:tabs>
      <w:jc w:val="center"/>
    </w:pPr>
    <w:rPr>
      <w:sz w:val="18"/>
      <w:szCs w:val="18"/>
    </w:rPr>
  </w:style>
  <w:style w:type="paragraph" w:styleId="30">
    <w:name w:val="toc 1"/>
    <w:basedOn w:val="1"/>
    <w:next w:val="1"/>
    <w:qFormat/>
    <w:uiPriority w:val="39"/>
  </w:style>
  <w:style w:type="paragraph" w:styleId="31">
    <w:name w:val="toc 4"/>
    <w:basedOn w:val="1"/>
    <w:next w:val="1"/>
    <w:qFormat/>
    <w:uiPriority w:val="39"/>
    <w:pPr>
      <w:ind w:left="1260" w:leftChars="600"/>
      <w:jc w:val="both"/>
    </w:pPr>
  </w:style>
  <w:style w:type="paragraph" w:styleId="32">
    <w:name w:val="List"/>
    <w:basedOn w:val="1"/>
    <w:next w:val="29"/>
    <w:qFormat/>
    <w:uiPriority w:val="0"/>
    <w:pPr>
      <w:widowControl/>
      <w:adjustRightInd/>
      <w:snapToGrid/>
      <w:spacing w:line="240" w:lineRule="auto"/>
      <w:ind w:left="880" w:hanging="880" w:firstLineChars="0"/>
      <w:jc w:val="both"/>
    </w:pPr>
    <w:rPr>
      <w:rFonts w:ascii="Calibri"/>
      <w:kern w:val="0"/>
      <w:sz w:val="21"/>
      <w:szCs w:val="20"/>
    </w:rPr>
  </w:style>
  <w:style w:type="paragraph" w:styleId="33">
    <w:name w:val="toc 6"/>
    <w:basedOn w:val="1"/>
    <w:next w:val="1"/>
    <w:qFormat/>
    <w:uiPriority w:val="39"/>
    <w:pPr>
      <w:ind w:left="2100" w:leftChars="1000"/>
      <w:jc w:val="both"/>
    </w:pPr>
  </w:style>
  <w:style w:type="paragraph" w:styleId="34">
    <w:name w:val="Body Text Indent 3"/>
    <w:basedOn w:val="1"/>
    <w:link w:val="100"/>
    <w:qFormat/>
    <w:uiPriority w:val="0"/>
    <w:pPr>
      <w:spacing w:after="120"/>
      <w:ind w:left="420" w:leftChars="200"/>
      <w:jc w:val="both"/>
    </w:pPr>
    <w:rPr>
      <w:sz w:val="16"/>
      <w:szCs w:val="16"/>
    </w:rPr>
  </w:style>
  <w:style w:type="paragraph" w:styleId="35">
    <w:name w:val="toc 2"/>
    <w:basedOn w:val="1"/>
    <w:next w:val="1"/>
    <w:qFormat/>
    <w:uiPriority w:val="39"/>
    <w:pPr>
      <w:ind w:left="420" w:leftChars="200"/>
    </w:pPr>
  </w:style>
  <w:style w:type="paragraph" w:styleId="36">
    <w:name w:val="toc 9"/>
    <w:basedOn w:val="1"/>
    <w:next w:val="1"/>
    <w:qFormat/>
    <w:uiPriority w:val="39"/>
    <w:pPr>
      <w:ind w:left="3360" w:leftChars="1600"/>
      <w:jc w:val="both"/>
    </w:pPr>
  </w:style>
  <w:style w:type="paragraph" w:styleId="37">
    <w:name w:val="Normal (Web)"/>
    <w:basedOn w:val="1"/>
    <w:qFormat/>
    <w:uiPriority w:val="99"/>
    <w:pPr>
      <w:spacing w:beforeAutospacing="1" w:afterAutospacing="1"/>
    </w:pPr>
    <w:rPr>
      <w:kern w:val="0"/>
      <w:sz w:val="24"/>
    </w:rPr>
  </w:style>
  <w:style w:type="paragraph" w:styleId="38">
    <w:name w:val="Title"/>
    <w:basedOn w:val="1"/>
    <w:next w:val="1"/>
    <w:link w:val="64"/>
    <w:qFormat/>
    <w:uiPriority w:val="10"/>
    <w:pPr>
      <w:spacing w:before="240" w:after="60"/>
      <w:jc w:val="center"/>
      <w:outlineLvl w:val="0"/>
    </w:pPr>
    <w:rPr>
      <w:rFonts w:asciiTheme="majorHAnsi" w:hAnsiTheme="majorHAnsi" w:eastAsiaTheme="majorEastAsia" w:cstheme="majorBidi"/>
      <w:b/>
      <w:bCs/>
      <w:sz w:val="32"/>
      <w:szCs w:val="32"/>
    </w:rPr>
  </w:style>
  <w:style w:type="paragraph" w:styleId="39">
    <w:name w:val="annotation subject"/>
    <w:basedOn w:val="16"/>
    <w:next w:val="16"/>
    <w:link w:val="88"/>
    <w:qFormat/>
    <w:uiPriority w:val="99"/>
    <w:rPr>
      <w:b/>
      <w:bCs/>
    </w:rPr>
  </w:style>
  <w:style w:type="paragraph" w:styleId="40">
    <w:name w:val="Body Text First Indent"/>
    <w:basedOn w:val="18"/>
    <w:link w:val="77"/>
    <w:qFormat/>
    <w:uiPriority w:val="0"/>
    <w:pPr>
      <w:spacing w:after="120" w:line="360" w:lineRule="auto"/>
      <w:ind w:firstLine="420" w:firstLineChars="100"/>
    </w:pPr>
    <w:rPr>
      <w:szCs w:val="24"/>
    </w:rPr>
  </w:style>
  <w:style w:type="paragraph" w:styleId="41">
    <w:name w:val="Body Text First Indent 2"/>
    <w:basedOn w:val="19"/>
    <w:link w:val="101"/>
    <w:qFormat/>
    <w:uiPriority w:val="0"/>
    <w:pPr>
      <w:spacing w:after="120" w:line="500" w:lineRule="exact"/>
      <w:ind w:left="420" w:leftChars="200" w:firstLine="420"/>
    </w:pPr>
    <w:rPr>
      <w:szCs w:val="28"/>
    </w:rPr>
  </w:style>
  <w:style w:type="table" w:styleId="43">
    <w:name w:val="Table Grid"/>
    <w:basedOn w:val="42"/>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qFormat/>
    <w:uiPriority w:val="0"/>
  </w:style>
  <w:style w:type="character" w:styleId="47">
    <w:name w:val="FollowedHyperlink"/>
    <w:qFormat/>
    <w:uiPriority w:val="99"/>
    <w:rPr>
      <w:color w:val="338DE6"/>
      <w:u w:val="none"/>
    </w:rPr>
  </w:style>
  <w:style w:type="character" w:styleId="48">
    <w:name w:val="Emphasis"/>
    <w:qFormat/>
    <w:uiPriority w:val="20"/>
  </w:style>
  <w:style w:type="character" w:styleId="49">
    <w:name w:val="HTML Definition"/>
    <w:qFormat/>
    <w:uiPriority w:val="0"/>
  </w:style>
  <w:style w:type="character" w:styleId="50">
    <w:name w:val="HTML Variable"/>
    <w:qFormat/>
    <w:uiPriority w:val="0"/>
  </w:style>
  <w:style w:type="character" w:styleId="51">
    <w:name w:val="Hyperlink"/>
    <w:qFormat/>
    <w:uiPriority w:val="99"/>
    <w:rPr>
      <w:color w:val="338DE6"/>
      <w:u w:val="none"/>
    </w:rPr>
  </w:style>
  <w:style w:type="character" w:styleId="52">
    <w:name w:val="HTML Code"/>
    <w:qFormat/>
    <w:uiPriority w:val="0"/>
    <w:rPr>
      <w:rFonts w:hint="default" w:ascii="monospace" w:hAnsi="monospace" w:eastAsia="monospace" w:cs="monospace"/>
      <w:sz w:val="21"/>
      <w:szCs w:val="21"/>
    </w:rPr>
  </w:style>
  <w:style w:type="character" w:styleId="53">
    <w:name w:val="annotation reference"/>
    <w:qFormat/>
    <w:uiPriority w:val="0"/>
    <w:rPr>
      <w:sz w:val="21"/>
      <w:szCs w:val="21"/>
    </w:rPr>
  </w:style>
  <w:style w:type="character" w:styleId="54">
    <w:name w:val="HTML Cite"/>
    <w:qFormat/>
    <w:uiPriority w:val="0"/>
  </w:style>
  <w:style w:type="character" w:styleId="55">
    <w:name w:val="HTML Keyboard"/>
    <w:qFormat/>
    <w:uiPriority w:val="0"/>
    <w:rPr>
      <w:rFonts w:ascii="monospace" w:hAnsi="monospace" w:eastAsia="monospace" w:cs="monospace"/>
      <w:sz w:val="21"/>
      <w:szCs w:val="21"/>
    </w:rPr>
  </w:style>
  <w:style w:type="character" w:styleId="56">
    <w:name w:val="HTML Sample"/>
    <w:qFormat/>
    <w:uiPriority w:val="0"/>
    <w:rPr>
      <w:rFonts w:hint="default" w:ascii="monospace" w:hAnsi="monospace" w:eastAsia="monospace" w:cs="monospace"/>
      <w:sz w:val="21"/>
      <w:szCs w:val="21"/>
    </w:rPr>
  </w:style>
  <w:style w:type="paragraph" w:customStyle="1" w:styleId="57">
    <w:name w:val="表头"/>
    <w:basedOn w:val="1"/>
    <w:link w:val="73"/>
    <w:qFormat/>
    <w:uiPriority w:val="0"/>
    <w:pPr>
      <w:spacing w:line="240" w:lineRule="auto"/>
      <w:ind w:firstLine="0" w:firstLineChars="0"/>
      <w:jc w:val="center"/>
    </w:pPr>
    <w:rPr>
      <w:rFonts w:ascii="宋体" w:hAnsi="宋体"/>
      <w:b/>
      <w:bCs/>
      <w:sz w:val="24"/>
      <w:szCs w:val="28"/>
    </w:rPr>
  </w:style>
  <w:style w:type="paragraph" w:customStyle="1" w:styleId="58">
    <w:name w:val="正文（首行缩进两字）"/>
    <w:basedOn w:val="1"/>
    <w:link w:val="220"/>
    <w:qFormat/>
    <w:uiPriority w:val="0"/>
    <w:rPr>
      <w:szCs w:val="21"/>
    </w:rPr>
  </w:style>
  <w:style w:type="paragraph" w:customStyle="1" w:styleId="59">
    <w:name w:val="27-正文"/>
    <w:basedOn w:val="1"/>
    <w:link w:val="75"/>
    <w:qFormat/>
    <w:uiPriority w:val="0"/>
    <w:pPr>
      <w:spacing w:line="480" w:lineRule="exact"/>
    </w:pPr>
    <w:rPr>
      <w:szCs w:val="28"/>
    </w:rPr>
  </w:style>
  <w:style w:type="paragraph" w:customStyle="1" w:styleId="60">
    <w:name w:val="表格内容"/>
    <w:basedOn w:val="1"/>
    <w:qFormat/>
    <w:uiPriority w:val="0"/>
    <w:pPr>
      <w:spacing w:line="0" w:lineRule="atLeast"/>
      <w:ind w:firstLine="0" w:firstLineChars="0"/>
      <w:jc w:val="both"/>
    </w:pPr>
    <w:rPr>
      <w:rFonts w:eastAsia="仿宋" w:cs="宋体"/>
      <w:sz w:val="21"/>
      <w:szCs w:val="20"/>
    </w:rPr>
  </w:style>
  <w:style w:type="paragraph" w:customStyle="1" w:styleId="61">
    <w:name w:val="Table Paragraph"/>
    <w:basedOn w:val="1"/>
    <w:qFormat/>
    <w:uiPriority w:val="1"/>
    <w:pPr>
      <w:autoSpaceDE w:val="0"/>
      <w:autoSpaceDN w:val="0"/>
      <w:spacing w:before="40"/>
      <w:jc w:val="center"/>
    </w:pPr>
    <w:rPr>
      <w:rFonts w:ascii="宋体" w:hAnsi="宋体" w:cs="宋体"/>
      <w:kern w:val="0"/>
      <w:sz w:val="22"/>
      <w:szCs w:val="22"/>
      <w:lang w:eastAsia="en-US"/>
    </w:rPr>
  </w:style>
  <w:style w:type="character" w:customStyle="1" w:styleId="62">
    <w:name w:val="Char Char7"/>
    <w:qFormat/>
    <w:uiPriority w:val="0"/>
    <w:rPr>
      <w:rFonts w:ascii="Calibri" w:hAnsi="Calibri" w:eastAsia="宋体" w:cs="宋体"/>
      <w:sz w:val="24"/>
      <w:lang w:eastAsia="en-US" w:bidi="ar-SA"/>
    </w:rPr>
  </w:style>
  <w:style w:type="paragraph" w:customStyle="1" w:styleId="63">
    <w:name w:val="Char Char2 Char Char"/>
    <w:basedOn w:val="1"/>
    <w:qFormat/>
    <w:uiPriority w:val="0"/>
    <w:pPr>
      <w:spacing w:line="240" w:lineRule="auto"/>
      <w:ind w:left="-48"/>
      <w:jc w:val="both"/>
    </w:pPr>
    <w:rPr>
      <w:sz w:val="21"/>
    </w:rPr>
  </w:style>
  <w:style w:type="character" w:customStyle="1" w:styleId="64">
    <w:name w:val="标题 字符"/>
    <w:basedOn w:val="44"/>
    <w:link w:val="38"/>
    <w:qFormat/>
    <w:uiPriority w:val="10"/>
    <w:rPr>
      <w:rFonts w:asciiTheme="majorHAnsi" w:hAnsiTheme="majorHAnsi" w:eastAsiaTheme="majorEastAsia" w:cstheme="majorBidi"/>
      <w:b/>
      <w:bCs/>
      <w:kern w:val="2"/>
      <w:sz w:val="32"/>
      <w:szCs w:val="32"/>
    </w:rPr>
  </w:style>
  <w:style w:type="paragraph" w:styleId="65">
    <w:name w:val="List Paragraph"/>
    <w:basedOn w:val="1"/>
    <w:unhideWhenUsed/>
    <w:qFormat/>
    <w:uiPriority w:val="34"/>
    <w:pPr>
      <w:ind w:firstLine="420"/>
    </w:pPr>
  </w:style>
  <w:style w:type="paragraph" w:customStyle="1" w:styleId="66">
    <w:name w:val="图名"/>
    <w:basedOn w:val="1"/>
    <w:link w:val="67"/>
    <w:qFormat/>
    <w:uiPriority w:val="0"/>
    <w:pPr>
      <w:spacing w:line="240" w:lineRule="auto"/>
      <w:ind w:firstLine="0" w:firstLineChars="0"/>
      <w:jc w:val="center"/>
    </w:pPr>
    <w:rPr>
      <w:rFonts w:ascii="宋体" w:hAnsi="宋体" w:eastAsia="黑体"/>
      <w:sz w:val="21"/>
      <w:szCs w:val="28"/>
    </w:rPr>
  </w:style>
  <w:style w:type="character" w:customStyle="1" w:styleId="67">
    <w:name w:val="图名 字符"/>
    <w:basedOn w:val="44"/>
    <w:link w:val="66"/>
    <w:qFormat/>
    <w:uiPriority w:val="0"/>
    <w:rPr>
      <w:rFonts w:ascii="宋体" w:hAnsi="宋体" w:eastAsia="黑体"/>
      <w:kern w:val="2"/>
      <w:sz w:val="21"/>
      <w:szCs w:val="28"/>
    </w:rPr>
  </w:style>
  <w:style w:type="character" w:customStyle="1" w:styleId="68">
    <w:name w:val="页脚 字符"/>
    <w:basedOn w:val="44"/>
    <w:link w:val="28"/>
    <w:qFormat/>
    <w:uiPriority w:val="99"/>
    <w:rPr>
      <w:kern w:val="2"/>
      <w:sz w:val="18"/>
      <w:szCs w:val="18"/>
    </w:rPr>
  </w:style>
  <w:style w:type="character" w:customStyle="1" w:styleId="69">
    <w:name w:val="图名 Char"/>
    <w:qFormat/>
    <w:uiPriority w:val="0"/>
    <w:rPr>
      <w:rFonts w:ascii="黑体" w:hAnsi="黑体" w:eastAsia="黑体" w:cs="宋体"/>
      <w:b/>
      <w:color w:val="000000"/>
      <w:kern w:val="2"/>
      <w:sz w:val="21"/>
      <w:szCs w:val="21"/>
    </w:rPr>
  </w:style>
  <w:style w:type="paragraph" w:customStyle="1" w:styleId="70">
    <w:name w:val="表名"/>
    <w:basedOn w:val="1"/>
    <w:link w:val="71"/>
    <w:qFormat/>
    <w:uiPriority w:val="0"/>
    <w:pPr>
      <w:adjustRightInd/>
      <w:spacing w:line="240" w:lineRule="auto"/>
      <w:ind w:firstLine="0" w:firstLineChars="0"/>
      <w:jc w:val="center"/>
    </w:pPr>
    <w:rPr>
      <w:szCs w:val="28"/>
    </w:rPr>
  </w:style>
  <w:style w:type="character" w:customStyle="1" w:styleId="71">
    <w:name w:val="表名 字符"/>
    <w:link w:val="70"/>
    <w:qFormat/>
    <w:uiPriority w:val="0"/>
    <w:rPr>
      <w:kern w:val="2"/>
      <w:sz w:val="28"/>
      <w:szCs w:val="28"/>
    </w:rPr>
  </w:style>
  <w:style w:type="paragraph" w:customStyle="1" w:styleId="72">
    <w:name w:val="表内容"/>
    <w:basedOn w:val="57"/>
    <w:link w:val="74"/>
    <w:qFormat/>
    <w:uiPriority w:val="0"/>
    <w:pPr>
      <w:spacing w:line="0" w:lineRule="atLeast"/>
    </w:pPr>
    <w:rPr>
      <w:rFonts w:eastAsia="仿宋"/>
      <w:b w:val="0"/>
      <w:sz w:val="21"/>
    </w:rPr>
  </w:style>
  <w:style w:type="character" w:customStyle="1" w:styleId="73">
    <w:name w:val="表头 字符"/>
    <w:basedOn w:val="44"/>
    <w:link w:val="57"/>
    <w:qFormat/>
    <w:uiPriority w:val="0"/>
    <w:rPr>
      <w:rFonts w:ascii="宋体" w:hAnsi="宋体"/>
      <w:b/>
      <w:bCs/>
      <w:kern w:val="2"/>
      <w:sz w:val="24"/>
      <w:szCs w:val="28"/>
    </w:rPr>
  </w:style>
  <w:style w:type="character" w:customStyle="1" w:styleId="74">
    <w:name w:val="表内容 字符"/>
    <w:basedOn w:val="73"/>
    <w:link w:val="72"/>
    <w:qFormat/>
    <w:uiPriority w:val="0"/>
    <w:rPr>
      <w:rFonts w:ascii="宋体" w:hAnsi="宋体" w:eastAsia="仿宋"/>
      <w:b w:val="0"/>
      <w:kern w:val="2"/>
      <w:sz w:val="21"/>
      <w:szCs w:val="28"/>
    </w:rPr>
  </w:style>
  <w:style w:type="character" w:customStyle="1" w:styleId="75">
    <w:name w:val="27-正文 Char"/>
    <w:link w:val="59"/>
    <w:qFormat/>
    <w:uiPriority w:val="0"/>
    <w:rPr>
      <w:kern w:val="2"/>
      <w:sz w:val="28"/>
      <w:szCs w:val="28"/>
    </w:rPr>
  </w:style>
  <w:style w:type="character" w:customStyle="1" w:styleId="76">
    <w:name w:val="正文文本 字符"/>
    <w:basedOn w:val="44"/>
    <w:link w:val="18"/>
    <w:qFormat/>
    <w:uiPriority w:val="0"/>
    <w:rPr>
      <w:kern w:val="2"/>
      <w:sz w:val="28"/>
      <w:szCs w:val="30"/>
    </w:rPr>
  </w:style>
  <w:style w:type="character" w:customStyle="1" w:styleId="77">
    <w:name w:val="正文文本首行缩进 字符"/>
    <w:basedOn w:val="76"/>
    <w:link w:val="40"/>
    <w:qFormat/>
    <w:uiPriority w:val="0"/>
    <w:rPr>
      <w:kern w:val="2"/>
      <w:sz w:val="28"/>
      <w:szCs w:val="24"/>
    </w:rPr>
  </w:style>
  <w:style w:type="paragraph" w:customStyle="1" w:styleId="78">
    <w:name w:val="表格标题"/>
    <w:basedOn w:val="1"/>
    <w:link w:val="79"/>
    <w:qFormat/>
    <w:uiPriority w:val="0"/>
    <w:pPr>
      <w:spacing w:line="240" w:lineRule="auto"/>
      <w:ind w:firstLine="0" w:firstLineChars="0"/>
      <w:jc w:val="center"/>
    </w:pPr>
    <w:rPr>
      <w:rFonts w:eastAsia="黑体" w:cs="宋体"/>
      <w:bCs/>
      <w:color w:val="000000"/>
      <w:sz w:val="24"/>
      <w:szCs w:val="21"/>
    </w:rPr>
  </w:style>
  <w:style w:type="character" w:customStyle="1" w:styleId="79">
    <w:name w:val="表格标题 Char"/>
    <w:link w:val="78"/>
    <w:qFormat/>
    <w:uiPriority w:val="0"/>
    <w:rPr>
      <w:rFonts w:eastAsia="黑体" w:cs="宋体"/>
      <w:bCs/>
      <w:color w:val="000000"/>
      <w:kern w:val="2"/>
      <w:sz w:val="24"/>
      <w:szCs w:val="21"/>
    </w:rPr>
  </w:style>
  <w:style w:type="character" w:customStyle="1" w:styleId="80">
    <w:name w:val="标题 4 字符"/>
    <w:basedOn w:val="44"/>
    <w:qFormat/>
    <w:uiPriority w:val="0"/>
    <w:rPr>
      <w:rFonts w:asciiTheme="majorHAnsi" w:hAnsiTheme="majorHAnsi" w:eastAsiaTheme="majorEastAsia" w:cstheme="majorBidi"/>
      <w:b/>
      <w:bCs/>
      <w:kern w:val="2"/>
      <w:sz w:val="28"/>
      <w:szCs w:val="28"/>
    </w:rPr>
  </w:style>
  <w:style w:type="character" w:customStyle="1" w:styleId="81">
    <w:name w:val="标题 5 字符"/>
    <w:basedOn w:val="44"/>
    <w:qFormat/>
    <w:uiPriority w:val="0"/>
    <w:rPr>
      <w:b/>
      <w:bCs/>
      <w:kern w:val="2"/>
      <w:sz w:val="28"/>
      <w:szCs w:val="28"/>
    </w:rPr>
  </w:style>
  <w:style w:type="character" w:customStyle="1" w:styleId="82">
    <w:name w:val="宏文本 字符"/>
    <w:basedOn w:val="44"/>
    <w:link w:val="2"/>
    <w:qFormat/>
    <w:uiPriority w:val="99"/>
    <w:rPr>
      <w:rFonts w:ascii="Courier New" w:hAnsi="Courier New"/>
      <w:kern w:val="2"/>
      <w:sz w:val="24"/>
      <w:szCs w:val="24"/>
    </w:rPr>
  </w:style>
  <w:style w:type="character" w:customStyle="1" w:styleId="83">
    <w:name w:val="批注文字 字符"/>
    <w:basedOn w:val="44"/>
    <w:link w:val="16"/>
    <w:qFormat/>
    <w:uiPriority w:val="99"/>
    <w:rPr>
      <w:kern w:val="2"/>
      <w:sz w:val="28"/>
      <w:szCs w:val="24"/>
    </w:rPr>
  </w:style>
  <w:style w:type="character" w:customStyle="1" w:styleId="84">
    <w:name w:val="正文文本 3 字符"/>
    <w:basedOn w:val="44"/>
    <w:link w:val="17"/>
    <w:qFormat/>
    <w:uiPriority w:val="0"/>
    <w:rPr>
      <w:kern w:val="2"/>
      <w:sz w:val="16"/>
      <w:szCs w:val="16"/>
    </w:rPr>
  </w:style>
  <w:style w:type="character" w:customStyle="1" w:styleId="85">
    <w:name w:val="纯文本 字符"/>
    <w:basedOn w:val="44"/>
    <w:qFormat/>
    <w:uiPriority w:val="0"/>
    <w:rPr>
      <w:rFonts w:hAnsi="Courier New" w:cs="Courier New" w:asciiTheme="minorEastAsia" w:eastAsiaTheme="minorEastAsia"/>
      <w:kern w:val="2"/>
      <w:sz w:val="28"/>
      <w:szCs w:val="24"/>
    </w:rPr>
  </w:style>
  <w:style w:type="character" w:customStyle="1" w:styleId="86">
    <w:name w:val="批注框文本 字符"/>
    <w:basedOn w:val="44"/>
    <w:link w:val="27"/>
    <w:qFormat/>
    <w:uiPriority w:val="99"/>
    <w:rPr>
      <w:kern w:val="2"/>
      <w:sz w:val="18"/>
      <w:szCs w:val="18"/>
    </w:rPr>
  </w:style>
  <w:style w:type="character" w:customStyle="1" w:styleId="87">
    <w:name w:val="正文文本缩进 3 字符"/>
    <w:basedOn w:val="44"/>
    <w:qFormat/>
    <w:uiPriority w:val="0"/>
    <w:rPr>
      <w:kern w:val="2"/>
      <w:sz w:val="16"/>
      <w:szCs w:val="16"/>
    </w:rPr>
  </w:style>
  <w:style w:type="character" w:customStyle="1" w:styleId="88">
    <w:name w:val="批注主题 字符"/>
    <w:basedOn w:val="83"/>
    <w:link w:val="39"/>
    <w:qFormat/>
    <w:uiPriority w:val="99"/>
    <w:rPr>
      <w:b/>
      <w:bCs/>
      <w:kern w:val="2"/>
      <w:sz w:val="28"/>
      <w:szCs w:val="24"/>
    </w:rPr>
  </w:style>
  <w:style w:type="character" w:customStyle="1" w:styleId="89">
    <w:name w:val="标题 1 字符1"/>
    <w:link w:val="3"/>
    <w:qFormat/>
    <w:uiPriority w:val="0"/>
    <w:rPr>
      <w:rFonts w:eastAsia="黑体"/>
      <w:bCs/>
      <w:kern w:val="44"/>
      <w:sz w:val="32"/>
      <w:szCs w:val="44"/>
    </w:rPr>
  </w:style>
  <w:style w:type="character" w:customStyle="1" w:styleId="90">
    <w:name w:val="标题 2 字符1"/>
    <w:link w:val="4"/>
    <w:qFormat/>
    <w:uiPriority w:val="0"/>
    <w:rPr>
      <w:rFonts w:ascii="Arial" w:hAnsi="Arial"/>
      <w:b/>
      <w:kern w:val="2"/>
      <w:sz w:val="30"/>
      <w:szCs w:val="24"/>
    </w:rPr>
  </w:style>
  <w:style w:type="character" w:customStyle="1" w:styleId="91">
    <w:name w:val="标题 3 字符1"/>
    <w:link w:val="5"/>
    <w:qFormat/>
    <w:uiPriority w:val="0"/>
    <w:rPr>
      <w:b/>
      <w:kern w:val="2"/>
      <w:sz w:val="28"/>
      <w:szCs w:val="24"/>
    </w:rPr>
  </w:style>
  <w:style w:type="character" w:customStyle="1" w:styleId="92">
    <w:name w:val="标题 4 字符1"/>
    <w:link w:val="6"/>
    <w:qFormat/>
    <w:uiPriority w:val="0"/>
    <w:rPr>
      <w:rFonts w:ascii="Arial" w:hAnsi="Arial" w:eastAsia="黑体"/>
      <w:b/>
      <w:bCs/>
      <w:kern w:val="2"/>
      <w:sz w:val="28"/>
      <w:szCs w:val="28"/>
    </w:rPr>
  </w:style>
  <w:style w:type="character" w:customStyle="1" w:styleId="93">
    <w:name w:val="标题 5 字符1"/>
    <w:link w:val="7"/>
    <w:qFormat/>
    <w:uiPriority w:val="0"/>
    <w:rPr>
      <w:b/>
      <w:bCs/>
      <w:kern w:val="2"/>
      <w:sz w:val="28"/>
      <w:szCs w:val="28"/>
    </w:rPr>
  </w:style>
  <w:style w:type="character" w:customStyle="1" w:styleId="94">
    <w:name w:val="正文缩进 字符1"/>
    <w:link w:val="13"/>
    <w:qFormat/>
    <w:uiPriority w:val="0"/>
    <w:rPr>
      <w:sz w:val="24"/>
    </w:rPr>
  </w:style>
  <w:style w:type="character" w:customStyle="1" w:styleId="95">
    <w:name w:val="文档结构图 字符"/>
    <w:link w:val="15"/>
    <w:qFormat/>
    <w:uiPriority w:val="99"/>
    <w:rPr>
      <w:kern w:val="2"/>
      <w:sz w:val="28"/>
      <w:szCs w:val="24"/>
      <w:shd w:val="clear" w:color="auto" w:fill="FFFFFF"/>
    </w:rPr>
  </w:style>
  <w:style w:type="character" w:customStyle="1" w:styleId="96">
    <w:name w:val="正文文本缩进 字符1"/>
    <w:link w:val="19"/>
    <w:qFormat/>
    <w:uiPriority w:val="0"/>
    <w:rPr>
      <w:kern w:val="2"/>
      <w:sz w:val="28"/>
      <w:szCs w:val="24"/>
    </w:rPr>
  </w:style>
  <w:style w:type="character" w:customStyle="1" w:styleId="97">
    <w:name w:val="纯文本 字符1"/>
    <w:link w:val="23"/>
    <w:qFormat/>
    <w:uiPriority w:val="0"/>
    <w:rPr>
      <w:rFonts w:ascii="宋体" w:hAnsi="Courier New"/>
      <w:kern w:val="2"/>
      <w:sz w:val="21"/>
    </w:rPr>
  </w:style>
  <w:style w:type="character" w:customStyle="1" w:styleId="98">
    <w:name w:val="页脚 字符1"/>
    <w:qFormat/>
    <w:uiPriority w:val="0"/>
    <w:rPr>
      <w:kern w:val="2"/>
      <w:sz w:val="18"/>
      <w:szCs w:val="18"/>
    </w:rPr>
  </w:style>
  <w:style w:type="character" w:customStyle="1" w:styleId="99">
    <w:name w:val="页眉 字符1"/>
    <w:link w:val="29"/>
    <w:qFormat/>
    <w:uiPriority w:val="0"/>
    <w:rPr>
      <w:kern w:val="2"/>
      <w:sz w:val="18"/>
      <w:szCs w:val="18"/>
    </w:rPr>
  </w:style>
  <w:style w:type="character" w:customStyle="1" w:styleId="100">
    <w:name w:val="正文文本缩进 3 字符1"/>
    <w:link w:val="34"/>
    <w:qFormat/>
    <w:uiPriority w:val="0"/>
    <w:rPr>
      <w:kern w:val="2"/>
      <w:sz w:val="16"/>
      <w:szCs w:val="16"/>
    </w:rPr>
  </w:style>
  <w:style w:type="character" w:customStyle="1" w:styleId="101">
    <w:name w:val="正文文本首行缩进 2 字符"/>
    <w:link w:val="41"/>
    <w:qFormat/>
    <w:uiPriority w:val="0"/>
    <w:rPr>
      <w:kern w:val="2"/>
      <w:sz w:val="28"/>
      <w:szCs w:val="28"/>
    </w:rPr>
  </w:style>
  <w:style w:type="character" w:customStyle="1" w:styleId="102">
    <w:name w:val="font11"/>
    <w:qFormat/>
    <w:uiPriority w:val="0"/>
    <w:rPr>
      <w:rFonts w:hint="eastAsia" w:ascii="宋体" w:hAnsi="宋体" w:eastAsia="宋体" w:cs="宋体"/>
      <w:color w:val="000000"/>
      <w:sz w:val="20"/>
      <w:szCs w:val="20"/>
      <w:u w:val="none"/>
    </w:rPr>
  </w:style>
  <w:style w:type="character" w:customStyle="1" w:styleId="103">
    <w:name w:val="pass-clearbtn-smsverifycode"/>
    <w:qFormat/>
    <w:uiPriority w:val="0"/>
  </w:style>
  <w:style w:type="character" w:customStyle="1" w:styleId="104">
    <w:name w:val="pass-placeholder-username"/>
    <w:qFormat/>
    <w:uiPriority w:val="0"/>
  </w:style>
  <w:style w:type="character" w:customStyle="1" w:styleId="105">
    <w:name w:val="pass-placeholder5"/>
    <w:qFormat/>
    <w:uiPriority w:val="0"/>
  </w:style>
  <w:style w:type="character" w:customStyle="1" w:styleId="106">
    <w:name w:val="pass-placeholder"/>
    <w:qFormat/>
    <w:uiPriority w:val="0"/>
  </w:style>
  <w:style w:type="character" w:customStyle="1" w:styleId="107">
    <w:name w:val="font21"/>
    <w:qFormat/>
    <w:uiPriority w:val="0"/>
    <w:rPr>
      <w:rFonts w:hint="eastAsia" w:ascii="宋体" w:hAnsi="宋体" w:eastAsia="宋体" w:cs="宋体"/>
      <w:b/>
      <w:color w:val="0000FF"/>
      <w:sz w:val="20"/>
      <w:szCs w:val="20"/>
      <w:u w:val="none"/>
    </w:rPr>
  </w:style>
  <w:style w:type="character" w:customStyle="1" w:styleId="108">
    <w:name w:val="fontborder"/>
    <w:qFormat/>
    <w:uiPriority w:val="0"/>
    <w:rPr>
      <w:bdr w:val="single" w:color="000000" w:sz="6" w:space="0"/>
    </w:rPr>
  </w:style>
  <w:style w:type="character" w:customStyle="1" w:styleId="109">
    <w:name w:val="apple-style-span"/>
    <w:qFormat/>
    <w:uiPriority w:val="0"/>
  </w:style>
  <w:style w:type="character" w:customStyle="1" w:styleId="110">
    <w:name w:val="pass-placeholder4"/>
    <w:qFormat/>
    <w:uiPriority w:val="0"/>
  </w:style>
  <w:style w:type="character" w:customStyle="1" w:styleId="111">
    <w:name w:val="pass-generalerror"/>
    <w:qFormat/>
    <w:uiPriority w:val="0"/>
    <w:rPr>
      <w:color w:val="FC4343"/>
      <w:sz w:val="18"/>
      <w:szCs w:val="18"/>
    </w:rPr>
  </w:style>
  <w:style w:type="character" w:customStyle="1" w:styleId="112">
    <w:name w:val="font41"/>
    <w:qFormat/>
    <w:uiPriority w:val="0"/>
    <w:rPr>
      <w:rFonts w:hint="eastAsia" w:ascii="宋体" w:hAnsi="宋体" w:eastAsia="宋体" w:cs="宋体"/>
      <w:b/>
      <w:color w:val="000000"/>
      <w:sz w:val="21"/>
      <w:szCs w:val="21"/>
      <w:u w:val="none"/>
    </w:rPr>
  </w:style>
  <w:style w:type="character" w:customStyle="1" w:styleId="113">
    <w:name w:val="pass-placeholder-smsphone2"/>
    <w:qFormat/>
    <w:uiPriority w:val="0"/>
  </w:style>
  <w:style w:type="character" w:customStyle="1" w:styleId="114">
    <w:name w:val="pass-placeholder-username2"/>
    <w:qFormat/>
    <w:uiPriority w:val="0"/>
  </w:style>
  <w:style w:type="character" w:customStyle="1" w:styleId="115">
    <w:name w:val="pass-clearbtn-verifycode"/>
    <w:qFormat/>
    <w:uiPriority w:val="0"/>
  </w:style>
  <w:style w:type="character" w:customStyle="1" w:styleId="116">
    <w:name w:val="open"/>
    <w:qFormat/>
    <w:uiPriority w:val="0"/>
  </w:style>
  <w:style w:type="character" w:customStyle="1" w:styleId="117">
    <w:name w:val="font01"/>
    <w:qFormat/>
    <w:uiPriority w:val="0"/>
    <w:rPr>
      <w:rFonts w:hint="eastAsia" w:ascii="仿宋_GB2312" w:eastAsia="仿宋_GB2312" w:cs="仿宋_GB2312"/>
      <w:color w:val="FF00FF"/>
      <w:sz w:val="20"/>
      <w:szCs w:val="20"/>
      <w:u w:val="none"/>
      <w:vertAlign w:val="superscript"/>
    </w:rPr>
  </w:style>
  <w:style w:type="character" w:customStyle="1" w:styleId="118">
    <w:name w:val="pass-placeholder-password2"/>
    <w:qFormat/>
    <w:uiPriority w:val="0"/>
  </w:style>
  <w:style w:type="character" w:customStyle="1" w:styleId="119">
    <w:name w:val="font61"/>
    <w:qFormat/>
    <w:uiPriority w:val="0"/>
    <w:rPr>
      <w:rFonts w:hint="eastAsia" w:ascii="宋体" w:hAnsi="宋体" w:eastAsia="宋体" w:cs="宋体"/>
      <w:color w:val="000000"/>
      <w:sz w:val="21"/>
      <w:szCs w:val="21"/>
      <w:u w:val="none"/>
    </w:rPr>
  </w:style>
  <w:style w:type="character" w:customStyle="1" w:styleId="120">
    <w:name w:val="pass-placeholder-password1"/>
    <w:qFormat/>
    <w:uiPriority w:val="0"/>
  </w:style>
  <w:style w:type="character" w:customStyle="1" w:styleId="121">
    <w:name w:val="font51"/>
    <w:qFormat/>
    <w:uiPriority w:val="0"/>
    <w:rPr>
      <w:rFonts w:hint="eastAsia" w:ascii="宋体" w:hAnsi="宋体" w:eastAsia="宋体" w:cs="宋体"/>
      <w:color w:val="000000"/>
      <w:sz w:val="21"/>
      <w:szCs w:val="21"/>
      <w:u w:val="none"/>
    </w:rPr>
  </w:style>
  <w:style w:type="character" w:customStyle="1" w:styleId="122">
    <w:name w:val="articletitle1"/>
    <w:qFormat/>
    <w:uiPriority w:val="0"/>
    <w:rPr>
      <w:b/>
      <w:bCs/>
      <w:sz w:val="21"/>
      <w:szCs w:val="21"/>
    </w:rPr>
  </w:style>
  <w:style w:type="character" w:customStyle="1" w:styleId="123">
    <w:name w:val="pass-clearbtn-smsverifycode1"/>
    <w:qFormat/>
    <w:uiPriority w:val="0"/>
  </w:style>
  <w:style w:type="character" w:customStyle="1" w:styleId="124">
    <w:name w:val="pass-clearbtn-verifycode1"/>
    <w:qFormat/>
    <w:uiPriority w:val="0"/>
  </w:style>
  <w:style w:type="character" w:customStyle="1" w:styleId="125">
    <w:name w:val="pass-placeholder-smsphone"/>
    <w:qFormat/>
    <w:uiPriority w:val="0"/>
  </w:style>
  <w:style w:type="character" w:customStyle="1" w:styleId="126">
    <w:name w:val="news_three_wz1"/>
    <w:qFormat/>
    <w:uiPriority w:val="0"/>
    <w:rPr>
      <w:rFonts w:hint="default" w:ascii="ˎ̥" w:hAnsi="ˎ̥"/>
      <w:color w:val="000000"/>
      <w:sz w:val="18"/>
      <w:szCs w:val="18"/>
    </w:rPr>
  </w:style>
  <w:style w:type="character" w:customStyle="1" w:styleId="127">
    <w:name w:val="pass-placeholder2"/>
    <w:qFormat/>
    <w:uiPriority w:val="0"/>
  </w:style>
  <w:style w:type="character" w:customStyle="1" w:styleId="128">
    <w:name w:val="pass-placeholder-password"/>
    <w:qFormat/>
    <w:uiPriority w:val="0"/>
  </w:style>
  <w:style w:type="character" w:customStyle="1" w:styleId="129">
    <w:name w:val="pass-placeholder-smsphone1"/>
    <w:qFormat/>
    <w:uiPriority w:val="0"/>
  </w:style>
  <w:style w:type="character" w:customStyle="1" w:styleId="130">
    <w:name w:val="MTEquationSection"/>
    <w:qFormat/>
    <w:uiPriority w:val="0"/>
    <w:rPr>
      <w:color w:val="FF0000"/>
      <w:sz w:val="24"/>
      <w:szCs w:val="24"/>
    </w:rPr>
  </w:style>
  <w:style w:type="character" w:customStyle="1" w:styleId="131">
    <w:name w:val="font31"/>
    <w:qFormat/>
    <w:uiPriority w:val="0"/>
    <w:rPr>
      <w:rFonts w:hint="eastAsia" w:ascii="宋体" w:hAnsi="宋体" w:eastAsia="宋体" w:cs="宋体"/>
      <w:b/>
      <w:color w:val="000000"/>
      <w:sz w:val="20"/>
      <w:szCs w:val="20"/>
      <w:u w:val="none"/>
    </w:rPr>
  </w:style>
  <w:style w:type="character" w:customStyle="1" w:styleId="132">
    <w:name w:val="正文 + 宋体 Char Char"/>
    <w:qFormat/>
    <w:uiPriority w:val="0"/>
    <w:rPr>
      <w:rFonts w:eastAsia="宋体"/>
      <w:spacing w:val="20"/>
      <w:kern w:val="2"/>
      <w:sz w:val="28"/>
      <w:szCs w:val="24"/>
      <w:lang w:val="en-US" w:eastAsia="zh-CN" w:bidi="ar-SA"/>
    </w:rPr>
  </w:style>
  <w:style w:type="character" w:customStyle="1" w:styleId="133">
    <w:name w:val="fontstrikethrough"/>
    <w:qFormat/>
    <w:uiPriority w:val="0"/>
    <w:rPr>
      <w:strike/>
    </w:rPr>
  </w:style>
  <w:style w:type="character" w:customStyle="1" w:styleId="134">
    <w:name w:val="pass-clearbtn-smsverifycode2"/>
    <w:qFormat/>
    <w:uiPriority w:val="0"/>
  </w:style>
  <w:style w:type="character" w:customStyle="1" w:styleId="135">
    <w:name w:val="pass-placeholder1"/>
    <w:qFormat/>
    <w:uiPriority w:val="0"/>
  </w:style>
  <w:style w:type="character" w:customStyle="1" w:styleId="136">
    <w:name w:val="pass-placeholder3"/>
    <w:qFormat/>
    <w:uiPriority w:val="0"/>
  </w:style>
  <w:style w:type="character" w:customStyle="1" w:styleId="137">
    <w:name w:val="pass-clearbtn-verifycode2"/>
    <w:qFormat/>
    <w:uiPriority w:val="0"/>
  </w:style>
  <w:style w:type="character" w:customStyle="1" w:styleId="138">
    <w:name w:val="pass-placeholder-username1"/>
    <w:qFormat/>
    <w:uiPriority w:val="0"/>
  </w:style>
  <w:style w:type="character" w:customStyle="1" w:styleId="139">
    <w:name w:val="正文ldh Char Char"/>
    <w:link w:val="140"/>
    <w:qFormat/>
    <w:uiPriority w:val="0"/>
    <w:rPr>
      <w:rFonts w:eastAsia="仿宋_GB2312"/>
      <w:kern w:val="28"/>
      <w:sz w:val="28"/>
      <w:lang w:val="en-GB"/>
    </w:rPr>
  </w:style>
  <w:style w:type="paragraph" w:customStyle="1" w:styleId="140">
    <w:name w:val="正文ldh"/>
    <w:basedOn w:val="1"/>
    <w:next w:val="1"/>
    <w:link w:val="139"/>
    <w:qFormat/>
    <w:uiPriority w:val="0"/>
    <w:pPr>
      <w:suppressAutoHyphens/>
      <w:topLinePunct/>
      <w:spacing w:line="600" w:lineRule="exact"/>
      <w:ind w:firstLine="560"/>
      <w:jc w:val="both"/>
    </w:pPr>
    <w:rPr>
      <w:rFonts w:eastAsia="仿宋_GB2312"/>
      <w:kern w:val="28"/>
      <w:szCs w:val="20"/>
      <w:lang w:val="en-GB"/>
    </w:rPr>
  </w:style>
  <w:style w:type="paragraph" w:styleId="141">
    <w:name w:val="No Spacing"/>
    <w:link w:val="142"/>
    <w:qFormat/>
    <w:uiPriority w:val="0"/>
    <w:pPr>
      <w:widowControl w:val="0"/>
      <w:jc w:val="center"/>
    </w:pPr>
    <w:rPr>
      <w:rFonts w:ascii="Times New Roman" w:hAnsi="Times New Roman" w:eastAsia="仿宋_GB2312" w:cs="Times New Roman"/>
      <w:kern w:val="2"/>
      <w:sz w:val="24"/>
      <w:szCs w:val="24"/>
      <w:lang w:val="en-US" w:eastAsia="zh-CN" w:bidi="ar-SA"/>
    </w:rPr>
  </w:style>
  <w:style w:type="character" w:customStyle="1" w:styleId="142">
    <w:name w:val="无间隔 字符"/>
    <w:link w:val="141"/>
    <w:qFormat/>
    <w:locked/>
    <w:uiPriority w:val="0"/>
    <w:rPr>
      <w:rFonts w:eastAsia="仿宋_GB2312"/>
      <w:kern w:val="2"/>
      <w:sz w:val="24"/>
      <w:szCs w:val="24"/>
    </w:rPr>
  </w:style>
  <w:style w:type="paragraph" w:customStyle="1" w:styleId="143">
    <w:name w:val="Char"/>
    <w:basedOn w:val="1"/>
    <w:qFormat/>
    <w:uiPriority w:val="0"/>
    <w:pPr>
      <w:jc w:val="both"/>
    </w:pPr>
  </w:style>
  <w:style w:type="paragraph" w:customStyle="1" w:styleId="144">
    <w:name w:val="Char Char Char Char"/>
    <w:basedOn w:val="1"/>
    <w:qFormat/>
    <w:uiPriority w:val="0"/>
    <w:pPr>
      <w:jc w:val="both"/>
    </w:pPr>
  </w:style>
  <w:style w:type="paragraph" w:customStyle="1" w:styleId="145">
    <w:name w:val="表文字"/>
    <w:qFormat/>
    <w:uiPriority w:val="0"/>
    <w:pPr>
      <w:snapToGrid w:val="0"/>
      <w:jc w:val="center"/>
    </w:pPr>
    <w:rPr>
      <w:rFonts w:ascii="Times New Roman" w:hAnsi="Times New Roman" w:eastAsia="仿宋_GB2312" w:cs="Times New Roman"/>
      <w:snapToGrid w:val="0"/>
      <w:color w:val="000000"/>
      <w:kern w:val="2"/>
      <w:sz w:val="21"/>
      <w:szCs w:val="21"/>
      <w:lang w:val="en-US" w:eastAsia="zh-CN" w:bidi="ar-SA"/>
    </w:rPr>
  </w:style>
  <w:style w:type="paragraph" w:customStyle="1" w:styleId="146">
    <w:name w:val="样式 标题 4 + 首行缩进:  2 字符"/>
    <w:basedOn w:val="6"/>
    <w:qFormat/>
    <w:uiPriority w:val="0"/>
    <w:pPr>
      <w:spacing w:line="377" w:lineRule="auto"/>
    </w:pPr>
    <w:rPr>
      <w:rFonts w:ascii="Times New Roman" w:hAnsi="宋体" w:eastAsia="宋体" w:cs="宋体"/>
      <w:b w:val="0"/>
      <w:szCs w:val="20"/>
    </w:rPr>
  </w:style>
  <w:style w:type="paragraph" w:customStyle="1" w:styleId="147">
    <w:name w:val="表格文字"/>
    <w:basedOn w:val="1"/>
    <w:link w:val="148"/>
    <w:qFormat/>
    <w:uiPriority w:val="0"/>
    <w:pPr>
      <w:spacing w:line="0" w:lineRule="atLeast"/>
      <w:ind w:firstLine="0" w:firstLineChars="0"/>
      <w:jc w:val="center"/>
    </w:pPr>
    <w:rPr>
      <w:rFonts w:eastAsia="仿宋"/>
      <w:kern w:val="44"/>
      <w:sz w:val="21"/>
      <w:szCs w:val="20"/>
    </w:rPr>
  </w:style>
  <w:style w:type="character" w:customStyle="1" w:styleId="148">
    <w:name w:val="表格文字 Char"/>
    <w:link w:val="147"/>
    <w:qFormat/>
    <w:uiPriority w:val="0"/>
    <w:rPr>
      <w:rFonts w:eastAsia="仿宋"/>
      <w:kern w:val="44"/>
      <w:sz w:val="21"/>
    </w:rPr>
  </w:style>
  <w:style w:type="paragraph" w:customStyle="1" w:styleId="149">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50">
    <w:name w:val="_Style 2"/>
    <w:qFormat/>
    <w:uiPriority w:val="0"/>
    <w:pPr>
      <w:widowControl w:val="0"/>
      <w:jc w:val="center"/>
    </w:pPr>
    <w:rPr>
      <w:rFonts w:ascii="Times New Roman" w:hAnsi="Times New Roman" w:eastAsia="仿宋_GB2312" w:cs="Times New Roman"/>
      <w:kern w:val="2"/>
      <w:sz w:val="24"/>
      <w:szCs w:val="24"/>
      <w:lang w:val="en-US" w:eastAsia="zh-CN" w:bidi="ar-SA"/>
    </w:rPr>
  </w:style>
  <w:style w:type="paragraph" w:customStyle="1" w:styleId="151">
    <w:name w:val="_Style 0"/>
    <w:qFormat/>
    <w:uiPriority w:val="0"/>
    <w:pPr>
      <w:widowControl w:val="0"/>
      <w:jc w:val="center"/>
    </w:pPr>
    <w:rPr>
      <w:rFonts w:ascii="Times New Roman" w:hAnsi="Times New Roman" w:eastAsia="仿宋_GB2312" w:cs="Times New Roman"/>
      <w:kern w:val="2"/>
      <w:sz w:val="24"/>
      <w:szCs w:val="24"/>
      <w:lang w:val="en-US" w:eastAsia="zh-CN" w:bidi="ar-SA"/>
    </w:rPr>
  </w:style>
  <w:style w:type="paragraph" w:customStyle="1" w:styleId="152">
    <w:name w:val="_Style 1"/>
    <w:qFormat/>
    <w:uiPriority w:val="0"/>
    <w:pPr>
      <w:widowControl w:val="0"/>
      <w:jc w:val="center"/>
    </w:pPr>
    <w:rPr>
      <w:rFonts w:ascii="Times New Roman" w:hAnsi="Times New Roman" w:eastAsia="仿宋_GB2312" w:cs="Times New Roman"/>
      <w:kern w:val="2"/>
      <w:sz w:val="24"/>
      <w:szCs w:val="24"/>
      <w:lang w:val="en-US" w:eastAsia="zh-CN" w:bidi="ar-SA"/>
    </w:rPr>
  </w:style>
  <w:style w:type="paragraph" w:customStyle="1" w:styleId="1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4">
    <w:name w:val="List Paragraph1"/>
    <w:basedOn w:val="1"/>
    <w:qFormat/>
    <w:uiPriority w:val="0"/>
    <w:pPr>
      <w:ind w:firstLine="420"/>
      <w:jc w:val="both"/>
    </w:pPr>
    <w:rPr>
      <w:rFonts w:ascii="Calibri" w:hAnsi="Calibri" w:cs="Calibri"/>
      <w:szCs w:val="21"/>
    </w:rPr>
  </w:style>
  <w:style w:type="paragraph" w:customStyle="1" w:styleId="155">
    <w:name w:val="p0"/>
    <w:basedOn w:val="1"/>
    <w:qFormat/>
    <w:uiPriority w:val="0"/>
    <w:pPr>
      <w:widowControl/>
      <w:jc w:val="both"/>
    </w:pPr>
    <w:rPr>
      <w:kern w:val="0"/>
      <w:sz w:val="24"/>
    </w:rPr>
  </w:style>
  <w:style w:type="character" w:customStyle="1" w:styleId="156">
    <w:name w:val="表头 Char Char1"/>
    <w:qFormat/>
    <w:uiPriority w:val="0"/>
    <w:rPr>
      <w:rFonts w:ascii="宋体" w:hAnsi="宋体"/>
      <w:b/>
      <w:bCs/>
      <w:kern w:val="2"/>
      <w:sz w:val="24"/>
      <w:szCs w:val="28"/>
    </w:rPr>
  </w:style>
  <w:style w:type="paragraph" w:customStyle="1" w:styleId="157">
    <w:name w:val="附录表标题"/>
    <w:next w:val="1"/>
    <w:qFormat/>
    <w:uiPriority w:val="0"/>
    <w:pPr>
      <w:numPr>
        <w:ilvl w:val="0"/>
        <w:numId w:val="1"/>
      </w:numPr>
      <w:jc w:val="center"/>
      <w:textAlignment w:val="baseline"/>
    </w:pPr>
    <w:rPr>
      <w:rFonts w:ascii="黑体" w:hAnsi="Times New Roman" w:eastAsia="黑体" w:cs="Times New Roman"/>
      <w:kern w:val="21"/>
      <w:sz w:val="21"/>
      <w:lang w:val="en-US" w:eastAsia="zh-CN" w:bidi="ar-SA"/>
    </w:rPr>
  </w:style>
  <w:style w:type="paragraph" w:customStyle="1" w:styleId="158">
    <w:name w:val="表格"/>
    <w:qFormat/>
    <w:uiPriority w:val="0"/>
    <w:pPr>
      <w:widowControl w:val="0"/>
      <w:wordWrap w:val="0"/>
      <w:jc w:val="center"/>
    </w:pPr>
    <w:rPr>
      <w:rFonts w:ascii="Times New Roman" w:hAnsi="Times New Roman" w:eastAsia="仿宋_GB2312" w:cs="Times New Roman"/>
      <w:sz w:val="21"/>
      <w:szCs w:val="24"/>
      <w:lang w:val="en-US" w:eastAsia="zh-CN" w:bidi="ar-SA"/>
    </w:rPr>
  </w:style>
  <w:style w:type="paragraph" w:customStyle="1" w:styleId="159">
    <w:name w:val="MTDisplayEquation"/>
    <w:basedOn w:val="1"/>
    <w:next w:val="1"/>
    <w:qFormat/>
    <w:uiPriority w:val="0"/>
    <w:pPr>
      <w:tabs>
        <w:tab w:val="center" w:pos="4160"/>
        <w:tab w:val="right" w:pos="8300"/>
      </w:tabs>
      <w:jc w:val="both"/>
    </w:pPr>
  </w:style>
  <w:style w:type="paragraph" w:customStyle="1" w:styleId="160">
    <w:name w:val="表标题"/>
    <w:link w:val="161"/>
    <w:qFormat/>
    <w:uiPriority w:val="0"/>
    <w:pPr>
      <w:widowControl w:val="0"/>
      <w:tabs>
        <w:tab w:val="center" w:pos="4153"/>
        <w:tab w:val="left" w:pos="6630"/>
      </w:tabs>
      <w:adjustRightInd w:val="0"/>
      <w:snapToGrid w:val="0"/>
      <w:jc w:val="center"/>
    </w:pPr>
    <w:rPr>
      <w:rFonts w:ascii="黑体" w:hAnsi="黑体" w:eastAsia="黑体" w:cs="Times New Roman"/>
      <w:kern w:val="2"/>
      <w:sz w:val="21"/>
      <w:szCs w:val="21"/>
      <w:lang w:val="en-US" w:eastAsia="zh-CN" w:bidi="ar-SA"/>
    </w:rPr>
  </w:style>
  <w:style w:type="character" w:customStyle="1" w:styleId="161">
    <w:name w:val="表标题 Char Char"/>
    <w:link w:val="160"/>
    <w:qFormat/>
    <w:uiPriority w:val="0"/>
    <w:rPr>
      <w:rFonts w:ascii="黑体" w:hAnsi="黑体" w:eastAsia="黑体"/>
      <w:kern w:val="2"/>
      <w:sz w:val="21"/>
      <w:szCs w:val="21"/>
    </w:rPr>
  </w:style>
  <w:style w:type="paragraph" w:customStyle="1" w:styleId="162">
    <w:name w:val="插图标题"/>
    <w:next w:val="18"/>
    <w:qFormat/>
    <w:uiPriority w:val="0"/>
    <w:pPr>
      <w:spacing w:after="120"/>
      <w:jc w:val="center"/>
    </w:pPr>
    <w:rPr>
      <w:rFonts w:ascii="黑体" w:hAnsi="Times New Roman" w:eastAsia="黑体" w:cs="宋体"/>
      <w:kern w:val="2"/>
      <w:sz w:val="21"/>
      <w:lang w:val="en-US" w:eastAsia="zh-CN" w:bidi="ar-SA"/>
    </w:rPr>
  </w:style>
  <w:style w:type="paragraph" w:customStyle="1" w:styleId="163">
    <w:name w:val="新正文"/>
    <w:basedOn w:val="1"/>
    <w:qFormat/>
    <w:uiPriority w:val="0"/>
    <w:pPr>
      <w:tabs>
        <w:tab w:val="left" w:pos="8295"/>
      </w:tabs>
      <w:spacing w:line="460" w:lineRule="exact"/>
      <w:jc w:val="both"/>
    </w:pPr>
    <w:rPr>
      <w:rFonts w:ascii="宋体"/>
      <w:sz w:val="24"/>
    </w:rPr>
  </w:style>
  <w:style w:type="paragraph" w:customStyle="1" w:styleId="164">
    <w:name w:val="xl37"/>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65">
    <w:name w:val="_Style 133"/>
    <w:basedOn w:val="3"/>
    <w:next w:val="1"/>
    <w:qFormat/>
    <w:uiPriority w:val="0"/>
    <w:pPr>
      <w:keepNext/>
      <w:keepLines/>
      <w:widowControl/>
      <w:spacing w:before="480" w:after="0" w:line="276" w:lineRule="auto"/>
      <w:jc w:val="left"/>
      <w:outlineLvl w:val="9"/>
    </w:pPr>
    <w:rPr>
      <w:rFonts w:ascii="Cambria" w:hAnsi="Cambria" w:eastAsia="宋体"/>
      <w:color w:val="365F91"/>
      <w:kern w:val="0"/>
      <w:sz w:val="28"/>
      <w:szCs w:val="28"/>
    </w:rPr>
  </w:style>
  <w:style w:type="paragraph" w:customStyle="1" w:styleId="166">
    <w:name w:val="内容"/>
    <w:basedOn w:val="1"/>
    <w:qFormat/>
    <w:uiPriority w:val="0"/>
    <w:pPr>
      <w:jc w:val="both"/>
    </w:pPr>
    <w:rPr>
      <w:sz w:val="24"/>
      <w:szCs w:val="28"/>
    </w:rPr>
  </w:style>
  <w:style w:type="paragraph" w:customStyle="1" w:styleId="167">
    <w:name w:val="插图"/>
    <w:next w:val="18"/>
    <w:qFormat/>
    <w:uiPriority w:val="0"/>
    <w:pPr>
      <w:spacing w:line="360" w:lineRule="auto"/>
      <w:jc w:val="center"/>
    </w:pPr>
    <w:rPr>
      <w:rFonts w:ascii="Times New Roman" w:hAnsi="Times New Roman" w:eastAsia="宋体" w:cs="Times New Roman"/>
      <w:lang w:val="en-US" w:eastAsia="zh-CN" w:bidi="ar-SA"/>
    </w:rPr>
  </w:style>
  <w:style w:type="paragraph" w:customStyle="1" w:styleId="168">
    <w:name w:val="样式 标题 3"/>
    <w:qFormat/>
    <w:uiPriority w:val="0"/>
    <w:rPr>
      <w:rFonts w:ascii="Times New Roman" w:hAnsi="Times New Roman" w:eastAsia="黑体" w:cs="宋体"/>
      <w:bCs/>
      <w:kern w:val="2"/>
      <w:sz w:val="28"/>
      <w:lang w:val="en-US" w:eastAsia="zh-CN" w:bidi="ar-SA"/>
    </w:rPr>
  </w:style>
  <w:style w:type="paragraph" w:customStyle="1" w:styleId="169">
    <w:name w:val="_Style 137"/>
    <w:link w:val="170"/>
    <w:qFormat/>
    <w:uiPriority w:val="0"/>
    <w:pPr>
      <w:widowControl w:val="0"/>
      <w:jc w:val="center"/>
    </w:pPr>
    <w:rPr>
      <w:rFonts w:ascii="Times New Roman" w:hAnsi="Times New Roman" w:eastAsia="仿宋_GB2312" w:cs="Times New Roman"/>
      <w:kern w:val="2"/>
      <w:sz w:val="24"/>
      <w:szCs w:val="24"/>
      <w:lang w:val="en-US" w:eastAsia="zh-CN" w:bidi="ar-SA"/>
    </w:rPr>
  </w:style>
  <w:style w:type="character" w:customStyle="1" w:styleId="170">
    <w:name w:val="z-窗体顶端 字符"/>
    <w:link w:val="169"/>
    <w:qFormat/>
    <w:uiPriority w:val="0"/>
    <w:rPr>
      <w:rFonts w:eastAsia="仿宋_GB2312"/>
      <w:kern w:val="2"/>
      <w:sz w:val="24"/>
      <w:szCs w:val="24"/>
    </w:rPr>
  </w:style>
  <w:style w:type="paragraph" w:customStyle="1" w:styleId="17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2">
    <w:name w:val="1 Char Char Char4"/>
    <w:basedOn w:val="5"/>
    <w:next w:val="6"/>
    <w:qFormat/>
    <w:uiPriority w:val="0"/>
    <w:pPr>
      <w:keepNext w:val="0"/>
      <w:keepLines w:val="0"/>
      <w:tabs>
        <w:tab w:val="left" w:pos="360"/>
        <w:tab w:val="left" w:pos="1620"/>
      </w:tabs>
      <w:adjustRightInd/>
      <w:snapToGrid/>
      <w:spacing w:before="260" w:after="260" w:afterLines="50" w:line="416" w:lineRule="auto"/>
      <w:ind w:firstLine="0" w:firstLineChars="0"/>
    </w:pPr>
    <w:rPr>
      <w:kern w:val="0"/>
      <w:sz w:val="24"/>
      <w:szCs w:val="20"/>
    </w:rPr>
  </w:style>
  <w:style w:type="paragraph" w:customStyle="1" w:styleId="173">
    <w:name w:val="No Spacing1"/>
    <w:qFormat/>
    <w:uiPriority w:val="0"/>
    <w:pPr>
      <w:widowControl w:val="0"/>
      <w:adjustRightInd w:val="0"/>
      <w:snapToGrid w:val="0"/>
      <w:spacing w:line="360" w:lineRule="auto"/>
      <w:ind w:firstLine="200" w:firstLineChars="200"/>
    </w:pPr>
    <w:rPr>
      <w:rFonts w:ascii="Times New Roman" w:hAnsi="Times New Roman" w:eastAsia="黑体" w:cs="Times New Roman"/>
      <w:kern w:val="2"/>
      <w:sz w:val="28"/>
      <w:szCs w:val="22"/>
      <w:lang w:val="en-US" w:eastAsia="zh-CN" w:bidi="ar-SA"/>
    </w:rPr>
  </w:style>
  <w:style w:type="paragraph" w:customStyle="1" w:styleId="174">
    <w:name w:val="表格（窄）"/>
    <w:basedOn w:val="1"/>
    <w:qFormat/>
    <w:uiPriority w:val="0"/>
    <w:pPr>
      <w:adjustRightInd/>
      <w:snapToGrid/>
      <w:spacing w:line="240" w:lineRule="auto"/>
      <w:ind w:firstLine="0" w:firstLineChars="0"/>
      <w:jc w:val="center"/>
    </w:pPr>
    <w:rPr>
      <w:kern w:val="0"/>
      <w:sz w:val="21"/>
    </w:rPr>
  </w:style>
  <w:style w:type="paragraph" w:customStyle="1" w:styleId="175">
    <w:name w:val="正文样式1"/>
    <w:basedOn w:val="1"/>
    <w:qFormat/>
    <w:uiPriority w:val="0"/>
    <w:pPr>
      <w:adjustRightInd/>
      <w:snapToGrid/>
      <w:ind w:firstLine="480"/>
      <w:jc w:val="both"/>
    </w:pPr>
    <w:rPr>
      <w:rFonts w:ascii="宋体"/>
    </w:rPr>
  </w:style>
  <w:style w:type="character" w:customStyle="1" w:styleId="176">
    <w:name w:val="正文缩进 字符"/>
    <w:qFormat/>
    <w:uiPriority w:val="0"/>
    <w:rPr>
      <w:kern w:val="2"/>
      <w:sz w:val="21"/>
      <w:szCs w:val="24"/>
    </w:rPr>
  </w:style>
  <w:style w:type="paragraph" w:customStyle="1" w:styleId="177">
    <w:name w:val="默认段落字体 Para Char"/>
    <w:basedOn w:val="1"/>
    <w:next w:val="1"/>
    <w:qFormat/>
    <w:uiPriority w:val="0"/>
    <w:pPr>
      <w:adjustRightInd/>
      <w:snapToGrid/>
      <w:jc w:val="both"/>
    </w:pPr>
    <w:rPr>
      <w:rFonts w:ascii="宋体" w:hAnsi="宋体" w:cs="宋体"/>
    </w:rPr>
  </w:style>
  <w:style w:type="paragraph" w:customStyle="1" w:styleId="178">
    <w:name w:val="3"/>
    <w:basedOn w:val="19"/>
    <w:next w:val="1"/>
    <w:qFormat/>
    <w:uiPriority w:val="0"/>
    <w:pPr>
      <w:spacing w:after="120" w:line="240" w:lineRule="auto"/>
      <w:ind w:left="420" w:leftChars="200" w:firstLine="420"/>
      <w:jc w:val="both"/>
    </w:pPr>
    <w:rPr>
      <w:rFonts w:ascii="宋体" w:hAnsi="宋体"/>
      <w:sz w:val="21"/>
      <w:szCs w:val="28"/>
    </w:rPr>
  </w:style>
  <w:style w:type="paragraph" w:customStyle="1" w:styleId="179">
    <w:name w:val="2"/>
    <w:basedOn w:val="19"/>
    <w:next w:val="1"/>
    <w:qFormat/>
    <w:uiPriority w:val="0"/>
    <w:pPr>
      <w:spacing w:after="120" w:line="240" w:lineRule="auto"/>
      <w:ind w:left="420" w:leftChars="200" w:firstLine="420"/>
      <w:jc w:val="both"/>
    </w:pPr>
    <w:rPr>
      <w:rFonts w:ascii="宋体" w:hAnsi="宋体"/>
      <w:sz w:val="21"/>
      <w:szCs w:val="28"/>
    </w:rPr>
  </w:style>
  <w:style w:type="paragraph" w:customStyle="1" w:styleId="180">
    <w:name w:val="1"/>
    <w:basedOn w:val="19"/>
    <w:next w:val="1"/>
    <w:qFormat/>
    <w:uiPriority w:val="0"/>
    <w:pPr>
      <w:spacing w:after="120" w:line="240" w:lineRule="auto"/>
      <w:ind w:left="420" w:leftChars="200" w:firstLine="420"/>
      <w:jc w:val="both"/>
    </w:pPr>
    <w:rPr>
      <w:rFonts w:ascii="宋体" w:hAnsi="宋体"/>
      <w:sz w:val="21"/>
      <w:szCs w:val="28"/>
    </w:rPr>
  </w:style>
  <w:style w:type="paragraph" w:customStyle="1" w:styleId="181">
    <w:name w:val="Char Char21 Char Char"/>
    <w:basedOn w:val="1"/>
    <w:next w:val="2"/>
    <w:qFormat/>
    <w:uiPriority w:val="0"/>
    <w:pPr>
      <w:adjustRightInd/>
      <w:snapToGrid/>
      <w:spacing w:line="240" w:lineRule="auto"/>
      <w:ind w:firstLine="0" w:firstLineChars="0"/>
      <w:jc w:val="both"/>
    </w:pPr>
    <w:rPr>
      <w:sz w:val="21"/>
      <w:szCs w:val="20"/>
    </w:rPr>
  </w:style>
  <w:style w:type="paragraph" w:customStyle="1" w:styleId="182">
    <w:name w:val="样式 仿宋 小四 行距: 1.5 倍行距"/>
    <w:basedOn w:val="1"/>
    <w:qFormat/>
    <w:uiPriority w:val="0"/>
    <w:pPr>
      <w:adjustRightInd/>
      <w:snapToGrid/>
      <w:ind w:firstLine="480"/>
      <w:jc w:val="both"/>
    </w:pPr>
    <w:rPr>
      <w:rFonts w:eastAsia="仿宋" w:cs="宋体"/>
      <w:szCs w:val="20"/>
    </w:rPr>
  </w:style>
  <w:style w:type="paragraph" w:customStyle="1" w:styleId="183">
    <w:name w:val="[1]正文"/>
    <w:basedOn w:val="1"/>
    <w:link w:val="264"/>
    <w:qFormat/>
    <w:uiPriority w:val="0"/>
    <w:pPr>
      <w:tabs>
        <w:tab w:val="left" w:pos="8773"/>
      </w:tabs>
      <w:autoSpaceDE w:val="0"/>
      <w:autoSpaceDN w:val="0"/>
      <w:snapToGrid/>
      <w:spacing w:line="500" w:lineRule="exact"/>
      <w:jc w:val="both"/>
    </w:pPr>
    <w:rPr>
      <w:kern w:val="0"/>
      <w:szCs w:val="28"/>
      <w:lang w:val="en-GB"/>
    </w:rPr>
  </w:style>
  <w:style w:type="paragraph" w:customStyle="1" w:styleId="184">
    <w:name w:val="样式36"/>
    <w:basedOn w:val="1"/>
    <w:qFormat/>
    <w:uiPriority w:val="0"/>
    <w:pPr>
      <w:widowControl/>
      <w:adjustRightInd/>
      <w:snapToGrid/>
      <w:spacing w:after="200"/>
      <w:ind w:firstLine="0" w:firstLineChars="0"/>
      <w:jc w:val="both"/>
    </w:pPr>
    <w:rPr>
      <w:rFonts w:ascii="Calibri" w:hAnsi="Calibri"/>
      <w:kern w:val="0"/>
      <w:szCs w:val="22"/>
      <w:lang w:eastAsia="en-US" w:bidi="en-US"/>
    </w:rPr>
  </w:style>
  <w:style w:type="character" w:customStyle="1" w:styleId="185">
    <w:name w:val="正文 + 宋体 Char"/>
    <w:qFormat/>
    <w:uiPriority w:val="0"/>
    <w:rPr>
      <w:rFonts w:eastAsia="宋体"/>
      <w:spacing w:val="20"/>
      <w:kern w:val="2"/>
      <w:sz w:val="28"/>
      <w:szCs w:val="24"/>
      <w:lang w:val="en-US" w:eastAsia="zh-CN" w:bidi="ar-SA"/>
    </w:rPr>
  </w:style>
  <w:style w:type="paragraph" w:customStyle="1" w:styleId="186">
    <w:name w:val="Char21"/>
    <w:basedOn w:val="1"/>
    <w:qFormat/>
    <w:uiPriority w:val="0"/>
    <w:pPr>
      <w:adjustRightInd/>
      <w:snapToGrid/>
      <w:spacing w:line="240" w:lineRule="auto"/>
      <w:ind w:firstLine="0" w:firstLineChars="0"/>
      <w:jc w:val="both"/>
    </w:pPr>
    <w:rPr>
      <w:rFonts w:ascii="Calibri" w:hAnsi="Calibri"/>
      <w:kern w:val="0"/>
      <w:sz w:val="22"/>
      <w:szCs w:val="20"/>
      <w:lang w:eastAsia="en-US"/>
    </w:rPr>
  </w:style>
  <w:style w:type="paragraph" w:customStyle="1" w:styleId="187">
    <w:name w:val="Char2"/>
    <w:basedOn w:val="1"/>
    <w:qFormat/>
    <w:uiPriority w:val="0"/>
    <w:pPr>
      <w:adjustRightInd/>
      <w:snapToGrid/>
      <w:spacing w:line="240" w:lineRule="auto"/>
      <w:ind w:firstLine="0" w:firstLineChars="0"/>
      <w:jc w:val="both"/>
    </w:pPr>
    <w:rPr>
      <w:rFonts w:ascii="Calibri" w:hAnsi="Calibri"/>
      <w:kern w:val="0"/>
      <w:sz w:val="22"/>
      <w:szCs w:val="20"/>
      <w:lang w:eastAsia="en-US"/>
    </w:rPr>
  </w:style>
  <w:style w:type="paragraph" w:customStyle="1" w:styleId="188">
    <w:name w:val="Char Char Char Char Char Char2 Char"/>
    <w:basedOn w:val="15"/>
    <w:qFormat/>
    <w:uiPriority w:val="0"/>
    <w:pPr>
      <w:shd w:val="clear" w:color="auto" w:fill="000080"/>
      <w:spacing w:line="240" w:lineRule="auto"/>
      <w:ind w:firstLine="0" w:firstLineChars="0"/>
      <w:jc w:val="both"/>
    </w:pPr>
    <w:rPr>
      <w:spacing w:val="20"/>
      <w:szCs w:val="20"/>
    </w:rPr>
  </w:style>
  <w:style w:type="character" w:customStyle="1" w:styleId="189">
    <w:name w:val="_Style 164"/>
    <w:unhideWhenUsed/>
    <w:qFormat/>
    <w:uiPriority w:val="99"/>
    <w:rPr>
      <w:color w:val="605E5C"/>
      <w:shd w:val="clear" w:color="auto" w:fill="E1DFDD"/>
    </w:rPr>
  </w:style>
  <w:style w:type="character" w:customStyle="1" w:styleId="190">
    <w:name w:val="表标题 Char"/>
    <w:qFormat/>
    <w:uiPriority w:val="0"/>
    <w:rPr>
      <w:rFonts w:eastAsia="黑体" w:cs="宋体"/>
      <w:kern w:val="2"/>
      <w:sz w:val="28"/>
      <w:szCs w:val="21"/>
    </w:rPr>
  </w:style>
  <w:style w:type="paragraph" w:customStyle="1" w:styleId="191">
    <w:name w:val="标题 2 + 仿宋_GB2312 四号"/>
    <w:basedOn w:val="4"/>
    <w:qFormat/>
    <w:uiPriority w:val="0"/>
    <w:pPr>
      <w:spacing w:before="0" w:beforeLines="50" w:after="0" w:afterLines="50"/>
    </w:pPr>
    <w:rPr>
      <w:rFonts w:ascii="仿宋_GB2312" w:hAnsi="Times New Roman" w:eastAsia="仿宋_GB2312" w:cs="宋体"/>
      <w:b w:val="0"/>
      <w:bCs/>
      <w:kern w:val="44"/>
      <w:sz w:val="28"/>
      <w:szCs w:val="20"/>
    </w:rPr>
  </w:style>
  <w:style w:type="character" w:customStyle="1" w:styleId="192">
    <w:name w:val="正文文本缩进 字符"/>
    <w:qFormat/>
    <w:uiPriority w:val="0"/>
    <w:rPr>
      <w:kern w:val="2"/>
      <w:sz w:val="24"/>
      <w:szCs w:val="24"/>
    </w:rPr>
  </w:style>
  <w:style w:type="character" w:customStyle="1" w:styleId="193">
    <w:name w:val="标题 1 字符"/>
    <w:qFormat/>
    <w:uiPriority w:val="0"/>
    <w:rPr>
      <w:rFonts w:ascii="等线 Light" w:hAnsi="等线 Light" w:eastAsia="等线 Light" w:cs="Times New Roman"/>
      <w:color w:val="0F4761"/>
      <w:kern w:val="2"/>
      <w:sz w:val="48"/>
      <w:szCs w:val="48"/>
    </w:rPr>
  </w:style>
  <w:style w:type="character" w:customStyle="1" w:styleId="194">
    <w:name w:val="标题 2 字符"/>
    <w:qFormat/>
    <w:uiPriority w:val="0"/>
    <w:rPr>
      <w:rFonts w:ascii="等线 Light" w:hAnsi="等线 Light" w:eastAsia="等线 Light" w:cs="Times New Roman"/>
      <w:color w:val="0F4761"/>
      <w:kern w:val="2"/>
      <w:sz w:val="40"/>
      <w:szCs w:val="40"/>
    </w:rPr>
  </w:style>
  <w:style w:type="character" w:customStyle="1" w:styleId="195">
    <w:name w:val="标题 3 字符"/>
    <w:qFormat/>
    <w:uiPriority w:val="0"/>
    <w:rPr>
      <w:rFonts w:ascii="等线 Light" w:hAnsi="等线 Light" w:eastAsia="等线 Light" w:cs="Times New Roman"/>
      <w:color w:val="0F4761"/>
      <w:kern w:val="2"/>
      <w:sz w:val="32"/>
      <w:szCs w:val="32"/>
    </w:rPr>
  </w:style>
  <w:style w:type="character" w:customStyle="1" w:styleId="196">
    <w:name w:val="页眉 字符"/>
    <w:qFormat/>
    <w:uiPriority w:val="0"/>
    <w:rPr>
      <w:kern w:val="2"/>
      <w:sz w:val="18"/>
      <w:szCs w:val="18"/>
    </w:rPr>
  </w:style>
  <w:style w:type="character" w:customStyle="1" w:styleId="197">
    <w:name w:val="正文11 Char"/>
    <w:link w:val="198"/>
    <w:qFormat/>
    <w:uiPriority w:val="0"/>
    <w:rPr>
      <w:rFonts w:ascii="宋体" w:hAnsi="宋体"/>
      <w:kern w:val="2"/>
      <w:sz w:val="28"/>
      <w:szCs w:val="22"/>
    </w:rPr>
  </w:style>
  <w:style w:type="paragraph" w:customStyle="1" w:styleId="198">
    <w:name w:val="正文11"/>
    <w:basedOn w:val="1"/>
    <w:link w:val="197"/>
    <w:qFormat/>
    <w:uiPriority w:val="0"/>
    <w:pPr>
      <w:adjustRightInd/>
      <w:snapToGrid/>
      <w:spacing w:line="480" w:lineRule="exact"/>
      <w:jc w:val="both"/>
    </w:pPr>
    <w:rPr>
      <w:rFonts w:ascii="宋体" w:hAnsi="宋体"/>
      <w:szCs w:val="22"/>
    </w:rPr>
  </w:style>
  <w:style w:type="character" w:customStyle="1" w:styleId="199">
    <w:name w:val="样式 (西文) 宋体 四号"/>
    <w:qFormat/>
    <w:uiPriority w:val="0"/>
    <w:rPr>
      <w:rFonts w:ascii="宋体" w:hAnsi="宋体" w:eastAsia="仿宋_GB2312"/>
      <w:sz w:val="24"/>
    </w:rPr>
  </w:style>
  <w:style w:type="paragraph" w:customStyle="1" w:styleId="200">
    <w:name w:val="正文——设计院"/>
    <w:basedOn w:val="1"/>
    <w:qFormat/>
    <w:uiPriority w:val="0"/>
    <w:pPr>
      <w:ind w:firstLine="883"/>
      <w:jc w:val="both"/>
    </w:pPr>
    <w:rPr>
      <w:rFonts w:eastAsia="仿宋"/>
    </w:rPr>
  </w:style>
  <w:style w:type="paragraph" w:customStyle="1" w:styleId="201">
    <w:name w:val="样式 标题 2 + (中文) 仿宋_GB2312"/>
    <w:basedOn w:val="4"/>
    <w:qFormat/>
    <w:uiPriority w:val="0"/>
    <w:pPr>
      <w:spacing w:after="240"/>
      <w:ind w:firstLine="0" w:firstLineChars="0"/>
    </w:pPr>
    <w:rPr>
      <w:szCs w:val="32"/>
    </w:rPr>
  </w:style>
  <w:style w:type="paragraph" w:customStyle="1" w:styleId="202">
    <w:name w:val="双辽正文"/>
    <w:basedOn w:val="1"/>
    <w:qFormat/>
    <w:uiPriority w:val="0"/>
    <w:pPr>
      <w:ind w:firstLine="480"/>
      <w:jc w:val="both"/>
    </w:pPr>
    <w:rPr>
      <w:sz w:val="24"/>
    </w:rPr>
  </w:style>
  <w:style w:type="paragraph" w:customStyle="1" w:styleId="203">
    <w:name w:val="1正文"/>
    <w:basedOn w:val="1"/>
    <w:qFormat/>
    <w:uiPriority w:val="0"/>
    <w:pPr>
      <w:ind w:firstLine="480" w:firstLineChars="0"/>
      <w:jc w:val="both"/>
    </w:pPr>
    <w:rPr>
      <w:rFonts w:ascii="宋体" w:hAnsi="宋体"/>
      <w:sz w:val="24"/>
    </w:rPr>
  </w:style>
  <w:style w:type="table" w:customStyle="1" w:styleId="204">
    <w:name w:val="Table Normal"/>
    <w:unhideWhenUsed/>
    <w:qFormat/>
    <w:uiPriority w:val="2"/>
    <w:tblPr>
      <w:tblCellMar>
        <w:top w:w="0" w:type="dxa"/>
        <w:left w:w="0" w:type="dxa"/>
        <w:bottom w:w="0" w:type="dxa"/>
        <w:right w:w="0" w:type="dxa"/>
      </w:tblCellMar>
    </w:tblPr>
  </w:style>
  <w:style w:type="paragraph" w:customStyle="1" w:styleId="205">
    <w:name w:val="样式 居中 行距: 单倍行距1"/>
    <w:basedOn w:val="1"/>
    <w:qFormat/>
    <w:uiPriority w:val="0"/>
    <w:pPr>
      <w:ind w:firstLine="480"/>
      <w:jc w:val="center"/>
    </w:pPr>
    <w:rPr>
      <w:rFonts w:eastAsia="仿宋_GB2312" w:cs="宋体"/>
      <w:kern w:val="0"/>
      <w:sz w:val="24"/>
      <w:szCs w:val="20"/>
    </w:rPr>
  </w:style>
  <w:style w:type="character" w:customStyle="1" w:styleId="206">
    <w:name w:val="font71"/>
    <w:basedOn w:val="44"/>
    <w:qFormat/>
    <w:uiPriority w:val="0"/>
    <w:rPr>
      <w:rFonts w:hint="eastAsia" w:ascii="宋体" w:hAnsi="宋体" w:eastAsia="宋体" w:cs="宋体"/>
      <w:color w:val="000000"/>
      <w:sz w:val="21"/>
      <w:szCs w:val="21"/>
      <w:u w:val="none"/>
    </w:rPr>
  </w:style>
  <w:style w:type="character" w:customStyle="1" w:styleId="207">
    <w:name w:val="font81"/>
    <w:basedOn w:val="44"/>
    <w:qFormat/>
    <w:uiPriority w:val="0"/>
    <w:rPr>
      <w:rFonts w:hint="eastAsia" w:ascii="宋体" w:hAnsi="宋体" w:eastAsia="宋体" w:cs="宋体"/>
      <w:color w:val="000000"/>
      <w:sz w:val="22"/>
      <w:szCs w:val="22"/>
      <w:u w:val="none"/>
    </w:rPr>
  </w:style>
  <w:style w:type="character" w:customStyle="1" w:styleId="208">
    <w:name w:val="font91"/>
    <w:basedOn w:val="44"/>
    <w:qFormat/>
    <w:uiPriority w:val="0"/>
    <w:rPr>
      <w:rFonts w:hint="eastAsia" w:ascii="宋体" w:hAnsi="宋体" w:eastAsia="宋体" w:cs="宋体"/>
      <w:color w:val="000000"/>
      <w:sz w:val="21"/>
      <w:szCs w:val="21"/>
      <w:u w:val="none"/>
    </w:rPr>
  </w:style>
  <w:style w:type="character" w:customStyle="1" w:styleId="209">
    <w:name w:val="font101"/>
    <w:basedOn w:val="44"/>
    <w:qFormat/>
    <w:uiPriority w:val="0"/>
    <w:rPr>
      <w:rFonts w:hint="eastAsia" w:ascii="宋体" w:hAnsi="宋体" w:eastAsia="宋体" w:cs="宋体"/>
      <w:color w:val="000000"/>
      <w:sz w:val="22"/>
      <w:szCs w:val="22"/>
      <w:u w:val="none"/>
    </w:rPr>
  </w:style>
  <w:style w:type="paragraph" w:customStyle="1" w:styleId="210">
    <w:name w:val="矿山正文"/>
    <w:basedOn w:val="1"/>
    <w:qFormat/>
    <w:uiPriority w:val="0"/>
    <w:pPr>
      <w:tabs>
        <w:tab w:val="left" w:pos="8222"/>
      </w:tabs>
      <w:adjustRightInd/>
      <w:snapToGrid/>
      <w:ind w:firstLine="480"/>
      <w:jc w:val="both"/>
    </w:pPr>
    <w:rPr>
      <w:kern w:val="0"/>
      <w:sz w:val="24"/>
      <w:szCs w:val="22"/>
    </w:rPr>
  </w:style>
  <w:style w:type="character" w:customStyle="1" w:styleId="211">
    <w:name w:val="标题 6 字符"/>
    <w:basedOn w:val="44"/>
    <w:link w:val="8"/>
    <w:qFormat/>
    <w:uiPriority w:val="0"/>
    <w:rPr>
      <w:rFonts w:ascii="Arial" w:hAnsi="Arial" w:eastAsia="黑体"/>
      <w:b/>
      <w:bCs/>
      <w:kern w:val="2"/>
      <w:sz w:val="24"/>
      <w:szCs w:val="24"/>
    </w:rPr>
  </w:style>
  <w:style w:type="character" w:customStyle="1" w:styleId="212">
    <w:name w:val="标题 7 字符"/>
    <w:basedOn w:val="44"/>
    <w:link w:val="9"/>
    <w:qFormat/>
    <w:uiPriority w:val="0"/>
    <w:rPr>
      <w:b/>
      <w:bCs/>
      <w:kern w:val="2"/>
      <w:sz w:val="24"/>
      <w:szCs w:val="24"/>
    </w:rPr>
  </w:style>
  <w:style w:type="character" w:customStyle="1" w:styleId="213">
    <w:name w:val="标题 8 字符"/>
    <w:basedOn w:val="44"/>
    <w:link w:val="10"/>
    <w:qFormat/>
    <w:uiPriority w:val="0"/>
    <w:rPr>
      <w:rFonts w:ascii="Arial" w:hAnsi="Arial" w:eastAsia="黑体"/>
      <w:kern w:val="2"/>
      <w:sz w:val="24"/>
      <w:szCs w:val="24"/>
    </w:rPr>
  </w:style>
  <w:style w:type="character" w:customStyle="1" w:styleId="214">
    <w:name w:val="标题 9 字符"/>
    <w:basedOn w:val="44"/>
    <w:link w:val="11"/>
    <w:qFormat/>
    <w:uiPriority w:val="0"/>
    <w:rPr>
      <w:rFonts w:ascii="Arial" w:hAnsi="Arial" w:eastAsia="黑体"/>
      <w:kern w:val="2"/>
      <w:sz w:val="21"/>
      <w:szCs w:val="21"/>
    </w:rPr>
  </w:style>
  <w:style w:type="character" w:customStyle="1" w:styleId="215">
    <w:name w:val="日期 字符"/>
    <w:basedOn w:val="44"/>
    <w:link w:val="25"/>
    <w:qFormat/>
    <w:uiPriority w:val="0"/>
    <w:rPr>
      <w:spacing w:val="20"/>
      <w:kern w:val="2"/>
      <w:sz w:val="28"/>
      <w:szCs w:val="24"/>
    </w:rPr>
  </w:style>
  <w:style w:type="character" w:customStyle="1" w:styleId="216">
    <w:name w:val="正文文本缩进 2 字符"/>
    <w:basedOn w:val="44"/>
    <w:link w:val="26"/>
    <w:qFormat/>
    <w:uiPriority w:val="0"/>
    <w:rPr>
      <w:b/>
      <w:bCs/>
      <w:spacing w:val="20"/>
      <w:kern w:val="2"/>
      <w:sz w:val="28"/>
      <w:szCs w:val="24"/>
    </w:rPr>
  </w:style>
  <w:style w:type="character" w:customStyle="1" w:styleId="217">
    <w:name w:val="不明显强调1"/>
    <w:qFormat/>
    <w:uiPriority w:val="19"/>
    <w:rPr>
      <w:i/>
      <w:iCs/>
      <w:color w:val="808080"/>
    </w:rPr>
  </w:style>
  <w:style w:type="paragraph" w:customStyle="1" w:styleId="218">
    <w:name w:val="Char Char Char Char1"/>
    <w:basedOn w:val="1"/>
    <w:qFormat/>
    <w:uiPriority w:val="0"/>
    <w:pPr>
      <w:adjustRightInd/>
      <w:snapToGrid/>
      <w:spacing w:line="240" w:lineRule="auto"/>
      <w:ind w:firstLine="0" w:firstLineChars="0"/>
      <w:jc w:val="both"/>
    </w:pPr>
    <w:rPr>
      <w:sz w:val="21"/>
    </w:rPr>
  </w:style>
  <w:style w:type="paragraph" w:customStyle="1" w:styleId="219">
    <w:name w:val="地质报告正文"/>
    <w:basedOn w:val="1"/>
    <w:qFormat/>
    <w:uiPriority w:val="0"/>
    <w:pPr>
      <w:adjustRightInd/>
      <w:snapToGrid/>
      <w:spacing w:line="240" w:lineRule="auto"/>
      <w:jc w:val="both"/>
    </w:pPr>
  </w:style>
  <w:style w:type="character" w:customStyle="1" w:styleId="220">
    <w:name w:val="正文（首行缩进两字） Char"/>
    <w:link w:val="58"/>
    <w:qFormat/>
    <w:uiPriority w:val="0"/>
    <w:rPr>
      <w:kern w:val="2"/>
      <w:sz w:val="28"/>
      <w:szCs w:val="21"/>
    </w:rPr>
  </w:style>
  <w:style w:type="paragraph" w:customStyle="1" w:styleId="221">
    <w:name w:val="样式35"/>
    <w:basedOn w:val="1"/>
    <w:qFormat/>
    <w:uiPriority w:val="0"/>
    <w:pPr>
      <w:snapToGrid/>
      <w:spacing w:line="312" w:lineRule="auto"/>
      <w:ind w:firstLine="567" w:firstLineChars="0"/>
      <w:jc w:val="both"/>
    </w:pPr>
    <w:rPr>
      <w:rFonts w:ascii="宋体"/>
      <w:kern w:val="0"/>
      <w:szCs w:val="20"/>
    </w:rPr>
  </w:style>
  <w:style w:type="character" w:customStyle="1" w:styleId="222">
    <w:name w:val="表头 Char"/>
    <w:qFormat/>
    <w:uiPriority w:val="0"/>
    <w:rPr>
      <w:rFonts w:ascii="Times New Roman" w:hAnsi="Times New Roman"/>
      <w:b/>
      <w:bCs/>
      <w:spacing w:val="24"/>
      <w:sz w:val="28"/>
      <w:szCs w:val="32"/>
    </w:rPr>
  </w:style>
  <w:style w:type="paragraph" w:customStyle="1" w:styleId="223">
    <w:name w:val="段落1"/>
    <w:basedOn w:val="1"/>
    <w:qFormat/>
    <w:uiPriority w:val="0"/>
    <w:pPr>
      <w:snapToGrid/>
      <w:spacing w:line="480" w:lineRule="exact"/>
      <w:ind w:firstLine="538" w:firstLineChars="210"/>
      <w:jc w:val="both"/>
    </w:pPr>
    <w:rPr>
      <w:spacing w:val="8"/>
      <w:sz w:val="24"/>
      <w:szCs w:val="20"/>
    </w:rPr>
  </w:style>
  <w:style w:type="character" w:customStyle="1" w:styleId="224">
    <w:name w:val="正文样式 Char"/>
    <w:link w:val="225"/>
    <w:qFormat/>
    <w:uiPriority w:val="0"/>
    <w:rPr>
      <w:kern w:val="2"/>
      <w:sz w:val="24"/>
      <w:szCs w:val="24"/>
    </w:rPr>
  </w:style>
  <w:style w:type="paragraph" w:customStyle="1" w:styleId="225">
    <w:name w:val="正文样式"/>
    <w:basedOn w:val="1"/>
    <w:link w:val="224"/>
    <w:qFormat/>
    <w:uiPriority w:val="0"/>
    <w:pPr>
      <w:adjustRightInd/>
      <w:snapToGrid/>
      <w:ind w:left="-50" w:leftChars="-50"/>
      <w:jc w:val="both"/>
    </w:pPr>
    <w:rPr>
      <w:sz w:val="24"/>
    </w:rPr>
  </w:style>
  <w:style w:type="character" w:customStyle="1" w:styleId="226">
    <w:name w:val="样式 首行缩进:  2 字符2 Char"/>
    <w:link w:val="227"/>
    <w:qFormat/>
    <w:uiPriority w:val="0"/>
    <w:rPr>
      <w:rFonts w:cs="宋体"/>
      <w:kern w:val="2"/>
      <w:sz w:val="28"/>
    </w:rPr>
  </w:style>
  <w:style w:type="paragraph" w:customStyle="1" w:styleId="227">
    <w:name w:val="样式 首行缩进:  2 字符2"/>
    <w:basedOn w:val="1"/>
    <w:link w:val="226"/>
    <w:qFormat/>
    <w:uiPriority w:val="0"/>
    <w:pPr>
      <w:adjustRightInd/>
      <w:spacing w:line="300" w:lineRule="auto"/>
    </w:pPr>
    <w:rPr>
      <w:rFonts w:cs="宋体"/>
      <w:szCs w:val="20"/>
    </w:rPr>
  </w:style>
  <w:style w:type="paragraph" w:customStyle="1" w:styleId="228">
    <w:name w:val="居中"/>
    <w:basedOn w:val="1"/>
    <w:qFormat/>
    <w:uiPriority w:val="0"/>
    <w:pPr>
      <w:spacing w:line="300" w:lineRule="auto"/>
      <w:ind w:firstLine="0" w:firstLineChars="0"/>
      <w:jc w:val="center"/>
    </w:pPr>
    <w:rPr>
      <w:rFonts w:cs="宋体"/>
      <w:szCs w:val="20"/>
    </w:rPr>
  </w:style>
  <w:style w:type="paragraph" w:customStyle="1" w:styleId="229">
    <w:name w:val="表序号"/>
    <w:next w:val="147"/>
    <w:qFormat/>
    <w:uiPriority w:val="0"/>
    <w:pPr>
      <w:keepNext/>
      <w:widowControl w:val="0"/>
      <w:ind w:right="200" w:rightChars="200"/>
      <w:jc w:val="right"/>
    </w:pPr>
    <w:rPr>
      <w:rFonts w:ascii="Times New Roman" w:hAnsi="Times New Roman" w:eastAsia="宋体" w:cs="Times New Roman"/>
      <w:sz w:val="24"/>
      <w:lang w:val="en-US" w:eastAsia="zh-CN" w:bidi="ar-SA"/>
    </w:rPr>
  </w:style>
  <w:style w:type="character" w:customStyle="1" w:styleId="230">
    <w:name w:val="表序号 Char"/>
    <w:qFormat/>
    <w:uiPriority w:val="0"/>
    <w:rPr>
      <w:rFonts w:eastAsia="宋体"/>
      <w:b/>
      <w:sz w:val="24"/>
      <w:lang w:val="en-US" w:eastAsia="zh-CN" w:bidi="ar-SA"/>
    </w:rPr>
  </w:style>
  <w:style w:type="paragraph" w:customStyle="1" w:styleId="231">
    <w:name w:val="目录标题"/>
    <w:next w:val="30"/>
    <w:qFormat/>
    <w:uiPriority w:val="0"/>
    <w:pPr>
      <w:spacing w:before="200" w:beforeLines="200" w:after="200" w:afterLines="200"/>
      <w:jc w:val="center"/>
    </w:pPr>
    <w:rPr>
      <w:rFonts w:ascii="Times New Roman" w:hAnsi="Times New Roman" w:eastAsia="宋体" w:cs="Times New Roman"/>
      <w:b/>
      <w:spacing w:val="100"/>
      <w:kern w:val="10"/>
      <w:sz w:val="36"/>
      <w:lang w:val="en-US" w:eastAsia="zh-CN" w:bidi="ar-SA"/>
    </w:rPr>
  </w:style>
  <w:style w:type="paragraph" w:customStyle="1" w:styleId="232">
    <w:name w:val="_Style 89"/>
    <w:qFormat/>
    <w:uiPriority w:val="0"/>
    <w:pPr>
      <w:widowControl w:val="0"/>
      <w:spacing w:line="360" w:lineRule="auto"/>
      <w:ind w:firstLine="480" w:firstLineChars="200"/>
      <w:jc w:val="both"/>
    </w:pPr>
    <w:rPr>
      <w:rFonts w:ascii="Times New Roman" w:hAnsi="宋体" w:eastAsia="宋体" w:cs="Times New Roman"/>
      <w:kern w:val="2"/>
      <w:sz w:val="24"/>
      <w:szCs w:val="24"/>
      <w:lang w:val="en-US" w:eastAsia="zh-CN" w:bidi="ar-SA"/>
    </w:rPr>
  </w:style>
  <w:style w:type="paragraph" w:customStyle="1" w:styleId="233">
    <w:name w:val="标题4"/>
    <w:basedOn w:val="1"/>
    <w:qFormat/>
    <w:uiPriority w:val="0"/>
    <w:pPr>
      <w:adjustRightInd/>
      <w:snapToGrid/>
      <w:spacing w:line="480" w:lineRule="exact"/>
      <w:ind w:firstLine="640"/>
      <w:jc w:val="both"/>
    </w:pPr>
    <w:rPr>
      <w:rFonts w:eastAsia="仿宋_GB2312"/>
      <w:spacing w:val="20"/>
    </w:rPr>
  </w:style>
  <w:style w:type="paragraph" w:customStyle="1" w:styleId="234">
    <w:name w:val="样式2"/>
    <w:basedOn w:val="1"/>
    <w:qFormat/>
    <w:uiPriority w:val="0"/>
    <w:pPr>
      <w:pageBreakBefore/>
      <w:adjustRightInd/>
      <w:snapToGrid/>
      <w:spacing w:before="1560" w:after="156" w:afterLines="50" w:line="400" w:lineRule="exact"/>
      <w:ind w:firstLine="0" w:firstLineChars="0"/>
      <w:jc w:val="center"/>
      <w:outlineLvl w:val="1"/>
    </w:pPr>
    <w:rPr>
      <w:b/>
      <w:bCs/>
      <w:spacing w:val="24"/>
      <w:kern w:val="0"/>
      <w:sz w:val="21"/>
      <w:szCs w:val="21"/>
    </w:rPr>
  </w:style>
  <w:style w:type="paragraph" w:customStyle="1" w:styleId="235">
    <w:name w:val="正文 + 宋体"/>
    <w:basedOn w:val="1"/>
    <w:qFormat/>
    <w:uiPriority w:val="0"/>
    <w:pPr>
      <w:adjustRightInd/>
      <w:snapToGrid/>
      <w:spacing w:line="480" w:lineRule="exact"/>
      <w:ind w:firstLine="640"/>
      <w:jc w:val="both"/>
    </w:pPr>
    <w:rPr>
      <w:spacing w:val="20"/>
    </w:rPr>
  </w:style>
  <w:style w:type="paragraph" w:customStyle="1" w:styleId="236">
    <w:name w:val="表内内容"/>
    <w:basedOn w:val="1"/>
    <w:qFormat/>
    <w:uiPriority w:val="0"/>
    <w:pPr>
      <w:adjustRightInd/>
      <w:snapToGrid/>
      <w:spacing w:line="240" w:lineRule="exact"/>
      <w:ind w:firstLine="0" w:firstLineChars="0"/>
      <w:jc w:val="center"/>
    </w:pPr>
    <w:rPr>
      <w:kern w:val="52"/>
      <w:sz w:val="21"/>
    </w:rPr>
  </w:style>
  <w:style w:type="paragraph" w:customStyle="1" w:styleId="237">
    <w:name w:val="样式1"/>
    <w:basedOn w:val="1"/>
    <w:qFormat/>
    <w:uiPriority w:val="0"/>
    <w:pPr>
      <w:widowControl/>
      <w:adjustRightInd/>
      <w:snapToGrid/>
      <w:spacing w:after="50" w:afterLines="50" w:line="240" w:lineRule="auto"/>
      <w:ind w:firstLine="0" w:firstLineChars="0"/>
      <w:jc w:val="center"/>
      <w:outlineLvl w:val="0"/>
    </w:pPr>
    <w:rPr>
      <w:b/>
      <w:bCs/>
      <w:spacing w:val="24"/>
      <w:kern w:val="0"/>
      <w:sz w:val="48"/>
      <w:szCs w:val="32"/>
    </w:rPr>
  </w:style>
  <w:style w:type="paragraph" w:customStyle="1" w:styleId="238">
    <w:name w:val="样式3"/>
    <w:basedOn w:val="4"/>
    <w:qFormat/>
    <w:uiPriority w:val="0"/>
    <w:pPr>
      <w:adjustRightInd/>
      <w:snapToGrid/>
      <w:spacing w:before="0" w:after="0" w:line="400" w:lineRule="exact"/>
      <w:ind w:firstLine="0" w:firstLineChars="0"/>
      <w:jc w:val="center"/>
    </w:pPr>
    <w:rPr>
      <w:rFonts w:ascii="Times New Roman" w:hAnsi="Times New Roman"/>
      <w:spacing w:val="20"/>
      <w:sz w:val="28"/>
    </w:rPr>
  </w:style>
  <w:style w:type="paragraph" w:customStyle="1" w:styleId="239">
    <w:name w:val="font0"/>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4"/>
    </w:rPr>
  </w:style>
  <w:style w:type="paragraph" w:customStyle="1" w:styleId="240">
    <w:name w:val="font5"/>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18"/>
      <w:szCs w:val="18"/>
    </w:rPr>
  </w:style>
  <w:style w:type="paragraph" w:customStyle="1" w:styleId="241">
    <w:name w:val="xl2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42">
    <w:name w:val="xl2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43">
    <w:name w:val="xl2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Arial Unicode MS" w:hAnsi="Arial Unicode MS" w:eastAsia="Arial Unicode MS" w:cs="Arial Unicode MS"/>
      <w:kern w:val="0"/>
      <w:sz w:val="24"/>
    </w:rPr>
  </w:style>
  <w:style w:type="paragraph" w:customStyle="1" w:styleId="244">
    <w:name w:val="xl2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Arial Unicode MS" w:hAnsi="Arial Unicode MS" w:eastAsia="Arial Unicode MS" w:cs="Arial Unicode MS"/>
      <w:kern w:val="0"/>
      <w:sz w:val="24"/>
    </w:rPr>
  </w:style>
  <w:style w:type="paragraph" w:customStyle="1" w:styleId="245">
    <w:name w:val="xl2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Arial Unicode MS" w:hAnsi="Arial Unicode MS" w:eastAsia="Arial Unicode MS" w:cs="Arial Unicode MS"/>
      <w:kern w:val="0"/>
      <w:sz w:val="24"/>
    </w:rPr>
  </w:style>
  <w:style w:type="paragraph" w:customStyle="1" w:styleId="246">
    <w:name w:val="xl2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Arial Unicode MS" w:hAnsi="Arial Unicode MS" w:eastAsia="Arial Unicode MS" w:cs="Arial Unicode MS"/>
      <w:kern w:val="0"/>
      <w:sz w:val="24"/>
    </w:rPr>
  </w:style>
  <w:style w:type="paragraph" w:customStyle="1" w:styleId="247">
    <w:name w:val="font6"/>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18"/>
      <w:szCs w:val="18"/>
    </w:rPr>
  </w:style>
  <w:style w:type="paragraph" w:customStyle="1" w:styleId="248">
    <w:name w:val="font7"/>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2"/>
      <w:szCs w:val="22"/>
    </w:rPr>
  </w:style>
  <w:style w:type="paragraph" w:customStyle="1" w:styleId="249">
    <w:name w:val="font8"/>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2"/>
      <w:szCs w:val="22"/>
    </w:rPr>
  </w:style>
  <w:style w:type="paragraph" w:customStyle="1" w:styleId="250">
    <w:name w:val="font9"/>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2"/>
      <w:szCs w:val="22"/>
    </w:rPr>
  </w:style>
  <w:style w:type="paragraph" w:customStyle="1" w:styleId="251">
    <w:name w:val="xl3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52">
    <w:name w:val="xl3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53">
    <w:name w:val="xl32"/>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4">
    <w:name w:val="xl33"/>
    <w:basedOn w:val="1"/>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5">
    <w:name w:val="xl34"/>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6">
    <w:name w:val="xl35"/>
    <w:basedOn w:val="1"/>
    <w:qFormat/>
    <w:uiPriority w:val="0"/>
    <w:pPr>
      <w:widowControl/>
      <w:pBdr>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40"/>
      <w:szCs w:val="40"/>
    </w:rPr>
  </w:style>
  <w:style w:type="paragraph" w:customStyle="1" w:styleId="257">
    <w:name w:val="xl36"/>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8">
    <w:name w:val="xl38"/>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9">
    <w:name w:val="xl3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0">
    <w:name w:val="xl40"/>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1">
    <w:name w:val="xl4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2">
    <w:name w:val="xl2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3">
    <w:name w:val="xl2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character" w:customStyle="1" w:styleId="264">
    <w:name w:val="[1]正文 Char"/>
    <w:link w:val="183"/>
    <w:qFormat/>
    <w:locked/>
    <w:uiPriority w:val="0"/>
    <w:rPr>
      <w:sz w:val="28"/>
      <w:szCs w:val="28"/>
      <w:lang w:val="en-GB"/>
    </w:rPr>
  </w:style>
  <w:style w:type="paragraph" w:customStyle="1" w:styleId="265">
    <w:name w:val="Char Char Char Char Char2 Char"/>
    <w:basedOn w:val="1"/>
    <w:semiHidden/>
    <w:qFormat/>
    <w:uiPriority w:val="0"/>
    <w:pPr>
      <w:jc w:val="both"/>
    </w:pPr>
    <w:rPr>
      <w:rFonts w:ascii="宋体" w:hAnsi="宋体" w:cs="宋体"/>
      <w:sz w:val="24"/>
      <w:szCs w:val="26"/>
    </w:rPr>
  </w:style>
  <w:style w:type="paragraph" w:customStyle="1" w:styleId="266">
    <w:name w:val="Char Char Char"/>
    <w:basedOn w:val="1"/>
    <w:semiHidden/>
    <w:qFormat/>
    <w:uiPriority w:val="0"/>
    <w:pPr>
      <w:adjustRightInd/>
      <w:snapToGrid/>
      <w:spacing w:line="500" w:lineRule="exact"/>
      <w:jc w:val="both"/>
    </w:pPr>
    <w:rPr>
      <w:rFonts w:ascii="Tahoma" w:hAnsi="Tahoma"/>
      <w:b/>
      <w:szCs w:val="28"/>
    </w:rPr>
  </w:style>
  <w:style w:type="character" w:customStyle="1" w:styleId="267">
    <w:name w:val="无间隔 Char"/>
    <w:qFormat/>
    <w:uiPriority w:val="0"/>
    <w:rPr>
      <w:rFonts w:ascii="Calibri" w:hAnsi="Calibri" w:eastAsia="宋体"/>
      <w:sz w:val="28"/>
      <w:szCs w:val="32"/>
      <w:lang w:val="en-US" w:eastAsia="en-US" w:bidi="en-US"/>
    </w:rPr>
  </w:style>
  <w:style w:type="character" w:customStyle="1" w:styleId="268">
    <w:name w:val="威-四级目录 Char Char"/>
    <w:link w:val="269"/>
    <w:qFormat/>
    <w:uiPriority w:val="0"/>
    <w:rPr>
      <w:kern w:val="2"/>
      <w:sz w:val="28"/>
      <w:szCs w:val="28"/>
    </w:rPr>
  </w:style>
  <w:style w:type="paragraph" w:customStyle="1" w:styleId="269">
    <w:name w:val="威-四级目录"/>
    <w:basedOn w:val="1"/>
    <w:link w:val="268"/>
    <w:qFormat/>
    <w:uiPriority w:val="0"/>
    <w:pPr>
      <w:adjustRightInd/>
      <w:snapToGrid/>
      <w:ind w:firstLine="560"/>
      <w:jc w:val="both"/>
    </w:pPr>
    <w:rPr>
      <w:szCs w:val="28"/>
    </w:rPr>
  </w:style>
  <w:style w:type="paragraph" w:customStyle="1" w:styleId="270">
    <w:name w:val="样式 加粗"/>
    <w:basedOn w:val="1"/>
    <w:qFormat/>
    <w:uiPriority w:val="0"/>
    <w:pPr>
      <w:spacing w:line="500" w:lineRule="exact"/>
    </w:pPr>
    <w:rPr>
      <w:rFonts w:cs="宋体"/>
      <w:b/>
      <w:bCs/>
      <w:kern w:val="0"/>
      <w:szCs w:val="20"/>
    </w:rPr>
  </w:style>
  <w:style w:type="character" w:customStyle="1" w:styleId="271">
    <w:name w:val="样式 华文新魏"/>
    <w:qFormat/>
    <w:uiPriority w:val="0"/>
    <w:rPr>
      <w:rFonts w:ascii="华文新魏" w:hAnsi="华文新魏" w:eastAsia="华文新魏"/>
    </w:rPr>
  </w:style>
  <w:style w:type="paragraph" w:customStyle="1" w:styleId="272">
    <w:name w:val="标正"/>
    <w:basedOn w:val="1"/>
    <w:qFormat/>
    <w:uiPriority w:val="0"/>
    <w:pPr>
      <w:adjustRightInd/>
      <w:snapToGrid/>
      <w:spacing w:before="156" w:beforeLines="50" w:line="360" w:lineRule="exact"/>
      <w:ind w:firstLine="422"/>
      <w:jc w:val="both"/>
    </w:pPr>
    <w:rPr>
      <w:sz w:val="21"/>
    </w:rPr>
  </w:style>
  <w:style w:type="paragraph" w:customStyle="1" w:styleId="273">
    <w:name w:val="标题5"/>
    <w:basedOn w:val="7"/>
    <w:qFormat/>
    <w:uiPriority w:val="0"/>
    <w:pPr>
      <w:tabs>
        <w:tab w:val="left" w:pos="1008"/>
      </w:tabs>
      <w:spacing w:before="0" w:after="0" w:line="500" w:lineRule="exact"/>
      <w:ind w:firstLine="0" w:firstLineChars="0"/>
      <w:jc w:val="left"/>
    </w:pPr>
  </w:style>
  <w:style w:type="character" w:customStyle="1" w:styleId="274">
    <w:name w:val="正文1 Char"/>
    <w:link w:val="275"/>
    <w:qFormat/>
    <w:locked/>
    <w:uiPriority w:val="0"/>
    <w:rPr>
      <w:rFonts w:ascii="宋体" w:hAnsi="宋体"/>
      <w:sz w:val="28"/>
      <w:szCs w:val="28"/>
    </w:rPr>
  </w:style>
  <w:style w:type="paragraph" w:customStyle="1" w:styleId="275">
    <w:name w:val="正文1"/>
    <w:basedOn w:val="1"/>
    <w:link w:val="274"/>
    <w:qFormat/>
    <w:uiPriority w:val="0"/>
    <w:pPr>
      <w:adjustRightInd/>
      <w:snapToGrid/>
      <w:spacing w:line="480" w:lineRule="exact"/>
      <w:jc w:val="both"/>
    </w:pPr>
    <w:rPr>
      <w:rFonts w:ascii="宋体" w:hAnsi="宋体"/>
      <w:kern w:val="0"/>
      <w:szCs w:val="28"/>
    </w:rPr>
  </w:style>
  <w:style w:type="paragraph" w:customStyle="1" w:styleId="276">
    <w:name w:val="首行缩进:  2 字符"/>
    <w:basedOn w:val="1"/>
    <w:link w:val="277"/>
    <w:qFormat/>
    <w:uiPriority w:val="0"/>
    <w:pPr>
      <w:spacing w:line="498" w:lineRule="exact"/>
      <w:ind w:firstLine="560"/>
    </w:pPr>
    <w:rPr>
      <w:kern w:val="0"/>
      <w:szCs w:val="20"/>
    </w:rPr>
  </w:style>
  <w:style w:type="character" w:customStyle="1" w:styleId="277">
    <w:name w:val="首行缩进:  2 字符 Char"/>
    <w:link w:val="276"/>
    <w:qFormat/>
    <w:uiPriority w:val="0"/>
    <w:rPr>
      <w:sz w:val="28"/>
    </w:rPr>
  </w:style>
  <w:style w:type="paragraph" w:customStyle="1" w:styleId="278">
    <w:name w:val="27-二级"/>
    <w:basedOn w:val="1"/>
    <w:link w:val="279"/>
    <w:qFormat/>
    <w:uiPriority w:val="0"/>
    <w:pPr>
      <w:keepNext/>
      <w:keepLines/>
      <w:adjustRightInd/>
      <w:snapToGrid/>
      <w:spacing w:line="540" w:lineRule="exact"/>
      <w:ind w:firstLine="0" w:firstLineChars="0"/>
      <w:jc w:val="both"/>
      <w:outlineLvl w:val="1"/>
    </w:pPr>
    <w:rPr>
      <w:b/>
      <w:szCs w:val="28"/>
    </w:rPr>
  </w:style>
  <w:style w:type="character" w:customStyle="1" w:styleId="279">
    <w:name w:val="27-二级 Char"/>
    <w:link w:val="278"/>
    <w:qFormat/>
    <w:uiPriority w:val="0"/>
    <w:rPr>
      <w:b/>
      <w:kern w:val="2"/>
      <w:sz w:val="28"/>
      <w:szCs w:val="28"/>
    </w:rPr>
  </w:style>
  <w:style w:type="paragraph" w:customStyle="1" w:styleId="280">
    <w:name w:val="27-一级"/>
    <w:basedOn w:val="1"/>
    <w:link w:val="281"/>
    <w:qFormat/>
    <w:uiPriority w:val="0"/>
    <w:pPr>
      <w:adjustRightInd/>
      <w:snapToGrid/>
      <w:spacing w:line="540" w:lineRule="exact"/>
      <w:ind w:firstLine="0" w:firstLineChars="0"/>
      <w:jc w:val="both"/>
      <w:outlineLvl w:val="0"/>
    </w:pPr>
    <w:rPr>
      <w:b/>
      <w:bCs/>
      <w:snapToGrid w:val="0"/>
      <w:kern w:val="44"/>
      <w:szCs w:val="28"/>
    </w:rPr>
  </w:style>
  <w:style w:type="character" w:customStyle="1" w:styleId="281">
    <w:name w:val="27-一级 Char"/>
    <w:link w:val="280"/>
    <w:qFormat/>
    <w:uiPriority w:val="0"/>
    <w:rPr>
      <w:b/>
      <w:bCs/>
      <w:snapToGrid w:val="0"/>
      <w:kern w:val="44"/>
      <w:sz w:val="28"/>
      <w:szCs w:val="28"/>
    </w:rPr>
  </w:style>
  <w:style w:type="paragraph" w:customStyle="1" w:styleId="282">
    <w:name w:val="1-正文"/>
    <w:basedOn w:val="1"/>
    <w:link w:val="283"/>
    <w:qFormat/>
    <w:uiPriority w:val="0"/>
    <w:pPr>
      <w:adjustRightInd/>
      <w:snapToGrid/>
      <w:ind w:firstLine="560"/>
      <w:jc w:val="both"/>
    </w:pPr>
    <w:rPr>
      <w:szCs w:val="28"/>
    </w:rPr>
  </w:style>
  <w:style w:type="character" w:customStyle="1" w:styleId="283">
    <w:name w:val="1-正文 Char"/>
    <w:link w:val="282"/>
    <w:qFormat/>
    <w:uiPriority w:val="0"/>
    <w:rPr>
      <w:kern w:val="2"/>
      <w:sz w:val="28"/>
      <w:szCs w:val="28"/>
    </w:rPr>
  </w:style>
  <w:style w:type="character" w:customStyle="1" w:styleId="284">
    <w:name w:val="标题 2 Char1"/>
    <w:qFormat/>
    <w:uiPriority w:val="0"/>
    <w:rPr>
      <w:rFonts w:eastAsia="宋体"/>
      <w:b/>
      <w:bCs/>
      <w:kern w:val="2"/>
      <w:sz w:val="30"/>
      <w:szCs w:val="30"/>
      <w:lang w:val="en-US" w:eastAsia="zh-CN" w:bidi="ar-SA"/>
    </w:rPr>
  </w:style>
  <w:style w:type="paragraph" w:customStyle="1" w:styleId="285">
    <w:name w:val="标题 31"/>
    <w:basedOn w:val="1"/>
    <w:next w:val="1"/>
    <w:unhideWhenUsed/>
    <w:qFormat/>
    <w:uiPriority w:val="0"/>
    <w:pPr>
      <w:keepNext/>
      <w:keepLines/>
      <w:adjustRightInd/>
      <w:snapToGrid/>
      <w:ind w:firstLine="0" w:firstLineChars="0"/>
      <w:jc w:val="both"/>
      <w:outlineLvl w:val="2"/>
    </w:pPr>
    <w:rPr>
      <w:rFonts w:hint="eastAsia" w:ascii="宋体"/>
      <w:b/>
      <w:sz w:val="32"/>
      <w:szCs w:val="20"/>
    </w:rPr>
  </w:style>
  <w:style w:type="paragraph" w:customStyle="1" w:styleId="286">
    <w:name w:val="!正文1.2.3.1"/>
    <w:basedOn w:val="1"/>
    <w:unhideWhenUsed/>
    <w:qFormat/>
    <w:uiPriority w:val="0"/>
    <w:pPr>
      <w:numPr>
        <w:ilvl w:val="3"/>
        <w:numId w:val="2"/>
      </w:numPr>
      <w:tabs>
        <w:tab w:val="left" w:pos="312"/>
      </w:tabs>
      <w:adjustRightInd/>
      <w:snapToGrid/>
      <w:spacing w:line="500" w:lineRule="exact"/>
      <w:ind w:firstLine="0" w:firstLineChars="0"/>
      <w:jc w:val="both"/>
      <w:outlineLvl w:val="3"/>
    </w:pPr>
    <w:rPr>
      <w:rFonts w:hint="eastAsia"/>
      <w:szCs w:val="20"/>
      <w:lang w:val="zh-CN"/>
    </w:rPr>
  </w:style>
  <w:style w:type="paragraph" w:customStyle="1" w:styleId="287">
    <w:name w:val="标题 21"/>
    <w:basedOn w:val="1"/>
    <w:next w:val="1"/>
    <w:unhideWhenUsed/>
    <w:qFormat/>
    <w:uiPriority w:val="0"/>
    <w:pPr>
      <w:keepNext/>
      <w:keepLines/>
      <w:adjustRightInd/>
      <w:snapToGrid/>
      <w:ind w:firstLine="0" w:firstLineChars="0"/>
      <w:outlineLvl w:val="1"/>
    </w:pPr>
    <w:rPr>
      <w:rFonts w:hint="eastAsia"/>
      <w:b/>
      <w:sz w:val="30"/>
      <w:szCs w:val="20"/>
    </w:rPr>
  </w:style>
  <w:style w:type="character" w:customStyle="1" w:styleId="288">
    <w:name w:val="show-img-bd"/>
    <w:qFormat/>
    <w:uiPriority w:val="0"/>
  </w:style>
  <w:style w:type="character" w:customStyle="1" w:styleId="289">
    <w:name w:val="opt"/>
    <w:qFormat/>
    <w:uiPriority w:val="0"/>
  </w:style>
  <w:style w:type="paragraph" w:customStyle="1" w:styleId="290">
    <w:name w:val="报告正文"/>
    <w:basedOn w:val="1"/>
    <w:link w:val="291"/>
    <w:qFormat/>
    <w:uiPriority w:val="0"/>
    <w:pPr>
      <w:adjustRightInd/>
      <w:snapToGrid/>
      <w:jc w:val="both"/>
    </w:pPr>
    <w:rPr>
      <w:sz w:val="24"/>
    </w:rPr>
  </w:style>
  <w:style w:type="character" w:customStyle="1" w:styleId="291">
    <w:name w:val="报告正文 Char"/>
    <w:link w:val="290"/>
    <w:qFormat/>
    <w:locked/>
    <w:uiPriority w:val="0"/>
    <w:rPr>
      <w:kern w:val="2"/>
      <w:sz w:val="24"/>
      <w:szCs w:val="24"/>
    </w:rPr>
  </w:style>
  <w:style w:type="paragraph" w:customStyle="1" w:styleId="292">
    <w:name w:val="图表标题"/>
    <w:basedOn w:val="1"/>
    <w:qFormat/>
    <w:uiPriority w:val="0"/>
    <w:pPr>
      <w:adjustRightInd/>
      <w:snapToGrid/>
      <w:spacing w:beforeLines="50" w:afterLines="50" w:line="240" w:lineRule="auto"/>
      <w:ind w:firstLine="0" w:firstLineChars="0"/>
      <w:jc w:val="center"/>
    </w:pPr>
    <w:rPr>
      <w:b/>
      <w:sz w:val="24"/>
    </w:rPr>
  </w:style>
  <w:style w:type="paragraph" w:customStyle="1" w:styleId="293">
    <w:name w:val="图表"/>
    <w:basedOn w:val="1"/>
    <w:qFormat/>
    <w:uiPriority w:val="0"/>
    <w:pPr>
      <w:widowControl/>
      <w:adjustRightInd/>
      <w:snapToGrid/>
      <w:spacing w:line="20" w:lineRule="atLeast"/>
      <w:ind w:firstLine="0" w:firstLineChars="0"/>
      <w:jc w:val="center"/>
    </w:pPr>
    <w:rPr>
      <w:rFonts w:cs="宋体"/>
      <w:color w:val="000000"/>
      <w:kern w:val="0"/>
      <w:sz w:val="21"/>
    </w:rPr>
  </w:style>
  <w:style w:type="paragraph" w:customStyle="1" w:styleId="294">
    <w:name w:val="报告正文22"/>
    <w:basedOn w:val="290"/>
    <w:qFormat/>
    <w:uiPriority w:val="0"/>
    <w:rPr>
      <w:rFonts w:ascii="宋体" w:hAnsi="宋体"/>
      <w:color w:val="000000"/>
    </w:rPr>
  </w:style>
  <w:style w:type="paragraph" w:customStyle="1" w:styleId="295">
    <w:name w:val="样式 首行缩进:  1.5 字符1"/>
    <w:qFormat/>
    <w:uiPriority w:val="0"/>
    <w:pPr>
      <w:ind w:firstLine="360" w:firstLineChars="150"/>
    </w:pPr>
    <w:rPr>
      <w:rFonts w:ascii="Times New Roman" w:hAnsi="Times New Roman" w:eastAsia="仿宋_GB2312" w:cs="宋体"/>
      <w:kern w:val="2"/>
      <w:sz w:val="24"/>
      <w:lang w:val="en-US" w:eastAsia="zh-CN" w:bidi="ar-SA"/>
    </w:rPr>
  </w:style>
  <w:style w:type="paragraph" w:customStyle="1" w:styleId="296">
    <w:name w:val="Char Char Char Char Char Char Char Char Char Char"/>
    <w:basedOn w:val="1"/>
    <w:qFormat/>
    <w:uiPriority w:val="0"/>
    <w:pPr>
      <w:adjustRightInd/>
      <w:snapToGrid/>
      <w:jc w:val="both"/>
    </w:pPr>
    <w:rPr>
      <w:rFonts w:ascii="宋体" w:hAnsi="宋体" w:cs="宋体"/>
      <w:sz w:val="24"/>
    </w:rPr>
  </w:style>
  <w:style w:type="paragraph" w:customStyle="1" w:styleId="297">
    <w:name w:val="Char Char Char Char Char Char2 Char1"/>
    <w:basedOn w:val="15"/>
    <w:qFormat/>
    <w:uiPriority w:val="0"/>
    <w:pPr>
      <w:shd w:val="clear" w:color="auto" w:fill="000080"/>
      <w:adjustRightInd/>
      <w:snapToGrid/>
      <w:spacing w:line="240" w:lineRule="auto"/>
      <w:ind w:left="200" w:leftChars="200" w:firstLine="0" w:firstLineChars="0"/>
      <w:jc w:val="both"/>
    </w:pPr>
    <w:rPr>
      <w:spacing w:val="20"/>
      <w:szCs w:val="20"/>
    </w:rPr>
  </w:style>
  <w:style w:type="paragraph" w:customStyle="1" w:styleId="298">
    <w:name w:val="Table Text"/>
    <w:basedOn w:val="1"/>
    <w:semiHidden/>
    <w:qFormat/>
    <w:uiPriority w:val="0"/>
    <w:pPr>
      <w:adjustRightInd/>
      <w:snapToGrid/>
      <w:ind w:left="200" w:leftChars="200"/>
      <w:jc w:val="both"/>
    </w:pPr>
    <w:rPr>
      <w:rFonts w:ascii="宋体" w:hAnsi="宋体" w:cs="宋体"/>
      <w:sz w:val="22"/>
      <w:szCs w:val="22"/>
      <w:lang w:eastAsia="en-US"/>
    </w:rPr>
  </w:style>
  <w:style w:type="paragraph" w:customStyle="1" w:styleId="299">
    <w:name w:val="样式 正文11 + 首行缩进:  2 字符"/>
    <w:basedOn w:val="1"/>
    <w:qFormat/>
    <w:uiPriority w:val="0"/>
    <w:pPr>
      <w:spacing w:line="500" w:lineRule="exact"/>
      <w:ind w:firstLine="560" w:firstLineChars="200"/>
    </w:pPr>
    <w:rPr>
      <w:rFonts w:ascii="宋体" w:hAnsi="宋体" w:cs="宋体"/>
      <w:color w:val="FF0000"/>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3.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jpe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5ba08136-0d4d-4a4c-b059-a8d619f2bc3b</errorID>
      <errorWord>220105200408190431</errorWord>
      <group>L1_Knowledge</group>
      <groupName>知识性问题</groupName>
      <ability>L2_Knowledge</ability>
      <abilityName>其他知识</abilityName>
      <candidateList>
        <item>22010520040819043X</item>
      </candidateList>
      <explain>身份证格式存在错误，可修复为: 22010520040819043X</explain>
      <paraID>6AA6E1BC</paraID>
      <start>0</start>
      <end>18</end>
      <status>modified</status>
      <modifiedWord>22010520040819043X</modifiedWord>
      <trackRevisions>false</trackRevisions>
    </reviewItem>
    <reviewItem>
      <errorID>d1b8baa2-8983-42e8-ac29-094870e5ca13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71E03D95</paraID>
      <start>27</start>
      <end>29</end>
      <status>modified</status>
      <modifiedWord>》《</modifiedWord>
      <trackRevisions>false</trackRevisions>
    </reviewItem>
    <reviewItem>
      <errorID>294660ef-f4ad-4874-a045-7510abc5adfa</errorID>
      <errorWord>(</errorWord>
      <group>L1_Format</group>
      <groupName>格式问题</groupName>
      <ability>L2_HalfPunc</ability>
      <abilityName>全半角检查</abilityName>
      <candidateList>
        <item>（</item>
      </candidateList>
      <explain>文本全半角错误。</explain>
      <paraID>2158CF00</paraID>
      <start>16</start>
      <end>17</end>
      <status>modified</status>
      <modifiedWord>（</modifiedWord>
      <trackRevisions>false</trackRevisions>
    </reviewItem>
    <reviewItem>
      <errorID>f26a5dc8-700a-4086-913f-7db9d63a51c7</errorID>
      <errorWord>)</errorWord>
      <group>L1_Format</group>
      <groupName>格式问题</groupName>
      <ability>L2_HalfPunc</ability>
      <abilityName>全半角检查</abilityName>
      <candidateList>
        <item>）</item>
      </candidateList>
      <explain>文本全半角错误。</explain>
      <paraID>2158CF00</paraID>
      <start>26</start>
      <end>27</end>
      <status>modified</status>
      <modifiedWord>）</modifiedWord>
      <trackRevisions>false</trackRevisions>
    </reviewItem>
    <reviewItem>
      <errorID>9c5031e8-58bf-45dc-9ac2-edff5b3431ce</errorID>
      <errorWord>中华人民共和国固体废弃物污染防治法</errorWord>
      <group>L1_Knowledge</group>
      <groupName>知识性问题</groupName>
      <ability>L2_Knowledge</ability>
      <abilityName>其他知识</abilityName>
      <candidateList/>
      <explain>当前法律法规未收录或尚未生效，注意核查是否正确。</explain>
      <paraID>43A59AA8</paraID>
      <start>3</start>
      <end>20</end>
      <status>ignored</status>
      <modifiedWord/>
      <trackRevisions>false</trackRevisions>
    </reviewItem>
    <reviewItem>
      <errorID>81d1807a-4b90-482c-874e-e5ff25b28760</errorID>
      <errorWord>》</errorWord>
      <group>L1_Word</group>
      <groupName>字词问题</groupName>
      <ability>L2_Typo</ability>
      <abilityName>字词错误</abilityName>
      <candidateList>
        <item>》经</item>
      </candidateList>
      <explain/>
      <paraID>24AC36B5</paraID>
      <start>15</start>
      <end>16</end>
      <status>ignored</status>
      <modifiedWord/>
      <trackRevisions>false</trackRevisions>
    </reviewItem>
    <reviewItem>
      <errorID>fcf9f486-2dc1-4c76-a598-238bd3dca8bc</errorID>
      <errorWord>[2017]29号</errorWord>
      <group>L1_Knowledge</group>
      <groupName>知识性问题</groupName>
      <ability>L2_Knowledge</ability>
      <abilityName>其他知识</abilityName>
      <candidateList>
        <item>〔2017〕29号</item>
      </candidateList>
      <explain>发文字号格式错误。</explain>
      <paraID>1C91A55E</paraID>
      <start>31</start>
      <end>40</end>
      <status>modified</status>
      <modifiedWord>〔2017〕29号</modifiedWord>
      <trackRevisions>false</trackRevisions>
    </reviewItem>
    <reviewItem>
      <errorID>44f9763d-4d7e-47e7-9604-c0bc005eeb89</errorID>
      <errorWord>&lt;</errorWord>
      <group>L1_Format</group>
      <groupName>格式问题</groupName>
      <ability>L2_HalfPunc</ability>
      <abilityName>全半角检查</abilityName>
      <candidateList>
        <item>〈</item>
      </candidateList>
      <explain>文本全半角错误。</explain>
      <paraID>1A81D35A</paraID>
      <start>26</start>
      <end>27</end>
      <status>modified</status>
      <modifiedWord>〈</modifiedWord>
      <trackRevisions>false</trackRevisions>
    </reviewItem>
    <reviewItem>
      <errorID>ae3f0bcc-ba7d-424d-8e9e-93e6f2c31b8f</errorID>
      <errorWord>&gt;的通知》</errorWord>
      <group>L1_Punc</group>
      <groupName>标点问题</groupName>
      <ability>L2_Punc</ability>
      <abilityName>标点符号检查</abilityName>
      <candidateList>
        <item>〉的通知》</item>
      </candidateList>
      <explain/>
      <paraID>1A81D35A</paraID>
      <start>50</start>
      <end>55</end>
      <status>modified</status>
      <modifiedWord>〉的通知》</modifiedWord>
      <trackRevisions>false</trackRevisions>
    </reviewItem>
    <reviewItem>
      <errorID>4be49dc5-3fe7-4594-8285-f6335ea786be</errorID>
      <errorWord>的的</errorWord>
      <group>L1_Word</group>
      <groupName>字词问题</groupName>
      <ability>L2_Typo</ability>
      <abilityName>字词错误</abilityName>
      <candidateList>
        <item>的</item>
      </candidateList>
      <explain>“的”常用于连接修饰语与名词性中心语，表示属性、所属或描述。</explain>
      <paraID> 195F320</paraID>
      <start>61</start>
      <end>62</end>
      <status>modified</status>
      <modifiedWord>的</modifiedWord>
      <trackRevisions>false</trackRevisions>
    </reviewItem>
    <reviewItem>
      <errorID>292f42e5-114b-4f23-8702-f6f4382c4bbf</errorID>
      <errorWord>[2020]266号</errorWord>
      <group>L1_Knowledge</group>
      <groupName>知识性问题</groupName>
      <ability>L2_Knowledge</ability>
      <abilityName>其他知识</abilityName>
      <candidateList>
        <item>〔2020〕266号</item>
      </candidateList>
      <explain>发文字号格式错误。</explain>
      <paraID>46C243A4</paraID>
      <start>65</start>
      <end>75</end>
      <status>modified</status>
      <modifiedWord>〔2020〕266号</modifiedWord>
      <trackRevisions>false</trackRevisions>
    </reviewItem>
    <reviewItem>
      <errorID>bbec5c75-b5a8-49cc-8b4d-a39c3765beca</errorID>
      <errorWord>[2011]128号</errorWord>
      <group>L1_Knowledge</group>
      <groupName>知识性问题</groupName>
      <ability>L2_Knowledge</ability>
      <abilityName>其他知识</abilityName>
      <candidateList>
        <item>〔2011〕128号</item>
      </candidateList>
      <explain>发文字号格式错误。</explain>
      <paraID>25A9B6A2</paraID>
      <start>31</start>
      <end>41</end>
      <status>modified</status>
      <modifiedWord>〔2011〕128号</modifiedWord>
      <trackRevisions>false</trackRevisions>
    </reviewItem>
    <reviewItem>
      <errorID>b90b31d1-428f-47c3-aeb4-0c7e13f04cb9</errorID>
      <errorWord>(</errorWord>
      <group>L1_Format</group>
      <groupName>格式问题</groupName>
      <ability>L2_HalfPunc</ability>
      <abilityName>全半角检查</abilityName>
      <candidateList>
        <item>（</item>
      </candidateList>
      <explain>文本全半角错误。</explain>
      <paraID>7AD02656</paraID>
      <start>23</start>
      <end>24</end>
      <status>modified</status>
      <modifiedWord>（</modifiedWord>
      <trackRevisions>false</trackRevisions>
    </reviewItem>
    <reviewItem>
      <errorID>cf10b7cb-ec99-4dac-ae5a-5ce80d00e695</errorID>
      <errorWord>)</errorWord>
      <group>L1_Format</group>
      <groupName>格式问题</groupName>
      <ability>L2_HalfPunc</ability>
      <abilityName>全半角检查</abilityName>
      <candidateList>
        <item>）</item>
      </candidateList>
      <explain>文本全半角错误。</explain>
      <paraID>7AD02656</paraID>
      <start>35</start>
      <end>36</end>
      <status>modified</status>
      <modifiedWord>）</modifiedWord>
      <trackRevisions>false</trackRevisions>
    </reviewItem>
    <reviewItem>
      <errorID>1d5db14c-8081-4d78-ad56-5168707b188e</errorID>
      <errorWord>[2017]638号</errorWord>
      <group>L1_Knowledge</group>
      <groupName>知识性问题</groupName>
      <ability>L2_Knowledge</ability>
      <abilityName>其他知识</abilityName>
      <candidateList>
        <item>〔2017〕638号</item>
      </candidateList>
      <explain>发文字号格式错误。</explain>
      <paraID>1E5BA802</paraID>
      <start>56</start>
      <end>66</end>
      <status>modified</status>
      <modifiedWord>〔2017〕638号</modifiedWord>
      <trackRevisions>false</trackRevisions>
    </reviewItem>
    <reviewItem>
      <errorID>d7e80305-2af9-483c-9761-001278c238a8</errorID>
      <errorWord>(</errorWord>
      <group>L1_Format</group>
      <groupName>格式问题</groupName>
      <ability>L2_HalfPunc</ability>
      <abilityName>全半角检查</abilityName>
      <candidateList>
        <item>（</item>
      </candidateList>
      <explain>文本全半角错误。</explain>
      <paraID>15960991</paraID>
      <start>17</start>
      <end>18</end>
      <status>modified</status>
      <modifiedWord>（</modifiedWord>
      <trackRevisions>false</trackRevisions>
    </reviewItem>
    <reviewItem>
      <errorID>52c16e6e-36ec-44ae-89b9-7515ab79e4fe</errorID>
      <errorWord>2717 千</errorWord>
      <group>L1_Knowledge</group>
      <groupName>知识性问题</groupName>
      <ability>L2_Knowledge</ability>
      <abilityName>其他知识</abilityName>
      <candidateList>
        <item>2717000</item>
      </candidateList>
      <explain/>
      <paraID> 9A8DFCB</paraID>
      <start>272</start>
      <end>278</end>
      <status>ignored</status>
      <modifiedWord/>
      <trackRevisions>false</trackRevisions>
    </reviewItem>
    <reviewItem>
      <errorID>14cefa30-814b-42d6-a6ce-f89dcf6b3f5d</errorID>
      <errorWord>1858.45千</errorWord>
      <group>L1_Knowledge</group>
      <groupName>知识性问题</groupName>
      <ability>L2_Knowledge</ability>
      <abilityName>其他知识</abilityName>
      <candidateList>
        <item>1858450</item>
      </candidateList>
      <explain/>
      <paraID>2E9E23DF</paraID>
      <start>30</start>
      <end>38</end>
      <status>ignored</status>
      <modifiedWord/>
      <trackRevisions>false</trackRevisions>
    </reviewItem>
    <reviewItem>
      <errorID>8b54fa0d-9013-4f28-8805-a6ddaa23bb4c</errorID>
      <errorWord>1858.45千</errorWord>
      <group>L1_Knowledge</group>
      <groupName>知识性问题</groupName>
      <ability>L2_Knowledge</ability>
      <abilityName>其他知识</abilityName>
      <candidateList>
        <item>1858450</item>
      </candidateList>
      <explain/>
      <paraID>1CA5B05A</paraID>
      <start>153</start>
      <end>161</end>
      <status>ignored</status>
      <modifiedWord/>
      <trackRevisions>false</trackRevisions>
    </reviewItem>
    <reviewItem>
      <errorID>a7edf552-c9e3-4698-9574-73e0ab0cc32a</errorID>
      <errorWord>矿山资源开发利用</errorWord>
      <group>L1_Knowledge</group>
      <groupName>知识性问题</groupName>
      <ability>L2_Term</ability>
      <abilityName>专业术语</abilityName>
      <candidateList>
        <item>矿产资源开发利用</item>
      </candidateList>
      <explain/>
      <paraID>296A8ADB</paraID>
      <start>71</start>
      <end>79</end>
      <status>modified</status>
      <modifiedWord>矿产资源开发利用</modifiedWord>
      <trackRevisions>false</trackRevisions>
    </reviewItem>
    <reviewItem>
      <errorID>48c83965-e599-4336-bbeb-e7b5b132c98f</errorID>
      <errorWord>(</errorWord>
      <group>L1_Format</group>
      <groupName>格式问题</groupName>
      <ability>L2_HalfPunc</ability>
      <abilityName>全半角检查</abilityName>
      <candidateList>
        <item>（</item>
      </candidateList>
      <explain>文本全半角错误。</explain>
      <paraID>775DC826</paraID>
      <start>0</start>
      <end>1</end>
      <status>modified</status>
      <modifiedWord>（</modifiedWord>
      <trackRevisions>false</trackRevisions>
    </reviewItem>
    <reviewItem>
      <errorID>cff91636-f5cf-4fcc-b1ab-40a2cc76a3ba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64F82B9D</paraID>
      <start>41</start>
      <end>42</end>
      <status>modified</status>
      <modifiedWord>—</modifiedWord>
      <trackRevisions>false</trackRevisions>
    </reviewItem>
    <reviewItem>
      <errorID>9435d075-c0f6-4757-b764-6b893de9038d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64F82B9D</paraID>
      <start>50</start>
      <end>51</end>
      <status>modified</status>
      <modifiedWord>—</modifiedWord>
      <trackRevisions>false</trackRevisions>
    </reviewItem>
    <reviewItem>
      <errorID>e7e82bc7-a2b2-45f8-a637-59fb6611b203</errorID>
      <errorWord>开拓</errorWord>
      <group>L1_Word</group>
      <groupName>字词问题</groupName>
      <ability>L2_Typo</ability>
      <abilityName>字词错误</abilityName>
      <candidateList>
        <item>开阔</item>
      </candidateList>
      <explain>❶〈形〉（面积或空间范围）宽广：～的广场｜雄鹰在～的天空中翱翔。❷〈形〉（思想、心胸）宽阔：他是一个思路～、性格活泼的人。❸〈动〉使开阔：～眼界｜～路面｜～胸襟。</explain>
      <paraID>7767B8FB</paraID>
      <start>8</start>
      <end>10</end>
      <status>ignored</status>
      <modifiedWord/>
      <trackRevisions>false</trackRevisions>
    </reviewItem>
    <reviewItem>
      <errorID>ed7a3e56-4343-4c17-ad13-61bdb225699e</errorID>
      <errorWord>(</errorWord>
      <group>L1_Format</group>
      <groupName>格式问题</groupName>
      <ability>L2_HalfPunc</ability>
      <abilityName>全半角检查</abilityName>
      <candidateList>
        <item>（</item>
      </candidateList>
      <explain>文本全半角错误。</explain>
      <paraID>2BABBEB5</paraID>
      <start>3</start>
      <end>4</end>
      <status>modified</status>
      <modifiedWord>（</modifiedWord>
      <trackRevisions>false</trackRevisions>
    </reviewItem>
    <reviewItem>
      <errorID>a690eb5c-3add-464b-9db7-fdfd93f6c936</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1E0A81DF</paraID>
      <start>42</start>
      <end>44</end>
      <status>ignored</status>
      <modifiedWord/>
      <trackRevisions>false</trackRevisions>
    </reviewItem>
    <reviewItem>
      <errorID>ae58209c-d5d0-4f85-a14d-4155d80f3785</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5C7F5454</paraID>
      <start>4</start>
      <end>6</end>
      <status>ignored</status>
      <modifiedWord/>
      <trackRevisions>false</trackRevisions>
    </reviewItem>
    <reviewItem>
      <errorID>9c791365-6401-4635-bdfa-414bdb26c290</errorID>
      <errorWord>-</errorWord>
      <group>L1_Format</group>
      <groupName>格式问题</groupName>
      <ability>L2_HalfPunc</ability>
      <abilityName>全半角检查</abilityName>
      <candidateList>
        <item>－</item>
      </candidateList>
      <explain>文本全半角错误。</explain>
      <paraID>737370D9</paraID>
      <start>30</start>
      <end>31</end>
      <status>modified</status>
      <modifiedWord>－</modifiedWord>
      <trackRevisions>false</trackRevisions>
    </reviewItem>
    <reviewItem>
      <errorID>e2d43419-aba9-453d-b614-0db1f2628531</errorID>
      <errorWord>)</errorWord>
      <group>L1_Format</group>
      <groupName>格式问题</groupName>
      <ability>L2_HalfPunc</ability>
      <abilityName>全半角检查</abilityName>
      <candidateList>
        <item>）</item>
      </candidateList>
      <explain>文本全半角错误。</explain>
      <paraID>295846A9</paraID>
      <start>27</start>
      <end>28</end>
      <status>modified</status>
      <modifiedWord>）</modifiedWord>
      <trackRevisions>false</trackRevisions>
    </reviewItem>
    <reviewItem>
      <errorID>8694680d-0c33-4156-81ff-df751adffa3c</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35D11A23</paraID>
      <start>17</start>
      <end>19</end>
      <status>ignored</status>
      <modifiedWord/>
      <trackRevisions>false</trackRevisions>
    </reviewItem>
    <reviewItem>
      <errorID>09cda7ff-7c98-4fbe-a99c-1df3e4b00b61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35D11A23</paraID>
      <start>122</start>
      <end>123</end>
      <status>modified</status>
      <modifiedWord>—</modifiedWord>
      <trackRevisions>false</trackRevisions>
    </reviewItem>
    <reviewItem>
      <errorID>eaa26136-2780-4eb3-9351-0e503ebc9abb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258D9350</paraID>
      <start>65</start>
      <end>66</end>
      <status>modified</status>
      <modifiedWord>—</modifiedWord>
      <trackRevisions>false</trackRevisions>
    </reviewItem>
    <reviewItem>
      <errorID>6d370ee2-6998-44cc-b96c-7eeeeb8c5293</errorID>
      <errorWord>。</errorWord>
      <group>L1_Format</group>
      <groupName>格式问题</groupName>
      <ability>L2_HalfPunc</ability>
      <abilityName>全半角检查</abilityName>
      <candidateList>
        <item>.</item>
      </candidateList>
      <explain>文本全半角错误。</explain>
      <paraID> 8362E00</paraID>
      <start>3</start>
      <end>4</end>
      <status>ignored</status>
      <modifiedWord/>
      <trackRevisions>false</trackRevisions>
    </reviewItem>
    <reviewItem>
      <errorID>9bb27d5e-180e-43ab-978d-6b58d681f4dd</errorID>
      <errorWord>监测方法</errorWord>
      <group>L1_Word</group>
      <groupName>字词问题</groupName>
      <ability>L2_Typo</ability>
      <abilityName>字词错误</abilityName>
      <candidateList>
        <item>检测方法</item>
      </candidateList>
      <explain/>
      <paraID>45E4FE84</paraID>
      <start>0</start>
      <end>4</end>
      <status>ignored</status>
      <modifiedWord/>
      <trackRevisions>false</trackRevisions>
    </reviewItem>
    <reviewItem>
      <errorID>6061fc94-7d53-4e2f-abda-005c3d07c565</errorID>
      <errorWord>环境影响评估</errorWord>
      <group>L1_Knowledge</group>
      <groupName>知识性问题</groupName>
      <ability>L2_Term</ability>
      <abilityName>专业术语</abilityName>
      <candidateList>
        <item>环境影响评价</item>
      </candidateList>
      <explain/>
      <paraID> E5606BF</paraID>
      <start>38</start>
      <end>44</end>
      <status>ignored</status>
      <modifiedWord/>
      <trackRevisions>false</trackRevisions>
    </reviewItem>
    <reviewItem>
      <errorID>5843fd07-6c5e-464e-84a1-9ed9270e4ae1</errorID>
      <errorWord>万</errorWord>
      <group>L1_Word</group>
      <groupName>字词问题</groupName>
      <ability>L2_Typo</ability>
      <abilityName>字词错误</abilityName>
      <candidateList>
        <item>万元</item>
      </candidateList>
      <explain/>
      <paraID>1C3268E2</paraID>
      <start>17</start>
      <end>19</end>
      <status>modified</status>
      <modifiedWord>万元</modifiedWord>
      <trackRevisions>false</trackRevisions>
    </reviewItem>
    <reviewItem>
      <errorID>14b5e800-c5da-4196-86ab-32ed5741fcc7</errorID>
      <errorWord>釆</errorWord>
      <group>L1_Word</group>
      <groupName>字词问题</groupName>
      <ability>L2_Typo</ability>
      <abilityName>字词错误</abilityName>
      <candidateList>
        <item>采</item>
      </candidateList>
      <explain/>
      <paraID>165BED30</paraID>
      <start>104</start>
      <end>105</end>
      <status>modified</status>
      <modifiedWord>采</modifiedWord>
      <trackRevisions>false</trackRevisions>
    </reviewItem>
    <reviewItem>
      <errorID>cf55fc71-59fe-4d5d-bded-27c87ad7fd21</errorID>
      <errorWord>坡角</errorWord>
      <group>L1_Word</group>
      <groupName>字词问题</groupName>
      <ability>L2_Typo</ability>
      <abilityName>字词错误</abilityName>
      <candidateList>
        <item>坡脚</item>
      </candidateList>
      <explain/>
      <paraID>5FA70E3F</paraID>
      <start>31</start>
      <end>33</end>
      <status>ignored</status>
      <modifiedWord/>
      <trackRevisions>false</trackRevisions>
    </reviewItem>
    <reviewItem>
      <errorID>3d3294f9-f1d8-4062-8aec-d7dad03bc9c8</errorID>
      <errorWord>广产</errorWord>
      <group>L1_Word</group>
      <groupName>字词问题</groupName>
      <ability>L2_Typo</ability>
      <abilityName>字词错误</abilityName>
      <candidateList>
        <item>广场</item>
      </candidateList>
      <explain/>
      <paraID>79F1BE33</paraID>
      <start>78</start>
      <end>80</end>
      <status>modified</status>
      <modifiedWord>广场</modifiedWord>
      <trackRevisions>false</trackRevisions>
    </reviewItem>
    <reviewItem>
      <errorID>954fe7b5-027e-4774-a094-f39c3e011a6e</errorID>
      <errorWord>进了</errorWord>
      <group>L1_Word</group>
      <groupName>字词问题</groupName>
      <ability>L2_Typo</ability>
      <abilityName>字词错误</abilityName>
      <candidateList>
        <item>进行</item>
      </candidateList>
      <explain>存在字形相近字词的误用。</explain>
      <paraID>7F980A07</paraID>
      <start>180</start>
      <end>182</end>
      <status>modified</status>
      <modifiedWord>进行</modifiedWord>
      <trackRevisions>false</trackRevisions>
    </reviewItem>
    <reviewItem>
      <errorID>fe2452c2-3fa4-40f6-ae42-0dee64685353</errorID>
      <errorWord>PH值</errorWord>
      <group>L1_Word</group>
      <groupName>字词问题</groupName>
      <ability>L2_Typo</ability>
      <abilityName>字词错误</abilityName>
      <candidateList>
        <item>pH值</item>
      </candidateList>
      <explain/>
      <paraID>7F980A07</paraID>
      <start>193</start>
      <end>196</end>
      <status>modified</status>
      <modifiedWord>pH值</modifiedWord>
      <trackRevisions>false</trackRevisions>
    </reviewItem>
    <reviewItem>
      <errorID>8ec2e842-32de-42c2-a6c0-15526fd421a8</errorID>
      <errorWord>环节</errorWord>
      <group>L1_Word</group>
      <groupName>字词问题</groupName>
      <ability>L2_Typo</ability>
      <abilityName>字词错误</abilityName>
      <candidateList>
        <item>环境</item>
      </candidateList>
      <explain>〈名〉❶周围的地方：～优美｜～卫生。❷周围的情况和条件：客观～｜工作～。</explain>
      <paraID>721CC4D1</paraID>
      <start>10</start>
      <end>12</end>
      <status>ignored</status>
      <modifiedWord/>
      <trackRevisions>false</trackRevisions>
    </reviewItem>
    <reviewItem>
      <errorID>6ced2411-6a1f-440a-a6a7-85f1e5431871</errorID>
      <errorWord>挖损</errorWord>
      <group>L1_Word</group>
      <groupName>字词问题</groupName>
      <ability>L2_Typo</ability>
      <abilityName>字词错误</abilityName>
      <candidateList>
        <item>破损</item>
      </candidateList>
      <explain/>
      <paraID>4367410F</paraID>
      <start>20</start>
      <end>22</end>
      <status>ignored</status>
      <modifiedWord/>
      <trackRevisions>false</trackRevisions>
    </reviewItem>
    <reviewItem>
      <errorID>d07c404c-249a-4868-ba46-1d0a9bc583b8</errorID>
      <errorWord>&gt;</errorWord>
      <group>L1_Punc</group>
      <groupName>标点问题</groupName>
      <ability>L2_Punc</ability>
      <abilityName>标点符号检查</abilityName>
      <candidateList/>
      <explain/>
      <paraID>6D900358</paraID>
      <start>0</start>
      <end>1</end>
      <status>ignored</status>
      <modifiedWord/>
      <trackRevisions>false</trackRevisions>
    </reviewItem>
    <reviewItem>
      <errorID>b1d3c6db-caf9-4f59-9c74-18ec7bf69438</errorID>
      <errorWord>&gt;</errorWord>
      <group>L1_Punc</group>
      <groupName>标点问题</groupName>
      <ability>L2_Punc</ability>
      <abilityName>标点符号检查</abilityName>
      <candidateList/>
      <explain/>
      <paraID>6AD8A9F6</paraID>
      <start>0</start>
      <end>1</end>
      <status>ignored</status>
      <modifiedWord/>
      <trackRevisions>false</trackRevisions>
    </reviewItem>
    <reviewItem>
      <errorID>1e0f2709-0b10-458e-9684-5738cb768c52</errorID>
      <errorWord>&gt;</errorWord>
      <group>L1_Punc</group>
      <groupName>标点问题</groupName>
      <ability>L2_Punc</ability>
      <abilityName>标点符号检查</abilityName>
      <candidateList/>
      <explain/>
      <paraID>4263288F</paraID>
      <start>0</start>
      <end>1</end>
      <status>ignored</status>
      <modifiedWord/>
      <trackRevisions>false</trackRevisions>
    </reviewItem>
    <reviewItem>
      <errorID>32bab699-0dbc-4ff2-90b9-9db0145073bc</errorID>
      <errorWord>&gt;</errorWord>
      <group>L1_Punc</group>
      <groupName>标点问题</groupName>
      <ability>L2_Punc</ability>
      <abilityName>标点符号检查</abilityName>
      <candidateList/>
      <explain/>
      <paraID>391C486D</paraID>
      <start>0</start>
      <end>1</end>
      <status>ignored</status>
      <modifiedWord/>
      <trackRevisions>false</trackRevisions>
    </reviewItem>
    <reviewItem>
      <errorID>be448d71-b819-42dd-af05-d515d80447b8</errorID>
      <errorWord>&gt;</errorWord>
      <group>L1_Punc</group>
      <groupName>标点问题</groupName>
      <ability>L2_Punc</ability>
      <abilityName>标点符号检查</abilityName>
      <candidateList/>
      <explain/>
      <paraID>41303FE0</paraID>
      <start>0</start>
      <end>1</end>
      <status>ignored</status>
      <modifiedWord/>
      <trackRevisions>false</trackRevisions>
    </reviewItem>
    <reviewItem>
      <errorID>264b1087-6266-49e2-b51f-865e07e91a05</errorID>
      <errorWord>&gt;</errorWord>
      <group>L1_Punc</group>
      <groupName>标点问题</groupName>
      <ability>L2_Punc</ability>
      <abilityName>标点符号检查</abilityName>
      <candidateList/>
      <explain/>
      <paraID>3F718166</paraID>
      <start>0</start>
      <end>1</end>
      <status>ignored</status>
      <modifiedWord/>
      <trackRevisions>false</trackRevisions>
    </reviewItem>
    <reviewItem>
      <errorID>b925050e-baec-4d2d-a854-cc170cf0829b</errorID>
      <errorWord>&gt;</errorWord>
      <group>L1_Punc</group>
      <groupName>标点问题</groupName>
      <ability>L2_Punc</ability>
      <abilityName>标点符号检查</abilityName>
      <candidateList/>
      <explain/>
      <paraID>32DA4853</paraID>
      <start>0</start>
      <end>1</end>
      <status>ignored</status>
      <modifiedWord/>
      <trackRevisions>false</trackRevisions>
    </reviewItem>
    <reviewItem>
      <errorID>c545be58-9a6e-44a8-be3e-579554c56967</errorID>
      <errorWord>&gt;</errorWord>
      <group>L1_Punc</group>
      <groupName>标点问题</groupName>
      <ability>L2_Punc</ability>
      <abilityName>标点符号检查</abilityName>
      <candidateList/>
      <explain/>
      <paraID>4D1EB767</paraID>
      <start>0</start>
      <end>1</end>
      <status>ignored</status>
      <modifiedWord/>
      <trackRevisions>false</trackRevisions>
    </reviewItem>
    <reviewItem>
      <errorID>52e8a52b-8893-426e-a330-cfb96611ce4b</errorID>
      <errorWord>(</errorWord>
      <group>L1_Format</group>
      <groupName>格式问题</groupName>
      <ability>L2_HalfPunc</ability>
      <abilityName>全半角检查</abilityName>
      <candidateList>
        <item>（</item>
      </candidateList>
      <explain>文本全半角错误。</explain>
      <paraID>3A307F18</paraID>
      <start>2</start>
      <end>3</end>
      <status>modified</status>
      <modifiedWord>（</modifiedWord>
      <trackRevisions>false</trackRevisions>
    </reviewItem>
    <reviewItem>
      <errorID>cffc06f2-fc96-4e95-8483-c4978f1d9686</errorID>
      <errorWord>)</errorWord>
      <group>L1_Format</group>
      <groupName>格式问题</groupName>
      <ability>L2_HalfPunc</ability>
      <abilityName>全半角检查</abilityName>
      <candidateList>
        <item>）</item>
      </candidateList>
      <explain>文本全半角错误。</explain>
      <paraID>3A307F18</paraID>
      <start>6</start>
      <end>7</end>
      <status>modified</status>
      <modifiedWord>）</modifiedWord>
      <trackRevisions>false</trackRevisions>
    </reviewItem>
    <reviewItem>
      <errorID>9ae36ba3-0477-4eb3-a6ad-9acc167ea354</errorID>
      <errorWord>为砂壤土</errorWord>
      <group>L1_Knowledge</group>
      <groupName>知识性问题</groupName>
      <ability>L2_Term</ability>
      <abilityName>专业术语</abilityName>
      <candidateList>
        <item>粉砂壤土</item>
      </candidateList>
      <explain/>
      <paraID>37DC8CA9</paraID>
      <start>58</start>
      <end>62</end>
      <status>ignored</status>
      <modifiedWord/>
      <trackRevisions>false</trackRevisions>
    </reviewItem>
    <reviewItem>
      <errorID>95ce6920-1ec9-42d7-830b-e80ac0415b2c</errorID>
      <errorWord>为砂壤土</errorWord>
      <group>L1_Knowledge</group>
      <groupName>知识性问题</groupName>
      <ability>L2_Term</ability>
      <abilityName>专业术语</abilityName>
      <candidateList>
        <item>粉砂壤土</item>
      </candidateList>
      <explain/>
      <paraID>180F3162</paraID>
      <start>28</start>
      <end>32</end>
      <status>ignored</status>
      <modifiedWord/>
      <trackRevisions>false</trackRevisions>
    </reviewItem>
    <reviewItem>
      <errorID>e11eb251-d86d-4574-bd93-68fbdf664b32</errorID>
      <errorWord>&gt;</errorWord>
      <group>L1_Punc</group>
      <groupName>标点问题</groupName>
      <ability>L2_Punc</ability>
      <abilityName>标点符号检查</abilityName>
      <candidateList/>
      <explain/>
      <paraID>36E4919B</paraID>
      <start>0</start>
      <end>1</end>
      <status>ignored</status>
      <modifiedWord/>
      <trackRevisions>false</trackRevisions>
    </reviewItem>
    <reviewItem>
      <errorID>0a1952f5-089d-4991-9f43-064ef99275eb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55A00957</paraID>
      <start>4</start>
      <end>5</end>
      <status>modified</status>
      <modifiedWord>—</modifiedWord>
      <trackRevisions>false</trackRevisions>
    </reviewItem>
    <reviewItem>
      <errorID>742e4363-453c-49de-904f-7ac987e817f6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482CDF14</paraID>
      <start>4</start>
      <end>5</end>
      <status>modified</status>
      <modifiedWord>—</modifiedWord>
      <trackRevisions>false</trackRevisions>
    </reviewItem>
    <reviewItem>
      <errorID>c7c60aa4-39a1-47b4-997f-099d55d47b18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33E5267C</paraID>
      <start>4</start>
      <end>5</end>
      <status>modified</status>
      <modifiedWord>—</modifiedWord>
      <trackRevisions>false</trackRevisions>
    </reviewItem>
    <reviewItem>
      <errorID>0fa5bb93-c439-4e39-9254-5ba67d9a8d21</errorID>
      <errorWord>（</errorWord>
      <group>L1_Punc</group>
      <groupName>标点问题</groupName>
      <ability>L2_Punc</ability>
      <abilityName>标点符号检查</abilityName>
      <candidateList/>
      <explain>同一形式括号套用。</explain>
      <paraID>18A0912D</paraID>
      <start>75</start>
      <end>76</end>
      <status>ignored</status>
      <modifiedWord/>
      <trackRevisions>false</trackRevisions>
    </reviewItem>
    <reviewItem>
      <errorID>d000029b-ec5c-4de9-ae17-601422e16453</errorID>
      <errorWord>）</errorWord>
      <group>L1_Punc</group>
      <groupName>标点问题</groupName>
      <ability>L2_Punc</ability>
      <abilityName>标点符号检查</abilityName>
      <candidateList/>
      <explain>同一形式括号套用。</explain>
      <paraID>18A0912D</paraID>
      <start>78</start>
      <end>79</end>
      <status>ignored</status>
      <modifiedWord/>
      <trackRevisions>false</trackRevisions>
    </reviewItem>
    <reviewItem>
      <errorID>f75d32c2-2772-4730-af90-0f8560f0af27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5C5212B</paraID>
      <start>12</start>
      <end>13</end>
      <status>modified</status>
      <modifiedWord>—</modifiedWord>
      <trackRevisions>false</trackRevisions>
    </reviewItem>
    <reviewItem>
      <errorID>491bf723-7100-4ace-babb-6d7357611c4d</errorID>
      <errorWord>环境污染预防</errorWord>
      <group>L1_Political</group>
      <groupName>政治性问题</groupName>
      <ability>L2_Keyword</ability>
      <abilityName>固定表述</abilityName>
      <candidateList>
        <item>环境污染防治</item>
      </candidateList>
      <explain>词汇“环境污染防治”在特定场景下为固定表述形式，请确认此处的“环境污染预防”是否存在不当。</explain>
      <paraID>538EC370</paraID>
      <start>2</start>
      <end>8</end>
      <status>ignored</status>
      <modifiedWord/>
      <trackRevisions>false</trackRevisions>
    </reviewItem>
    <reviewItem>
      <errorID>734dccee-58b0-4f35-9a04-beb777fef39b</errorID>
      <errorWord>抛洒</errorWord>
      <group>L1_Word</group>
      <groupName>字词问题</groupName>
      <ability>L2_Typo</ability>
      <abilityName>字词错误</abilityName>
      <candidateList>
        <item>抛撒</item>
      </candidateList>
      <explain/>
      <paraID>1A03F9BF</paraID>
      <start>87</start>
      <end>89</end>
      <status>modified</status>
      <modifiedWord>抛撒</modifiedWord>
      <trackRevisions>false</trackRevisions>
    </reviewItem>
    <reviewItem>
      <errorID>5b2b269d-cf1c-444b-be3d-3c0e1ab16885</errorID>
      <errorWord>回覆</errorWord>
      <group>L1_Word</group>
      <groupName>字词问题</groupName>
      <ability>L2_Fanti</ability>
      <abilityName>繁转简</abilityName>
      <candidateList>
        <item>回复</item>
      </candidateList>
      <explain/>
      <paraID> 46D2B50</paraID>
      <start>32</start>
      <end>34</end>
      <status>ignored</status>
      <modifiedWord/>
      <trackRevisions>false</trackRevisions>
    </reviewItem>
    <reviewItem>
      <errorID>b5a9a11e-1120-481f-9e9b-be3a4a226257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13DD678F</paraID>
      <start>0</start>
      <end>2</end>
      <status>modified</status>
      <modifiedWord>1.</modifiedWord>
      <trackRevisions>false</trackRevisions>
    </reviewItem>
    <reviewItem>
      <errorID>98a80a65-fd21-4087-871d-6b398133f859</errorID>
      <errorWord>期</errorWord>
      <group>L1_Word</group>
      <groupName>字词问题</groupName>
      <ability>L2_Typo</ability>
      <abilityName>字词错误</abilityName>
      <candidateList>
        <item>期和</item>
      </candidateList>
      <explain/>
      <paraID>7D3B8201</paraID>
      <start>64</start>
      <end>66</end>
      <status>modified</status>
      <modifiedWord>期和</modifiedWord>
      <trackRevisions>false</trackRevisions>
    </reviewItem>
    <reviewItem>
      <errorID>9b95c122-4df1-40ee-8259-0ef80bff69ef</errorID>
      <errorWord>即为</errorWord>
      <group>L1_Word</group>
      <groupName>字词问题</groupName>
      <ability>L2_Typo</ability>
      <abilityName>字词错误</abilityName>
      <candidateList>
        <item>即</item>
      </candidateList>
      <explain>〈书〉❶就是：荷花～莲花｜非此～彼。❷〈副〉就；便：一触～发｜招之～来｜闻过～改。❸〈连〉即使：～无他方之支援，也能按期完成任务。参看733页“就2”。</explain>
      <paraID>541EE843</paraID>
      <start>213</start>
      <end>214</end>
      <status>modified</status>
      <modifiedWord>即</modifiedWord>
      <trackRevisions>false</trackRevisions>
    </reviewItem>
    <reviewItem>
      <errorID>bab7f421-40f2-4156-ad55-0d81e8fc8c04</errorID>
      <errorWord>后回覆</errorWord>
      <group>L1_Word</group>
      <groupName>字词问题</groupName>
      <ability>L2_Fanti</ability>
      <abilityName>繁转简</abilityName>
      <candidateList>
        <item>后回复</item>
      </candidateList>
      <explain/>
      <paraID>253CBBE7</paraID>
      <start>35</start>
      <end>38</end>
      <status>ignored</status>
      <modifiedWord/>
      <trackRevisions>false</trackRevisions>
    </reviewItem>
    <reviewItem>
      <errorID>9c7e874b-d418-452e-9674-1a408ada219d</errorID>
      <errorWord>(</errorWord>
      <group>L1_Format</group>
      <groupName>格式问题</groupName>
      <ability>L2_HalfPunc</ability>
      <abilityName>全半角检查</abilityName>
      <candidateList>
        <item>（</item>
      </candidateList>
      <explain>文本全半角错误。</explain>
      <paraID>48F87C68</paraID>
      <start>91</start>
      <end>92</end>
      <status>modified</status>
      <modifiedWord>（</modifiedWord>
      <trackRevisions>false</trackRevisions>
    </reviewItem>
    <reviewItem>
      <errorID>0edcca61-1d7b-490a-a9f9-11ea88efbbc6</errorID>
      <errorWord>)</errorWord>
      <group>L1_Format</group>
      <groupName>格式问题</groupName>
      <ability>L2_HalfPunc</ability>
      <abilityName>全半角检查</abilityName>
      <candidateList>
        <item>）</item>
      </candidateList>
      <explain>文本全半角错误。</explain>
      <paraID>48F87C68</paraID>
      <start>105</start>
      <end>106</end>
      <status>modified</status>
      <modifiedWord>）</modifiedWord>
      <trackRevisions>false</trackRevisions>
    </reviewItem>
    <reviewItem>
      <errorID>6ce71d91-77b2-4620-8d64-2d9d2f25f783</errorID>
      <errorWord>全</errorWord>
      <group>L1_Word</group>
      <groupName>字词问题</groupName>
      <ability>L2_Typo</ability>
      <abilityName>字词错误</abilityName>
      <candidateList>
        <item>全过</item>
      </candidateList>
      <explain/>
      <paraID>71D45AB2</paraID>
      <start>10</start>
      <end>12</end>
      <status>modified</status>
      <modifiedWord>全过</modifiedWord>
      <trackRevisions>false</trackRevisions>
    </reviewItem>
    <reviewItem>
      <errorID>c574580b-05e2-4548-9d92-6e183a73b976</errorID>
      <errorWord>全</errorWord>
      <group>L1_Word</group>
      <groupName>字词问题</groupName>
      <ability>L2_Typo</ability>
      <abilityName>字词错误</abilityName>
      <candidateList>
        <item>全过</item>
      </candidateList>
      <explain/>
      <paraID>26131601</paraID>
      <start>10</start>
      <end>12</end>
      <status>modified</status>
      <modifiedWord>全过</modifiedWord>
      <trackRevisions>false</trackRevisions>
    </reviewItem>
    <reviewItem>
      <errorID>55ab6ea4-92e3-4fce-b614-9913f238c72c</errorID>
      <errorWord>全</errorWord>
      <group>L1_Word</group>
      <groupName>字词问题</groupName>
      <ability>L2_Typo</ability>
      <abilityName>字词错误</abilityName>
      <candidateList>
        <item>全过</item>
      </candidateList>
      <explain/>
      <paraID>3FD1C78D</paraID>
      <start>10</start>
      <end>12</end>
      <status>modified</status>
      <modifiedWord>全过</modifiedWord>
      <trackRevisions>false</trackRevisions>
    </reviewItem>
    <reviewItem>
      <errorID>2595f2ad-a753-4f10-bb24-c1a899f087ec</errorID>
      <errorWord>kw</errorWord>
      <group>L1_Word</group>
      <groupName>字词问题</groupName>
      <ability>L2_Typo</ability>
      <abilityName>字词错误</abilityName>
      <candidateList>
        <item>kW</item>
      </candidateList>
      <explain/>
      <paraID>64037591</paraID>
      <start>5</start>
      <end>7</end>
      <status>modified</status>
      <modifiedWord>kW</modifiedWord>
      <trackRevisions>false</trackRevisions>
    </reviewItem>
    <reviewItem>
      <errorID>33ec2059-3ed5-47f0-91f8-cd417c969d55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3D31DCC1</paraID>
      <start>10</start>
      <end>11</end>
      <status>modified</status>
      <modifiedWord>—</modifiedWord>
      <trackRevisions>false</trackRevisions>
    </reviewItem>
    <reviewItem>
      <errorID>c66b67b0-58e1-4f38-9409-ba1732c362da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79DD1BCC</paraID>
      <start>12</start>
      <end>13</end>
      <status>modified</status>
      <modifiedWord>—</modifiedWord>
      <trackRevisions>false</trackRevisions>
    </reviewItem>
    <reviewItem>
      <errorID>c68ce7f6-d1bc-46ff-956c-b0e669438c43</errorID>
      <errorWord>（</errorWord>
      <group>L1_Format</group>
      <groupName>格式问题</groupName>
      <ability>L2_HalfPunc</ability>
      <abilityName>全半角检查</abilityName>
      <candidateList>
        <item>(</item>
      </candidateList>
      <explain>文本全半角错误。</explain>
      <paraID>359BC3E0</paraID>
      <start>0</start>
      <end>1</end>
      <status>modified</status>
      <modifiedWord>(</modifiedWord>
      <trackRevisions>false</trackRevisions>
    </reviewItem>
    <reviewItem>
      <errorID>513ff902-cb46-402a-b1f9-b4d856c3824d</errorID>
      <errorWord>）</errorWord>
      <group>L1_Format</group>
      <groupName>格式问题</groupName>
      <ability>L2_HalfPunc</ability>
      <abilityName>全半角检查</abilityName>
      <candidateList>
        <item>)</item>
      </candidateList>
      <explain>文本全半角错误。</explain>
      <paraID>359BC3E0</paraID>
      <start>4</start>
      <end>5</end>
      <status>modified</status>
      <modifiedWord>)</modifiedWord>
      <trackRevisions>false</trackRevisions>
    </reviewItem>
    <reviewItem>
      <errorID>5b85e687-d304-459b-8d8c-a7dfd67a6f4b</errorID>
      <errorWord>编制袋</errorWord>
      <group>L1_Word</group>
      <groupName>字词问题</groupName>
      <ability>L2_Typo</ability>
      <abilityName>字词错误</abilityName>
      <candidateList>
        <item>编织袋</item>
      </candidateList>
      <explain>存在发音相同字词的误用。</explain>
      <paraID>5C210613</paraID>
      <start>67</start>
      <end>70</end>
      <status>modified</status>
      <modifiedWord>编织袋</modifiedWord>
      <trackRevisions>false</trackRevisions>
    </reviewItem>
    <reviewItem>
      <errorID>5ff08792-407b-458e-8ca0-f62a6cd2ade6</errorID>
      <errorWord>对</errorWord>
      <group>L1_Word</group>
      <groupName>字词问题</groupName>
      <ability>L2_Typo</ability>
      <abilityName>字词错误</abilityName>
      <candidateList>
        <item>对辖</item>
      </candidateList>
      <explain/>
      <paraID>4760066D</paraID>
      <start>171</start>
      <end>172</end>
      <status>ignored</status>
      <modifiedWord/>
      <trackRevisions>false</trackRevisions>
    </reviewItem>
    <reviewItem>
      <errorID>3213d50f-5e32-43b4-85f2-113c32cc4e42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694583D6</paraID>
      <start>0</start>
      <end>2</end>
      <status>modified</status>
      <modifiedWord>1.</modifiedWord>
      <trackRevisions>false</trackRevisions>
    </reviewItem>
    <reviewItem>
      <errorID>53f9e2cc-593b-4867-a89f-a30c7d4a6705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608F4706</paraID>
      <start>0</start>
      <end>2</end>
      <status>modified</status>
      <modifiedWord>2.</modifiedWord>
      <trackRevisions>false</trackRevisions>
    </reviewItem>
    <reviewItem>
      <errorID>145660cc-1322-4627-a58a-a961c72667c2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73A4AADC</paraID>
      <start>0</start>
      <end>2</end>
      <status>modified</status>
      <modifiedWord>3.</modifiedWord>
      <trackRevisions>false</trackRevisions>
    </reviewItem>
    <reviewItem>
      <errorID>9e962a0b-fa40-4bc3-bd61-4409a0fc02f4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1493069</paraID>
      <start>0</start>
      <end>2</end>
      <status>modified</status>
      <modifiedWord>4.</modifiedWord>
      <trackRevisions>false</trackRevisions>
    </reviewItem>
    <reviewItem>
      <errorID>b26df4c3-59c8-46c4-a1e9-7cb12578287e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6FD2E0BE</paraID>
      <start>0</start>
      <end>2</end>
      <status>modified</status>
      <modifiedWord>5.</modifiedWord>
      <trackRevisions>false</trackRevisions>
    </reviewItem>
    <reviewItem>
      <errorID>5188da5d-615a-4493-96df-170240bab4d3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16E49419</paraID>
      <start>0</start>
      <end>2</end>
      <status>modified</status>
      <modifiedWord>6.</modifiedWord>
      <trackRevisions>false</trackRevisions>
    </reviewItem>
    <reviewItem>
      <errorID>2e19103d-4b00-4d16-a2ea-0505fc7d168d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850B74A</paraID>
      <start>0</start>
      <end>2</end>
      <status>modified</status>
      <modifiedWord>1.</modifiedWord>
      <trackRevisions>false</trackRevisions>
    </reviewItem>
    <reviewItem>
      <errorID>cb64ec8c-cc1c-43a1-a967-615acc4b4ad8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1B943ACC</paraID>
      <start>0</start>
      <end>2</end>
      <status>modified</status>
      <modifiedWord>2.</modifiedWord>
      <trackRevisions>false</trackRevisions>
    </reviewItem>
    <reviewItem>
      <errorID>03ce65df-5885-4c0d-b64b-5bf64d0c3117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20A05E55</paraID>
      <start>0</start>
      <end>2</end>
      <status>modified</status>
      <modifiedWord>3.</modifiedWord>
      <trackRevisions>false</trackRevisions>
    </reviewItem>
    <reviewItem>
      <errorID>0402892b-6e87-4a65-9c2f-f66320daf5d7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434F9B86</paraID>
      <start>0</start>
      <end>2</end>
      <status>modified</status>
      <modifiedWord>4.</modifiedWord>
      <trackRevisions>false</trackRevisions>
    </reviewItem>
    <reviewItem>
      <errorID>36895162-2c95-4b31-a3db-b56844d2e8ce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600E49CE</paraID>
      <start>0</start>
      <end>2</end>
      <status>modified</status>
      <modifiedWord>5.</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E10A0F-E215-4574-9028-7F9A0AF82BF1}">
  <ds:schemaRefs/>
</ds:datastoreItem>
</file>

<file path=customXml/itemProps3.xml><?xml version="1.0" encoding="utf-8"?>
<ds:datastoreItem xmlns:ds="http://schemas.openxmlformats.org/officeDocument/2006/customXml" ds:itemID="{9DE1E88E-4B0F-4566-943F-DBC546025106}">
  <ds:schemaRefs/>
</ds:datastoreItem>
</file>

<file path=docProps/app.xml><?xml version="1.0" encoding="utf-8"?>
<Properties xmlns="http://schemas.openxmlformats.org/officeDocument/2006/extended-properties" xmlns:vt="http://schemas.openxmlformats.org/officeDocument/2006/docPropsVTypes">
  <Template>Normal</Template>
  <Pages>123</Pages>
  <Words>8616</Words>
  <Characters>10280</Characters>
  <Lines>795</Lines>
  <Paragraphs>224</Paragraphs>
  <TotalTime>21</TotalTime>
  <ScaleCrop>false</ScaleCrop>
  <LinksUpToDate>false</LinksUpToDate>
  <CharactersWithSpaces>10329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2025-11-09T03:45:00Z</dcterms:created>
  <dc:creator>Administrator</dc:creator>
  <cp:lastModifiedBy>柒染</cp:lastModifiedBy>
  <cp:lastPrinted>2026-01-12T00:55:00Z</cp:lastPrinted>
  <dcterms:modified xsi:type="dcterms:W3CDTF">2026-03-24T05:54:08Z</dcterms:modified>
  <cp:revision>1094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eyJoZGlkIjoiNjU1ZWRkMGVkZTViZDc3YmNmNDJiMjQ0MTc4Zjc0YjkiLCJ1c2VySWQiOiI0NzQ2MjQzOTUifQ==</vt:lpwstr>
  </property>
  <property fmtid="{D5CDD505-2E9C-101B-9397-08002B2CF9AE}" pid="4" name="ICV">
    <vt:lpwstr>0162D60FDE2E4968A1DB4DA7236968A5_13</vt:lpwstr>
  </property>
</Properties>
</file>